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FFBDD" w14:textId="77777777" w:rsidR="007806A8" w:rsidRDefault="00952AF3" w:rsidP="00952AF3">
      <w:pPr>
        <w:pStyle w:val="Heading1Red"/>
        <w:rPr>
          <w:lang w:val="en"/>
        </w:rPr>
      </w:pPr>
      <w:bookmarkStart w:id="0" w:name="_Toc38271043"/>
      <w:bookmarkStart w:id="1" w:name="_Toc38365590"/>
      <w:r w:rsidRPr="006230FE">
        <w:rPr>
          <w:lang w:val="en"/>
        </w:rPr>
        <w:t>Mandatory Procedure</w:t>
      </w:r>
      <w:bookmarkStart w:id="2" w:name="_Toc38271044"/>
      <w:bookmarkEnd w:id="0"/>
      <w:bookmarkEnd w:id="1"/>
    </w:p>
    <w:p w14:paraId="005B2203" w14:textId="77777777" w:rsidR="007806A8" w:rsidRDefault="007806A8" w:rsidP="00952AF3">
      <w:pPr>
        <w:pStyle w:val="Heading1Red"/>
        <w:rPr>
          <w:color w:val="000000" w:themeColor="text1"/>
          <w:sz w:val="24"/>
          <w:lang w:val="en"/>
        </w:rPr>
      </w:pPr>
    </w:p>
    <w:p w14:paraId="0B96BD84" w14:textId="6ECF5E20" w:rsidR="00952AF3" w:rsidRPr="00952AF3" w:rsidRDefault="00952AF3" w:rsidP="00952AF3">
      <w:pPr>
        <w:jc w:val="center"/>
        <w:rPr>
          <w:b/>
          <w:bCs/>
          <w:lang w:val="en"/>
        </w:rPr>
      </w:pPr>
      <w:r w:rsidRPr="00952AF3">
        <w:rPr>
          <w:b/>
          <w:bCs/>
          <w:lang w:val="en"/>
        </w:rPr>
        <w:t>Table of Contents</w:t>
      </w:r>
      <w:bookmarkEnd w:id="2"/>
    </w:p>
    <w:p w14:paraId="3E7CD2E7" w14:textId="6CC20223" w:rsidR="00120EBF" w:rsidRDefault="00120EBF">
      <w:pPr>
        <w:pStyle w:val="TOC1"/>
        <w:tabs>
          <w:tab w:val="right" w:leader="dot" w:pos="9350"/>
        </w:tabs>
        <w:rPr>
          <w:rFonts w:eastAsiaTheme="minorEastAsia"/>
          <w:noProof/>
        </w:rPr>
      </w:pPr>
      <w:r>
        <w:rPr>
          <w:lang w:val="en"/>
        </w:rPr>
        <w:fldChar w:fldCharType="begin"/>
      </w:r>
      <w:r>
        <w:rPr>
          <w:lang w:val="en"/>
        </w:rPr>
        <w:instrText xml:space="preserve"> TOC \o \n \h \z \t "Heading 2,1,Heading 3,2,Heading 4,3" </w:instrText>
      </w:r>
      <w:r>
        <w:rPr>
          <w:lang w:val="en"/>
        </w:rPr>
        <w:fldChar w:fldCharType="separate"/>
      </w:r>
    </w:p>
    <w:p w14:paraId="55B3B1DF" w14:textId="363D6572" w:rsidR="00120EBF" w:rsidRDefault="007806A8">
      <w:pPr>
        <w:pStyle w:val="TOC1"/>
        <w:tabs>
          <w:tab w:val="right" w:leader="dot" w:pos="9350"/>
        </w:tabs>
        <w:rPr>
          <w:rFonts w:eastAsiaTheme="minorEastAsia"/>
          <w:noProof/>
        </w:rPr>
      </w:pPr>
      <w:hyperlink w:anchor="_Toc38365591" w:history="1">
        <w:r w:rsidR="00120EBF" w:rsidRPr="00E65AA3">
          <w:rPr>
            <w:rStyle w:val="Hyperlink"/>
            <w:bCs/>
            <w:noProof/>
            <w:lang w:val="en"/>
          </w:rPr>
          <w:t>MP5301.601-90  Head of Agency (HoA), Senior Procurement Executive (SPE), Service Acquisition Executive (SAE) Delegation Matrix</w:t>
        </w:r>
      </w:hyperlink>
    </w:p>
    <w:p w14:paraId="336EB846" w14:textId="69BB9C90" w:rsidR="00952AF3" w:rsidRDefault="00120EBF" w:rsidP="00952AF3">
      <w:pPr>
        <w:rPr>
          <w:lang w:val="en"/>
        </w:rPr>
      </w:pPr>
      <w:r>
        <w:rPr>
          <w:lang w:val="en"/>
        </w:rPr>
        <w:fldChar w:fldCharType="end"/>
      </w:r>
    </w:p>
    <w:p w14:paraId="6CA8C376" w14:textId="77777777" w:rsidR="007806A8" w:rsidRDefault="0057121B" w:rsidP="00952AF3">
      <w:pPr>
        <w:pStyle w:val="Heading2"/>
        <w:rPr>
          <w:b w:val="0"/>
          <w:lang w:val="en"/>
        </w:rPr>
      </w:pPr>
      <w:bookmarkStart w:id="3" w:name="_Toc38365591"/>
      <w:r w:rsidRPr="006230FE">
        <w:rPr>
          <w:bCs/>
          <w:szCs w:val="28"/>
          <w:lang w:val="en"/>
        </w:rPr>
        <w:t>MP5301.601-90</w:t>
      </w:r>
      <w:r w:rsidRPr="006230FE">
        <w:rPr>
          <w:bCs/>
          <w:szCs w:val="28"/>
          <w:lang w:val="en"/>
        </w:rPr>
        <w:br/>
      </w:r>
      <w:r w:rsidRPr="0057121B">
        <w:rPr>
          <w:bCs/>
          <w:sz w:val="20"/>
          <w:szCs w:val="27"/>
          <w:lang w:val="en"/>
        </w:rPr>
        <w:br/>
      </w:r>
      <w:r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Pr="006230FE">
        <w:rPr>
          <w:bCs/>
          <w:szCs w:val="27"/>
          <w:lang w:val="en"/>
        </w:rPr>
        <w:t>AE) Delegation Matrix</w:t>
      </w:r>
      <w:bookmarkEnd w:id="3"/>
    </w:p>
    <w:p w14:paraId="2D495557" w14:textId="77777777" w:rsidR="007806A8" w:rsidRDefault="0057121B" w:rsidP="00952AF3">
      <w:pPr>
        <w:pStyle w:val="edition"/>
        <w:rPr>
          <w:lang w:val="en"/>
        </w:rPr>
      </w:pPr>
      <w:r w:rsidRPr="0057121B">
        <w:rPr>
          <w:sz w:val="18"/>
          <w:lang w:val="en"/>
        </w:rPr>
        <w:t>[</w:t>
      </w:r>
      <w:r w:rsidRPr="0057121B">
        <w:rPr>
          <w:iCs/>
          <w:sz w:val="18"/>
          <w:lang w:val="en"/>
        </w:rPr>
        <w:t>2019 Edition</w:t>
      </w:r>
      <w:r w:rsidRPr="0057121B">
        <w:rPr>
          <w:sz w:val="18"/>
          <w:lang w:val="en"/>
        </w:rPr>
        <w:t xml:space="preserve">] </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tblInd w:w="-1085" w:type="dxa"/>
        <w:tblLayout w:type="fixed"/>
        <w:tblLook w:val="04A0" w:firstRow="1" w:lastRow="0" w:firstColumn="1" w:lastColumn="0" w:noHBand="0" w:noVBand="1"/>
      </w:tblPr>
      <w:tblGrid>
        <w:gridCol w:w="720"/>
        <w:gridCol w:w="1980"/>
        <w:gridCol w:w="3600"/>
        <w:gridCol w:w="1350"/>
        <w:gridCol w:w="1260"/>
        <w:gridCol w:w="1260"/>
        <w:gridCol w:w="1260"/>
      </w:tblGrid>
      <w:tr w:rsidR="006E3B99" w:rsidRPr="00952AF3" w14:paraId="6489AD2D"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CCFFFF"/>
            <w:hideMark/>
          </w:tcPr>
          <w:p w14:paraId="0104397A" w14:textId="77777777" w:rsidR="006E3B99" w:rsidRPr="00952AF3" w:rsidRDefault="006E3B99" w:rsidP="0057121B">
            <w:pPr>
              <w:widowControl w:val="0"/>
              <w:spacing w:after="0" w:line="260" w:lineRule="atLeast"/>
              <w:jc w:val="center"/>
              <w:rPr>
                <w:rFonts w:eastAsia="Times New Roman"/>
                <w:b/>
                <w:bCs/>
                <w:color w:val="333399"/>
                <w:sz w:val="20"/>
              </w:rPr>
            </w:pPr>
            <w:r w:rsidRPr="00952AF3">
              <w:rPr>
                <w:rFonts w:eastAsia="Times New Roman"/>
                <w:b/>
                <w:bCs/>
                <w:color w:val="333399"/>
                <w:sz w:val="20"/>
              </w:rPr>
              <w:t>Item</w:t>
            </w:r>
          </w:p>
        </w:tc>
        <w:tc>
          <w:tcPr>
            <w:tcW w:w="1980" w:type="dxa"/>
            <w:tcBorders>
              <w:top w:val="single" w:sz="4" w:space="0" w:color="auto"/>
              <w:left w:val="nil"/>
              <w:bottom w:val="single" w:sz="4" w:space="0" w:color="auto"/>
              <w:right w:val="single" w:sz="4" w:space="0" w:color="auto"/>
            </w:tcBorders>
            <w:shd w:val="clear" w:color="auto" w:fill="CCFFFF"/>
            <w:hideMark/>
          </w:tcPr>
          <w:p w14:paraId="1A1DAB1B"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hideMark/>
          </w:tcPr>
          <w:p w14:paraId="7F39DD9C"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hideMark/>
          </w:tcPr>
          <w:p w14:paraId="69F794DB"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Retained by HoA, SPE, or SAE</w:t>
            </w:r>
          </w:p>
          <w:p w14:paraId="5A167C6F"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hideMark/>
          </w:tcPr>
          <w:p w14:paraId="2BB0973A" w14:textId="77777777" w:rsidR="006E3B99" w:rsidRPr="00952AF3" w:rsidRDefault="006E3B99" w:rsidP="00E96454">
            <w:pPr>
              <w:spacing w:after="0"/>
              <w:jc w:val="center"/>
              <w:rPr>
                <w:rFonts w:eastAsia="Times New Roman"/>
                <w:b/>
                <w:bCs/>
                <w:color w:val="333399"/>
                <w:sz w:val="20"/>
                <w:szCs w:val="20"/>
              </w:rPr>
            </w:pPr>
            <w:r w:rsidRPr="00952AF3">
              <w:rPr>
                <w:rFonts w:eastAsia="Times New Roman"/>
                <w:b/>
                <w:bCs/>
                <w:color w:val="333399"/>
                <w:sz w:val="20"/>
                <w:szCs w:val="20"/>
              </w:rPr>
              <w:t xml:space="preserve">Delegated </w:t>
            </w:r>
          </w:p>
        </w:tc>
        <w:tc>
          <w:tcPr>
            <w:tcW w:w="1260" w:type="dxa"/>
            <w:tcBorders>
              <w:top w:val="single" w:sz="4" w:space="0" w:color="auto"/>
              <w:left w:val="nil"/>
              <w:bottom w:val="single" w:sz="4" w:space="0" w:color="auto"/>
              <w:right w:val="single" w:sz="4" w:space="0" w:color="auto"/>
            </w:tcBorders>
            <w:shd w:val="clear" w:color="auto" w:fill="CCFFFF"/>
          </w:tcPr>
          <w:p w14:paraId="30A64AF0"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tcPr>
          <w:p w14:paraId="76959BDF" w14:textId="77777777" w:rsidR="006E3B99" w:rsidRPr="00952AF3" w:rsidRDefault="006E3B99" w:rsidP="006E3B99">
            <w:pPr>
              <w:spacing w:after="0"/>
              <w:jc w:val="center"/>
              <w:rPr>
                <w:rFonts w:eastAsia="Times New Roman"/>
                <w:b/>
                <w:bCs/>
                <w:color w:val="333399"/>
                <w:sz w:val="20"/>
                <w:szCs w:val="20"/>
              </w:rPr>
            </w:pPr>
            <w:r w:rsidRPr="00952AF3">
              <w:rPr>
                <w:rFonts w:eastAsia="Times New Roman"/>
                <w:b/>
                <w:bCs/>
                <w:color w:val="333399"/>
                <w:sz w:val="20"/>
                <w:szCs w:val="20"/>
              </w:rPr>
              <w:t>Delegable Below SCO</w:t>
            </w:r>
          </w:p>
        </w:tc>
      </w:tr>
      <w:tr w:rsidR="006E3B99" w:rsidRPr="00952AF3" w14:paraId="7458D33B" w14:textId="77777777" w:rsidTr="007E0E68">
        <w:trPr>
          <w:trHeight w:val="1020"/>
        </w:trPr>
        <w:tc>
          <w:tcPr>
            <w:tcW w:w="720" w:type="dxa"/>
            <w:tcBorders>
              <w:top w:val="nil"/>
              <w:left w:val="single" w:sz="4" w:space="0" w:color="auto"/>
              <w:bottom w:val="single" w:sz="4" w:space="0" w:color="auto"/>
              <w:right w:val="single" w:sz="4" w:space="0" w:color="auto"/>
            </w:tcBorders>
            <w:shd w:val="clear" w:color="000000" w:fill="FFFF99"/>
            <w:noWrap/>
          </w:tcPr>
          <w:p w14:paraId="10C5783C" w14:textId="77777777" w:rsidR="006E3B99" w:rsidRPr="00952AF3" w:rsidRDefault="006E3B99" w:rsidP="0057121B">
            <w:pPr>
              <w:rPr>
                <w:bCs/>
                <w:color w:val="000000"/>
                <w:sz w:val="20"/>
                <w:szCs w:val="20"/>
              </w:rPr>
            </w:pPr>
            <w:r w:rsidRPr="00952AF3">
              <w:rPr>
                <w:bCs/>
                <w:color w:val="000000"/>
                <w:sz w:val="20"/>
                <w:szCs w:val="20"/>
              </w:rPr>
              <w:t>1</w:t>
            </w:r>
          </w:p>
        </w:tc>
        <w:tc>
          <w:tcPr>
            <w:tcW w:w="1980" w:type="dxa"/>
            <w:tcBorders>
              <w:top w:val="nil"/>
              <w:left w:val="nil"/>
              <w:bottom w:val="single" w:sz="4" w:space="0" w:color="auto"/>
              <w:right w:val="single" w:sz="4" w:space="0" w:color="auto"/>
            </w:tcBorders>
            <w:shd w:val="clear" w:color="000000" w:fill="FFFF99"/>
            <w:hideMark/>
          </w:tcPr>
          <w:p w14:paraId="02A243F5" w14:textId="77777777" w:rsidR="006E3B99" w:rsidRPr="00952AF3" w:rsidRDefault="00FD7FBF" w:rsidP="0057121B">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000000" w:fill="FFFF99"/>
            <w:hideMark/>
          </w:tcPr>
          <w:p w14:paraId="2615BD49"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000000" w:fill="FFFF99"/>
            <w:hideMark/>
          </w:tcPr>
          <w:p w14:paraId="2B0B649A" w14:textId="77777777" w:rsidR="006E3B99" w:rsidRPr="00952AF3" w:rsidRDefault="006E3B99" w:rsidP="0057121B">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F1F3292"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1AE407F2"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911A0F6"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r>
      <w:tr w:rsidR="006E3B99" w:rsidRPr="00952AF3" w14:paraId="0FDC3949"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952AF3" w:rsidRDefault="006E3B99" w:rsidP="0057121B">
            <w:pPr>
              <w:rPr>
                <w:bCs/>
                <w:color w:val="000000"/>
                <w:sz w:val="20"/>
                <w:szCs w:val="20"/>
              </w:rPr>
            </w:pPr>
            <w:r w:rsidRPr="00952AF3">
              <w:rPr>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952AF3" w:rsidRDefault="00FD7FBF" w:rsidP="0057121B">
            <w:pPr>
              <w:spacing w:after="0"/>
              <w:rPr>
                <w:rFonts w:eastAsia="Times New Roman"/>
                <w:bCs/>
                <w:sz w:val="20"/>
                <w:szCs w:val="20"/>
              </w:rPr>
            </w:pPr>
            <w:r w:rsidRPr="00952AF3">
              <w:rPr>
                <w:rFonts w:eastAsia="Times New Roman"/>
                <w:bCs/>
                <w:sz w:val="20"/>
                <w:szCs w:val="20"/>
              </w:rPr>
              <w:t xml:space="preserve">FAR </w:t>
            </w:r>
            <w:r w:rsidR="006E3B99" w:rsidRPr="00952AF3">
              <w:rPr>
                <w:rFonts w:eastAsia="Times New Roman"/>
                <w:bCs/>
                <w:sz w:val="20"/>
                <w:szCs w:val="20"/>
              </w:rPr>
              <w:t>52.203-3</w:t>
            </w:r>
          </w:p>
          <w:p w14:paraId="31F01CC3" w14:textId="77777777" w:rsidR="00E96454" w:rsidRPr="00952AF3" w:rsidRDefault="00E96454" w:rsidP="00A75C9D">
            <w:pPr>
              <w:spacing w:after="0"/>
              <w:rPr>
                <w:rFonts w:eastAsia="Times New Roman"/>
                <w:bCs/>
                <w:sz w:val="20"/>
                <w:szCs w:val="20"/>
              </w:rPr>
            </w:pPr>
            <w:r w:rsidRPr="00952AF3">
              <w:rPr>
                <w:rFonts w:eastAsia="Times New Roman"/>
                <w:bCs/>
                <w:sz w:val="20"/>
                <w:szCs w:val="20"/>
              </w:rPr>
              <w:t>AFFARS 53</w:t>
            </w:r>
            <w:r w:rsidR="00A75C9D" w:rsidRPr="00952AF3">
              <w:rPr>
                <w:rFonts w:eastAsia="Times New Roman"/>
                <w:bCs/>
                <w:sz w:val="20"/>
                <w:szCs w:val="20"/>
              </w:rPr>
              <w:t>03</w:t>
            </w:r>
            <w:r w:rsidRPr="00952AF3">
              <w:rPr>
                <w:rFonts w:eastAsia="Times New Roman"/>
                <w:bCs/>
                <w:sz w:val="20"/>
                <w:szCs w:val="20"/>
              </w:rPr>
              <w:t>.20</w:t>
            </w:r>
            <w:r w:rsidR="004A39E1" w:rsidRPr="00952AF3">
              <w:rPr>
                <w:rFonts w:eastAsia="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952AF3" w:rsidRDefault="00E96454" w:rsidP="0057121B">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952AF3" w:rsidRDefault="00E96454"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r>
      <w:tr w:rsidR="00E96454" w:rsidRPr="00952AF3" w14:paraId="08DF8E0E"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952AF3" w:rsidRDefault="00E96454" w:rsidP="00E96454">
            <w:pPr>
              <w:rPr>
                <w:bCs/>
                <w:color w:val="000000"/>
                <w:sz w:val="20"/>
                <w:szCs w:val="20"/>
              </w:rPr>
            </w:pPr>
            <w:r w:rsidRPr="00952AF3">
              <w:rPr>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t>DFARS 203.570-2(a)</w:t>
            </w:r>
          </w:p>
          <w:p w14:paraId="0966EEEF"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lastRenderedPageBreak/>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lastRenderedPageBreak/>
              <w:t xml:space="preserve">Grants waiver in the interest of national security that the prohibition period </w:t>
            </w:r>
            <w:r w:rsidRPr="00952AF3">
              <w:rPr>
                <w:rFonts w:eastAsia="Times New Roman"/>
                <w:sz w:val="20"/>
                <w:szCs w:val="20"/>
              </w:rPr>
              <w:lastRenderedPageBreak/>
              <w:t>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lastRenderedPageBreak/>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2078A55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952AF3" w:rsidRDefault="00E96454" w:rsidP="00E96454">
            <w:pPr>
              <w:rPr>
                <w:bCs/>
                <w:color w:val="000000"/>
                <w:sz w:val="20"/>
                <w:szCs w:val="20"/>
              </w:rPr>
            </w:pPr>
            <w:r w:rsidRPr="00952AF3">
              <w:rPr>
                <w:bCs/>
                <w:color w:val="000000"/>
                <w:sz w:val="20"/>
                <w:szCs w:val="20"/>
              </w:rPr>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t>DFARS 203.570-2(b)</w:t>
            </w:r>
          </w:p>
          <w:p w14:paraId="51E5EAF5" w14:textId="77777777" w:rsidR="00E96454" w:rsidRPr="00952AF3" w:rsidRDefault="00E96454" w:rsidP="004A39E1">
            <w:pPr>
              <w:spacing w:after="0"/>
              <w:rPr>
                <w:rFonts w:eastAsia="Times New Roman"/>
                <w:bCs/>
                <w:sz w:val="20"/>
                <w:szCs w:val="20"/>
              </w:rPr>
            </w:pPr>
            <w:r w:rsidRPr="00952AF3">
              <w:rPr>
                <w:rFonts w:eastAsia="Times New Roman"/>
                <w:bCs/>
                <w:sz w:val="20"/>
                <w:szCs w:val="20"/>
              </w:rPr>
              <w:t>AFFARS 5303.570-2(</w:t>
            </w:r>
            <w:r w:rsidR="004A39E1" w:rsidRPr="00952AF3">
              <w:rPr>
                <w:rFonts w:eastAsia="Times New Roman"/>
                <w:bCs/>
                <w:sz w:val="20"/>
                <w:szCs w:val="20"/>
              </w:rPr>
              <w:t>b</w:t>
            </w:r>
            <w:r w:rsidRPr="00952AF3">
              <w:rPr>
                <w:rFonts w:eastAsia="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17E7CAF1"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952AF3" w:rsidRDefault="00E96454" w:rsidP="00E96454">
            <w:pPr>
              <w:rPr>
                <w:bCs/>
                <w:color w:val="000000"/>
                <w:sz w:val="20"/>
                <w:szCs w:val="20"/>
              </w:rPr>
            </w:pPr>
            <w:r w:rsidRPr="00952AF3">
              <w:rPr>
                <w:bCs/>
                <w:color w:val="000000"/>
                <w:sz w:val="20"/>
                <w:szCs w:val="20"/>
              </w:rPr>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DFARS 203.906</w:t>
            </w:r>
            <w:r w:rsidR="00735528" w:rsidRPr="00952AF3">
              <w:rPr>
                <w:rFonts w:eastAsia="Times New Roman"/>
                <w:bCs/>
                <w:color w:val="000000"/>
                <w:sz w:val="20"/>
                <w:szCs w:val="20"/>
              </w:rPr>
              <w:t>(c)</w:t>
            </w:r>
            <w:r w:rsidR="00791BA9" w:rsidRPr="00952AF3">
              <w:rPr>
                <w:rFonts w:eastAsia="Times New Roman"/>
                <w:bCs/>
                <w:color w:val="000000"/>
                <w:sz w:val="20"/>
                <w:szCs w:val="20"/>
              </w:rPr>
              <w:t>(1)</w:t>
            </w:r>
          </w:p>
          <w:p w14:paraId="713F69F0" w14:textId="77777777" w:rsidR="00E96454" w:rsidRPr="00952AF3" w:rsidRDefault="00E96454" w:rsidP="00791BA9">
            <w:pPr>
              <w:spacing w:after="0"/>
              <w:rPr>
                <w:rFonts w:eastAsia="Times New Roman"/>
                <w:bCs/>
                <w:color w:val="000000"/>
                <w:sz w:val="20"/>
                <w:szCs w:val="20"/>
              </w:rPr>
            </w:pPr>
            <w:r w:rsidRPr="00952AF3">
              <w:rPr>
                <w:rFonts w:eastAsia="Times New Roman"/>
                <w:bCs/>
                <w:color w:val="000000"/>
                <w:sz w:val="20"/>
                <w:szCs w:val="20"/>
              </w:rPr>
              <w:t>AFFARS 5303.906</w:t>
            </w:r>
            <w:r w:rsidR="00735528" w:rsidRPr="00952AF3">
              <w:rPr>
                <w:rFonts w:eastAsia="Times New Roman"/>
                <w:bCs/>
                <w:color w:val="000000"/>
                <w:sz w:val="20"/>
                <w:szCs w:val="20"/>
              </w:rPr>
              <w:t>(c)</w:t>
            </w:r>
            <w:r w:rsidRPr="00952AF3">
              <w:rPr>
                <w:rFonts w:eastAsia="Times New Roman"/>
                <w:bCs/>
                <w:color w:val="000000"/>
                <w:sz w:val="20"/>
                <w:szCs w:val="20"/>
              </w:rPr>
              <w:t>(</w:t>
            </w:r>
            <w:r w:rsidR="00791BA9" w:rsidRPr="00952AF3">
              <w:rPr>
                <w:rFonts w:eastAsia="Times New Roman"/>
                <w:bCs/>
                <w:color w:val="000000"/>
                <w:sz w:val="20"/>
                <w:szCs w:val="20"/>
              </w:rPr>
              <w:t>1</w:t>
            </w:r>
            <w:r w:rsidRPr="00952AF3">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1F8C6FD9"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952AF3" w:rsidRDefault="00E96454" w:rsidP="00E96454">
            <w:pPr>
              <w:rPr>
                <w:bCs/>
                <w:color w:val="000000"/>
                <w:sz w:val="20"/>
                <w:szCs w:val="20"/>
              </w:rPr>
            </w:pPr>
            <w:r w:rsidRPr="00952AF3">
              <w:rPr>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FAR 5.102(a)(5)(iii)</w:t>
            </w:r>
          </w:p>
          <w:p w14:paraId="5F7B392D"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6ED52156"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952AF3" w:rsidRDefault="00E96454" w:rsidP="00E96454">
            <w:pPr>
              <w:rPr>
                <w:bCs/>
                <w:color w:val="000000"/>
                <w:sz w:val="20"/>
                <w:szCs w:val="20"/>
              </w:rPr>
            </w:pPr>
            <w:r w:rsidRPr="00952AF3">
              <w:rPr>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FAR 5.202(b)</w:t>
            </w:r>
          </w:p>
          <w:p w14:paraId="0B14D814"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6E3B99" w:rsidRPr="00952AF3" w14:paraId="649E099A"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016CC699" w14:textId="77777777" w:rsidR="006E3B99" w:rsidRPr="00952AF3" w:rsidRDefault="006E3B99" w:rsidP="006E3B99">
            <w:pPr>
              <w:rPr>
                <w:bCs/>
                <w:color w:val="000000"/>
                <w:sz w:val="20"/>
                <w:szCs w:val="20"/>
              </w:rPr>
            </w:pPr>
            <w:r w:rsidRPr="00952AF3">
              <w:rPr>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000000" w:fill="FFFF99"/>
            <w:hideMark/>
          </w:tcPr>
          <w:p w14:paraId="450B9F3E"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000000" w:fill="FFFF99"/>
            <w:hideMark/>
          </w:tcPr>
          <w:p w14:paraId="69E8E830"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 xml:space="preserve">Approves in writing the justification for other than full and open competition for proposed contracts over $93 million </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27205680"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1EA336E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67E23EA"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6034CCB4"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40E1F43C"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952AF3" w:rsidRDefault="006E3B99" w:rsidP="006E3B99">
            <w:pPr>
              <w:rPr>
                <w:bCs/>
                <w:color w:val="000000"/>
                <w:sz w:val="20"/>
                <w:szCs w:val="20"/>
              </w:rPr>
            </w:pPr>
            <w:r w:rsidRPr="00952AF3">
              <w:rPr>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952AF3" w:rsidRDefault="008D0AB1" w:rsidP="008D0AB1">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7.107-2</w:t>
            </w:r>
            <w:r w:rsidRPr="00952AF3">
              <w:rPr>
                <w:rFonts w:eastAsia="Times New Roman"/>
                <w:bCs/>
                <w:color w:val="000000"/>
                <w:sz w:val="20"/>
                <w:szCs w:val="20"/>
              </w:rPr>
              <w:t>(b)</w:t>
            </w:r>
          </w:p>
          <w:p w14:paraId="2AB84721" w14:textId="77777777" w:rsidR="008D0AB1" w:rsidRPr="00952AF3" w:rsidRDefault="001C6089" w:rsidP="008D0AB1">
            <w:pPr>
              <w:spacing w:after="0"/>
              <w:rPr>
                <w:rFonts w:eastAsia="Times New Roman"/>
                <w:bCs/>
                <w:color w:val="000000"/>
                <w:sz w:val="20"/>
                <w:szCs w:val="20"/>
              </w:rPr>
            </w:pPr>
            <w:r w:rsidRPr="00952AF3">
              <w:rPr>
                <w:rFonts w:eastAsia="Times New Roman"/>
                <w:bCs/>
                <w:color w:val="000000"/>
                <w:sz w:val="20"/>
                <w:szCs w:val="20"/>
              </w:rPr>
              <w:t>AFFARS 5307.107-2</w:t>
            </w:r>
            <w:r w:rsidR="008D0AB1" w:rsidRPr="00952AF3">
              <w:rPr>
                <w:rFonts w:eastAsia="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952AF3" w:rsidRDefault="001C6089" w:rsidP="008D0AB1">
            <w:pPr>
              <w:spacing w:after="0"/>
              <w:jc w:val="center"/>
              <w:rPr>
                <w:rFonts w:eastAsia="Times New Roman"/>
                <w:color w:val="000000"/>
                <w:sz w:val="20"/>
                <w:szCs w:val="20"/>
              </w:rPr>
            </w:pPr>
            <w:r w:rsidRPr="00952AF3">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952AF3" w:rsidRDefault="001C6089" w:rsidP="006E3B99">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No</w:t>
            </w:r>
          </w:p>
        </w:tc>
      </w:tr>
      <w:tr w:rsidR="008713D7" w:rsidRPr="00952AF3" w14:paraId="1D12BF68"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952AF3" w:rsidRDefault="008713D7" w:rsidP="008713D7">
            <w:pPr>
              <w:rPr>
                <w:bCs/>
                <w:color w:val="000000"/>
                <w:sz w:val="20"/>
                <w:szCs w:val="20"/>
              </w:rPr>
            </w:pPr>
            <w:r w:rsidRPr="00952AF3">
              <w:rPr>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952AF3" w:rsidRDefault="008713D7" w:rsidP="008713D7">
            <w:pPr>
              <w:spacing w:after="0"/>
              <w:rPr>
                <w:rFonts w:eastAsia="Times New Roman"/>
                <w:bCs/>
                <w:color w:val="000000"/>
                <w:sz w:val="20"/>
                <w:szCs w:val="20"/>
              </w:rPr>
            </w:pPr>
            <w:r w:rsidRPr="00952AF3">
              <w:rPr>
                <w:rFonts w:eastAsia="Times New Roman"/>
                <w:bCs/>
                <w:color w:val="000000"/>
                <w:sz w:val="20"/>
                <w:szCs w:val="20"/>
              </w:rPr>
              <w:t>FAR 7.107-2(e)</w:t>
            </w:r>
          </w:p>
          <w:p w14:paraId="6BEE9E6A" w14:textId="77777777" w:rsidR="008713D7" w:rsidRPr="00952AF3" w:rsidRDefault="008713D7" w:rsidP="008713D7">
            <w:pPr>
              <w:spacing w:after="0"/>
              <w:rPr>
                <w:rFonts w:eastAsia="Times New Roman"/>
                <w:bCs/>
                <w:color w:val="000000"/>
                <w:sz w:val="20"/>
                <w:szCs w:val="20"/>
              </w:rPr>
            </w:pPr>
            <w:r w:rsidRPr="00952AF3">
              <w:rPr>
                <w:rFonts w:eastAsia="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No</w:t>
            </w:r>
          </w:p>
        </w:tc>
      </w:tr>
      <w:tr w:rsidR="006E3B99" w:rsidRPr="00952AF3" w14:paraId="0744A00B" w14:textId="77777777" w:rsidTr="007E0E68">
        <w:trPr>
          <w:trHeight w:val="765"/>
        </w:trPr>
        <w:tc>
          <w:tcPr>
            <w:tcW w:w="720" w:type="dxa"/>
            <w:tcBorders>
              <w:top w:val="nil"/>
              <w:left w:val="single" w:sz="4" w:space="0" w:color="auto"/>
              <w:bottom w:val="single" w:sz="4" w:space="0" w:color="auto"/>
              <w:right w:val="single" w:sz="4" w:space="0" w:color="auto"/>
            </w:tcBorders>
            <w:shd w:val="clear" w:color="000000" w:fill="FFFF99"/>
          </w:tcPr>
          <w:p w14:paraId="7345B03A" w14:textId="77777777" w:rsidR="006E3B99" w:rsidRPr="00952AF3" w:rsidRDefault="006E3B99" w:rsidP="006E3B99">
            <w:pPr>
              <w:rPr>
                <w:bCs/>
                <w:color w:val="000000"/>
                <w:sz w:val="20"/>
                <w:szCs w:val="20"/>
              </w:rPr>
            </w:pPr>
            <w:r w:rsidRPr="00952AF3">
              <w:rPr>
                <w:bCs/>
                <w:color w:val="000000"/>
                <w:sz w:val="20"/>
                <w:szCs w:val="20"/>
              </w:rPr>
              <w:t>11</w:t>
            </w:r>
          </w:p>
        </w:tc>
        <w:tc>
          <w:tcPr>
            <w:tcW w:w="1980" w:type="dxa"/>
            <w:tcBorders>
              <w:top w:val="nil"/>
              <w:left w:val="nil"/>
              <w:bottom w:val="single" w:sz="4" w:space="0" w:color="auto"/>
              <w:right w:val="single" w:sz="4" w:space="0" w:color="auto"/>
            </w:tcBorders>
            <w:shd w:val="clear" w:color="000000" w:fill="FFFF99"/>
            <w:hideMark/>
          </w:tcPr>
          <w:p w14:paraId="53868ACB"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7.107-3(a)</w:t>
            </w:r>
          </w:p>
          <w:p w14:paraId="6B8772F9" w14:textId="77777777" w:rsidR="008D0AB1" w:rsidRPr="00952AF3" w:rsidRDefault="008D0AB1" w:rsidP="006E3B99">
            <w:pPr>
              <w:spacing w:after="0"/>
              <w:rPr>
                <w:rFonts w:eastAsia="Times New Roman"/>
                <w:bCs/>
                <w:color w:val="000000"/>
                <w:sz w:val="20"/>
                <w:szCs w:val="20"/>
              </w:rPr>
            </w:pPr>
          </w:p>
        </w:tc>
        <w:tc>
          <w:tcPr>
            <w:tcW w:w="3600" w:type="dxa"/>
            <w:tcBorders>
              <w:top w:val="nil"/>
              <w:left w:val="nil"/>
              <w:bottom w:val="single" w:sz="4" w:space="0" w:color="auto"/>
              <w:right w:val="single" w:sz="4" w:space="0" w:color="auto"/>
            </w:tcBorders>
            <w:shd w:val="clear" w:color="000000" w:fill="FFFF99"/>
            <w:hideMark/>
          </w:tcPr>
          <w:p w14:paraId="4652A382"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Makes written determination that the bundling is necessary and justified in accordance with 15 U.S.C. 644(e) after ensuring that conditions at (a)-(e) are met.</w:t>
            </w:r>
          </w:p>
        </w:tc>
        <w:tc>
          <w:tcPr>
            <w:tcW w:w="1350" w:type="dxa"/>
            <w:tcBorders>
              <w:top w:val="nil"/>
              <w:left w:val="nil"/>
              <w:bottom w:val="single" w:sz="4" w:space="0" w:color="auto"/>
              <w:right w:val="single" w:sz="4" w:space="0" w:color="auto"/>
            </w:tcBorders>
            <w:shd w:val="clear" w:color="000000" w:fill="FFFF99"/>
            <w:hideMark/>
          </w:tcPr>
          <w:p w14:paraId="6B577F2D"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6B6D01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7E59EE2C"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5B131CCC"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307B5110" w14:textId="77777777" w:rsidTr="007E0E68">
        <w:trPr>
          <w:trHeight w:val="1530"/>
        </w:trPr>
        <w:tc>
          <w:tcPr>
            <w:tcW w:w="720" w:type="dxa"/>
            <w:tcBorders>
              <w:top w:val="nil"/>
              <w:left w:val="single" w:sz="4" w:space="0" w:color="auto"/>
              <w:bottom w:val="single" w:sz="4" w:space="0" w:color="auto"/>
              <w:right w:val="single" w:sz="4" w:space="0" w:color="auto"/>
            </w:tcBorders>
            <w:shd w:val="clear" w:color="000000" w:fill="FFFF99"/>
          </w:tcPr>
          <w:p w14:paraId="6EBC88FB" w14:textId="77777777" w:rsidR="006E3B99" w:rsidRPr="00952AF3" w:rsidRDefault="006E3B99" w:rsidP="006E3B99">
            <w:pPr>
              <w:rPr>
                <w:bCs/>
                <w:color w:val="000000"/>
                <w:sz w:val="20"/>
                <w:szCs w:val="20"/>
              </w:rPr>
            </w:pPr>
            <w:r w:rsidRPr="00952AF3">
              <w:rPr>
                <w:bCs/>
                <w:color w:val="000000"/>
                <w:sz w:val="20"/>
                <w:szCs w:val="20"/>
              </w:rPr>
              <w:lastRenderedPageBreak/>
              <w:t>12</w:t>
            </w:r>
          </w:p>
        </w:tc>
        <w:tc>
          <w:tcPr>
            <w:tcW w:w="1980" w:type="dxa"/>
            <w:tcBorders>
              <w:top w:val="nil"/>
              <w:left w:val="nil"/>
              <w:bottom w:val="single" w:sz="4" w:space="0" w:color="auto"/>
              <w:right w:val="single" w:sz="4" w:space="0" w:color="auto"/>
            </w:tcBorders>
            <w:shd w:val="clear" w:color="000000" w:fill="FFFF99"/>
            <w:hideMark/>
          </w:tcPr>
          <w:p w14:paraId="51DFEDDC"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7.107-3(f)(1)</w:t>
            </w:r>
          </w:p>
        </w:tc>
        <w:tc>
          <w:tcPr>
            <w:tcW w:w="3600" w:type="dxa"/>
            <w:tcBorders>
              <w:top w:val="nil"/>
              <w:left w:val="nil"/>
              <w:bottom w:val="single" w:sz="4" w:space="0" w:color="auto"/>
              <w:right w:val="single" w:sz="4" w:space="0" w:color="auto"/>
            </w:tcBorders>
            <w:shd w:val="clear" w:color="000000" w:fill="FFFF99"/>
            <w:hideMark/>
          </w:tcPr>
          <w:p w14:paraId="16B4E153"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000000" w:fill="FFFF99"/>
            <w:hideMark/>
          </w:tcPr>
          <w:p w14:paraId="3434DCCF"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B07B8C1"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2247AFDD"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3326C8E"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5797E074"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952AF3" w:rsidRDefault="006E3B99" w:rsidP="006E3B99">
            <w:pPr>
              <w:rPr>
                <w:bCs/>
                <w:color w:val="000000"/>
                <w:sz w:val="20"/>
                <w:szCs w:val="20"/>
              </w:rPr>
            </w:pPr>
            <w:r w:rsidRPr="00952AF3">
              <w:rPr>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8.405-3(a)(3)(ii)</w:t>
            </w:r>
          </w:p>
          <w:p w14:paraId="263A8546" w14:textId="77777777" w:rsidR="006347EA"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2E179FCE"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Determination (in writing) to award single-award Blanket Purchase Agreement with an estimated value exceeding $112 million (including any options).</w:t>
            </w:r>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2496E70C"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952AF3" w:rsidRDefault="006E3B99" w:rsidP="006E3B99">
            <w:pPr>
              <w:rPr>
                <w:bCs/>
                <w:color w:val="000000"/>
                <w:sz w:val="20"/>
                <w:szCs w:val="20"/>
              </w:rPr>
            </w:pPr>
            <w:r w:rsidRPr="00952AF3">
              <w:rPr>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8.405-6(b)(3)(ii)(C)</w:t>
            </w:r>
          </w:p>
          <w:p w14:paraId="6927CA8D" w14:textId="77777777" w:rsidR="006347EA"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952AF3" w:rsidRDefault="00B532E2"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152674EA" w14:textId="77777777" w:rsidTr="007E0E68">
        <w:trPr>
          <w:trHeight w:val="510"/>
        </w:trPr>
        <w:tc>
          <w:tcPr>
            <w:tcW w:w="720" w:type="dxa"/>
            <w:tcBorders>
              <w:top w:val="nil"/>
              <w:left w:val="single" w:sz="4" w:space="0" w:color="auto"/>
              <w:bottom w:val="single" w:sz="4" w:space="0" w:color="auto"/>
              <w:right w:val="single" w:sz="4" w:space="0" w:color="auto"/>
            </w:tcBorders>
            <w:shd w:val="clear" w:color="000000" w:fill="FFFF99"/>
          </w:tcPr>
          <w:p w14:paraId="4C2A70FB" w14:textId="77777777" w:rsidR="006E3B99" w:rsidRPr="00952AF3" w:rsidRDefault="006E3B99" w:rsidP="006E3B99">
            <w:pPr>
              <w:rPr>
                <w:bCs/>
                <w:color w:val="000000"/>
                <w:sz w:val="20"/>
                <w:szCs w:val="20"/>
              </w:rPr>
            </w:pPr>
            <w:r w:rsidRPr="00952AF3">
              <w:rPr>
                <w:bCs/>
                <w:color w:val="000000"/>
                <w:sz w:val="20"/>
                <w:szCs w:val="20"/>
              </w:rPr>
              <w:t>15</w:t>
            </w:r>
          </w:p>
        </w:tc>
        <w:tc>
          <w:tcPr>
            <w:tcW w:w="1980" w:type="dxa"/>
            <w:tcBorders>
              <w:top w:val="nil"/>
              <w:left w:val="nil"/>
              <w:bottom w:val="single" w:sz="4" w:space="0" w:color="auto"/>
              <w:right w:val="single" w:sz="4" w:space="0" w:color="auto"/>
            </w:tcBorders>
            <w:shd w:val="clear" w:color="000000" w:fill="FFFF99"/>
            <w:hideMark/>
          </w:tcPr>
          <w:p w14:paraId="133D2650" w14:textId="77777777" w:rsidR="006E3B99" w:rsidRPr="00952AF3" w:rsidRDefault="006347EA" w:rsidP="006347EA">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8.405-6(d)(4)</w:t>
            </w:r>
            <w:r w:rsidR="006E3B99"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BF3940B"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 xml:space="preserve">Approves the justification for limited sources under a BPA with an estimated value over $93 million </w:t>
            </w:r>
          </w:p>
        </w:tc>
        <w:tc>
          <w:tcPr>
            <w:tcW w:w="1350" w:type="dxa"/>
            <w:tcBorders>
              <w:top w:val="nil"/>
              <w:left w:val="nil"/>
              <w:bottom w:val="single" w:sz="4" w:space="0" w:color="auto"/>
              <w:right w:val="single" w:sz="4" w:space="0" w:color="auto"/>
            </w:tcBorders>
            <w:shd w:val="clear" w:color="000000" w:fill="FFFF99"/>
            <w:hideMark/>
          </w:tcPr>
          <w:p w14:paraId="3A8340B0"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58557FD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63166E7D"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6E999643"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123228B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952AF3" w:rsidRDefault="006E3B99" w:rsidP="006E3B99">
            <w:pPr>
              <w:rPr>
                <w:bCs/>
                <w:color w:val="000000"/>
                <w:sz w:val="20"/>
                <w:szCs w:val="20"/>
              </w:rPr>
            </w:pPr>
            <w:r w:rsidRPr="00952AF3">
              <w:rPr>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952AF3" w:rsidRDefault="006347EA"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9.405(a)</w:t>
            </w:r>
          </w:p>
          <w:p w14:paraId="7757D314" w14:textId="77777777" w:rsidR="00C47E6F" w:rsidRPr="00952AF3" w:rsidRDefault="00C47E6F" w:rsidP="00C47E6F">
            <w:pPr>
              <w:spacing w:after="0"/>
              <w:rPr>
                <w:rFonts w:eastAsia="Times New Roman"/>
                <w:bCs/>
                <w:color w:val="000000"/>
                <w:sz w:val="20"/>
                <w:szCs w:val="20"/>
              </w:rPr>
            </w:pPr>
            <w:r w:rsidRPr="00952AF3">
              <w:rPr>
                <w:rFonts w:eastAsia="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C47E6F" w:rsidRPr="00952AF3" w14:paraId="6BB4E6F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952AF3" w:rsidRDefault="00C47E6F" w:rsidP="00C47E6F">
            <w:pPr>
              <w:rPr>
                <w:bCs/>
                <w:color w:val="000000"/>
                <w:sz w:val="20"/>
                <w:szCs w:val="20"/>
              </w:rPr>
            </w:pPr>
            <w:r w:rsidRPr="00952AF3">
              <w:rPr>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952AF3" w:rsidRDefault="00C47E6F" w:rsidP="00C47E6F">
            <w:pPr>
              <w:spacing w:after="0"/>
              <w:rPr>
                <w:rFonts w:eastAsia="Times New Roman"/>
                <w:bCs/>
                <w:color w:val="000000"/>
                <w:sz w:val="20"/>
                <w:szCs w:val="20"/>
              </w:rPr>
            </w:pPr>
            <w:r w:rsidRPr="00952AF3">
              <w:rPr>
                <w:rFonts w:eastAsia="Times New Roman"/>
                <w:bCs/>
                <w:color w:val="000000"/>
                <w:sz w:val="20"/>
                <w:szCs w:val="20"/>
              </w:rPr>
              <w:t>DFARS</w:t>
            </w:r>
            <w:r w:rsidR="00AA6F7B" w:rsidRPr="00952AF3">
              <w:rPr>
                <w:rFonts w:eastAsia="Times New Roman"/>
                <w:bCs/>
                <w:color w:val="000000"/>
                <w:sz w:val="20"/>
                <w:szCs w:val="20"/>
              </w:rPr>
              <w:t xml:space="preserve"> </w:t>
            </w:r>
            <w:r w:rsidRPr="00952AF3">
              <w:rPr>
                <w:rFonts w:eastAsia="Times New Roman"/>
                <w:bCs/>
                <w:color w:val="000000"/>
                <w:sz w:val="20"/>
                <w:szCs w:val="20"/>
              </w:rPr>
              <w:t>209.405(b)(ii)(A)</w:t>
            </w:r>
          </w:p>
          <w:p w14:paraId="27C4E1A3" w14:textId="77777777" w:rsidR="00AA6F7B" w:rsidRPr="00952AF3" w:rsidRDefault="00AA6F7B" w:rsidP="00C47E6F">
            <w:pPr>
              <w:spacing w:after="0"/>
              <w:rPr>
                <w:rFonts w:eastAsia="Times New Roman"/>
                <w:bCs/>
                <w:color w:val="000000"/>
                <w:sz w:val="20"/>
                <w:szCs w:val="20"/>
              </w:rPr>
            </w:pPr>
            <w:r w:rsidRPr="00952AF3">
              <w:rPr>
                <w:rFonts w:eastAsia="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952AF3" w:rsidRDefault="005806A0"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952AF3" w:rsidRDefault="005806A0"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EC2495A" w14:textId="77777777" w:rsidTr="00F45D3E">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952AF3" w:rsidRDefault="00C47E6F" w:rsidP="00C47E6F">
            <w:pPr>
              <w:rPr>
                <w:bCs/>
                <w:color w:val="000000"/>
                <w:sz w:val="20"/>
                <w:szCs w:val="20"/>
              </w:rPr>
            </w:pPr>
            <w:r w:rsidRPr="00952AF3">
              <w:rPr>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952AF3" w:rsidRDefault="00735528" w:rsidP="00C47E6F">
            <w:pPr>
              <w:spacing w:after="0"/>
              <w:rPr>
                <w:rFonts w:eastAsia="Times New Roman"/>
                <w:bCs/>
                <w:color w:val="000000"/>
                <w:sz w:val="20"/>
                <w:szCs w:val="20"/>
              </w:rPr>
            </w:pPr>
            <w:r w:rsidRPr="00952AF3">
              <w:rPr>
                <w:rFonts w:eastAsia="Times New Roman"/>
                <w:bCs/>
                <w:color w:val="000000"/>
                <w:sz w:val="20"/>
                <w:szCs w:val="20"/>
              </w:rPr>
              <w:t>FAR 9.405(d)(2)-</w:t>
            </w:r>
            <w:r w:rsidR="00C47E6F" w:rsidRPr="00952AF3">
              <w:rPr>
                <w:rFonts w:eastAsia="Times New Roman"/>
                <w:bCs/>
                <w:color w:val="000000"/>
                <w:sz w:val="20"/>
                <w:szCs w:val="20"/>
              </w:rPr>
              <w:t>(3)</w:t>
            </w:r>
          </w:p>
          <w:p w14:paraId="20349599" w14:textId="77777777" w:rsidR="00C47E6F" w:rsidRPr="00952AF3" w:rsidRDefault="00735528" w:rsidP="00735528">
            <w:pPr>
              <w:spacing w:after="0"/>
              <w:rPr>
                <w:rFonts w:eastAsia="Times New Roman"/>
                <w:bCs/>
                <w:color w:val="000000"/>
                <w:sz w:val="20"/>
                <w:szCs w:val="20"/>
              </w:rPr>
            </w:pPr>
            <w:r w:rsidRPr="00952AF3">
              <w:rPr>
                <w:rFonts w:eastAsia="Times New Roman"/>
                <w:bCs/>
                <w:color w:val="000000"/>
                <w:sz w:val="20"/>
                <w:szCs w:val="20"/>
              </w:rPr>
              <w:t>AFFARS 5309.405(d)(2)-</w:t>
            </w:r>
            <w:r w:rsidR="00C47E6F" w:rsidRPr="00952AF3">
              <w:rPr>
                <w:rFonts w:eastAsia="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064529" w:rsidRPr="00952AF3" w14:paraId="17253C1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952AF3" w:rsidRDefault="00064529" w:rsidP="00064529">
            <w:pPr>
              <w:rPr>
                <w:bCs/>
                <w:color w:val="000000"/>
                <w:sz w:val="20"/>
                <w:szCs w:val="20"/>
              </w:rPr>
            </w:pPr>
            <w:r w:rsidRPr="00952AF3">
              <w:rPr>
                <w:bCs/>
                <w:color w:val="000000"/>
                <w:sz w:val="20"/>
                <w:szCs w:val="20"/>
              </w:rPr>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FAR 9.405-1(a)</w:t>
            </w:r>
          </w:p>
          <w:p w14:paraId="2CB7073D"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r>
      <w:tr w:rsidR="00064529" w:rsidRPr="00952AF3" w14:paraId="6199EE6F"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952AF3" w:rsidRDefault="00064529" w:rsidP="00064529">
            <w:pPr>
              <w:rPr>
                <w:bCs/>
                <w:color w:val="000000"/>
                <w:sz w:val="20"/>
                <w:szCs w:val="20"/>
              </w:rPr>
            </w:pPr>
            <w:r w:rsidRPr="00952AF3">
              <w:rPr>
                <w:bCs/>
                <w:color w:val="000000"/>
                <w:sz w:val="20"/>
                <w:szCs w:val="20"/>
              </w:rPr>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FAR 9.405-1(b)</w:t>
            </w:r>
          </w:p>
          <w:p w14:paraId="6386ADA8"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 xml:space="preserve">For contractors debarred, suspended, or proposed for debarment, makes written determination of the compelling reasons to place orders exceeding the guaranteed minimum; place orders under FSS, BPAs, or BOAs; or add new work, exercise </w:t>
            </w:r>
            <w:r w:rsidRPr="00952AF3">
              <w:rPr>
                <w:rFonts w:eastAsia="Times New Roman"/>
                <w:sz w:val="20"/>
                <w:szCs w:val="20"/>
              </w:rPr>
              <w:lastRenderedPageBreak/>
              <w:t>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lastRenderedPageBreak/>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r>
      <w:tr w:rsidR="00C47E6F" w:rsidRPr="00952AF3" w14:paraId="0895F126" w14:textId="77777777" w:rsidTr="00F45D3E">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952AF3" w:rsidRDefault="00C47E6F" w:rsidP="00C47E6F">
            <w:pPr>
              <w:rPr>
                <w:bCs/>
                <w:color w:val="000000"/>
                <w:sz w:val="20"/>
                <w:szCs w:val="20"/>
              </w:rPr>
            </w:pPr>
            <w:r w:rsidRPr="00952AF3">
              <w:rPr>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952AF3" w:rsidRDefault="00653AE7"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9.405-2(a)</w:t>
            </w:r>
            <w:r w:rsidR="00C47E6F" w:rsidRPr="00952AF3">
              <w:rPr>
                <w:rFonts w:eastAsia="Times New Roman"/>
                <w:bCs/>
                <w:color w:val="000000"/>
                <w:sz w:val="20"/>
                <w:szCs w:val="20"/>
              </w:rPr>
              <w:br/>
            </w:r>
            <w:r w:rsidRPr="00952AF3">
              <w:rPr>
                <w:rFonts w:eastAsia="Times New Roman"/>
                <w:bCs/>
                <w:color w:val="000000"/>
                <w:sz w:val="20"/>
                <w:szCs w:val="20"/>
              </w:rPr>
              <w:t xml:space="preserve">DFARS </w:t>
            </w:r>
            <w:r w:rsidR="00C47E6F" w:rsidRPr="00952AF3">
              <w:rPr>
                <w:rFonts w:eastAsia="Times New Roman"/>
                <w:bCs/>
                <w:color w:val="000000"/>
                <w:sz w:val="20"/>
                <w:szCs w:val="20"/>
              </w:rPr>
              <w:t>209.405-2(a)</w:t>
            </w:r>
          </w:p>
          <w:p w14:paraId="1B796D1A" w14:textId="77777777" w:rsidR="00653AE7" w:rsidRPr="00952AF3" w:rsidRDefault="00653AE7" w:rsidP="00C47E6F">
            <w:pPr>
              <w:spacing w:after="0"/>
              <w:rPr>
                <w:rFonts w:eastAsia="Times New Roman"/>
                <w:bCs/>
                <w:color w:val="000000"/>
                <w:sz w:val="20"/>
                <w:szCs w:val="20"/>
              </w:rPr>
            </w:pPr>
            <w:r w:rsidRPr="00952AF3">
              <w:rPr>
                <w:rFonts w:eastAsia="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F33CEE" w:rsidRPr="00952AF3" w14:paraId="1A57F0F5" w14:textId="77777777" w:rsidTr="005B0121">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952AF3" w:rsidRDefault="00F33CEE" w:rsidP="00F33CEE">
            <w:pPr>
              <w:rPr>
                <w:bCs/>
                <w:color w:val="000000"/>
                <w:sz w:val="20"/>
                <w:szCs w:val="20"/>
              </w:rPr>
            </w:pPr>
            <w:r w:rsidRPr="00952AF3">
              <w:rPr>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DFARS 211.274-2(b)(2)(i)(A)</w:t>
            </w:r>
          </w:p>
          <w:p w14:paraId="055F768E"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AFFARS 5311.274-2(b)(2)(i)(A)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952AF3">
              <w:rPr>
                <w:rFonts w:eastAsia="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r>
      <w:tr w:rsidR="007E0E68" w:rsidRPr="00952AF3" w14:paraId="3A24F56E"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952AF3" w:rsidRDefault="007E0E68" w:rsidP="007E0E68">
            <w:pPr>
              <w:rPr>
                <w:bCs/>
                <w:color w:val="000000"/>
                <w:sz w:val="20"/>
                <w:szCs w:val="20"/>
              </w:rPr>
            </w:pPr>
            <w:r w:rsidRPr="00952AF3">
              <w:rPr>
                <w:bCs/>
                <w:color w:val="000000"/>
                <w:sz w:val="20"/>
                <w:szCs w:val="20"/>
              </w:rPr>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FAR 11.501(d)</w:t>
            </w:r>
          </w:p>
          <w:p w14:paraId="39D8F0D6"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7E0E68" w:rsidRPr="00952AF3" w14:paraId="04B4997B" w14:textId="77777777" w:rsidTr="00F45D3E">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952AF3" w:rsidRDefault="007E0E68" w:rsidP="007E0E68">
            <w:pPr>
              <w:rPr>
                <w:bCs/>
                <w:color w:val="000000"/>
                <w:sz w:val="20"/>
                <w:szCs w:val="20"/>
              </w:rPr>
            </w:pPr>
            <w:r w:rsidRPr="00952AF3">
              <w:rPr>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DFARS 212.207(b)(iii)</w:t>
            </w:r>
          </w:p>
          <w:p w14:paraId="6770E53D"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1F98E26E" w14:textId="77777777" w:rsidR="007806A8" w:rsidRDefault="007E0E68" w:rsidP="007E0E68">
            <w:pPr>
              <w:spacing w:after="0"/>
              <w:jc w:val="center"/>
              <w:rPr>
                <w:rFonts w:eastAsia="Times New Roman"/>
                <w:sz w:val="20"/>
                <w:szCs w:val="20"/>
              </w:rPr>
            </w:pPr>
            <w:r w:rsidRPr="00952AF3">
              <w:rPr>
                <w:rFonts w:eastAsia="Times New Roman"/>
                <w:sz w:val="20"/>
                <w:szCs w:val="20"/>
              </w:rPr>
              <w:t xml:space="preserve">Approves written determination by the contracting officer to use T&amp;M for commercial services outlined in 212.207(b)(iii)(A), (B), (C), </w:t>
            </w:r>
            <w:r w:rsidRPr="00952AF3">
              <w:rPr>
                <w:rFonts w:eastAsia="Times New Roman"/>
                <w:b/>
                <w:bCs/>
                <w:sz w:val="20"/>
                <w:szCs w:val="20"/>
                <w:u w:val="single"/>
              </w:rPr>
              <w:t>AND</w:t>
            </w:r>
            <w:r w:rsidRPr="00952AF3">
              <w:rPr>
                <w:rFonts w:eastAsia="Times New Roman"/>
                <w:sz w:val="20"/>
                <w:szCs w:val="20"/>
              </w:rPr>
              <w:t xml:space="preserve"> (D)</w:t>
            </w:r>
          </w:p>
          <w:p w14:paraId="58E090F2" w14:textId="473367EF" w:rsidR="007E0E68" w:rsidRPr="00952AF3" w:rsidRDefault="007E0E68" w:rsidP="007E0E68">
            <w:pPr>
              <w:spacing w:after="0"/>
              <w:jc w:val="center"/>
              <w:rPr>
                <w:rFonts w:eastAsia="Times New Roman"/>
                <w:sz w:val="20"/>
                <w:szCs w:val="20"/>
              </w:rPr>
            </w:pPr>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Yes, if the base period plus any option period is 3 years or less and T&amp;M or 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Yes, one level above the CO if the base period plus any option period is 3 years or less and the T&amp;M or LH value is less than or equal to $1M</w:t>
            </w:r>
          </w:p>
        </w:tc>
      </w:tr>
      <w:tr w:rsidR="00C47E6F" w:rsidRPr="00952AF3" w14:paraId="2E12A233" w14:textId="77777777" w:rsidTr="007E0E68">
        <w:trPr>
          <w:trHeight w:val="765"/>
        </w:trPr>
        <w:tc>
          <w:tcPr>
            <w:tcW w:w="720" w:type="dxa"/>
            <w:tcBorders>
              <w:top w:val="nil"/>
              <w:left w:val="single" w:sz="4" w:space="0" w:color="auto"/>
              <w:bottom w:val="single" w:sz="4" w:space="0" w:color="auto"/>
              <w:right w:val="single" w:sz="4" w:space="0" w:color="auto"/>
            </w:tcBorders>
            <w:shd w:val="clear" w:color="auto" w:fill="FFFF99"/>
            <w:noWrap/>
          </w:tcPr>
          <w:p w14:paraId="1F70B1C4" w14:textId="77777777" w:rsidR="00C47E6F" w:rsidRPr="00952AF3" w:rsidRDefault="00C47E6F" w:rsidP="00C47E6F">
            <w:pPr>
              <w:rPr>
                <w:bCs/>
                <w:color w:val="000000"/>
                <w:sz w:val="20"/>
                <w:szCs w:val="20"/>
              </w:rPr>
            </w:pPr>
            <w:r w:rsidRPr="00952AF3">
              <w:rPr>
                <w:bCs/>
                <w:color w:val="000000"/>
                <w:sz w:val="20"/>
                <w:szCs w:val="20"/>
              </w:rPr>
              <w:t>25</w:t>
            </w:r>
          </w:p>
        </w:tc>
        <w:tc>
          <w:tcPr>
            <w:tcW w:w="1980" w:type="dxa"/>
            <w:tcBorders>
              <w:top w:val="nil"/>
              <w:left w:val="nil"/>
              <w:bottom w:val="single" w:sz="4" w:space="0" w:color="auto"/>
              <w:right w:val="single" w:sz="4" w:space="0" w:color="auto"/>
            </w:tcBorders>
            <w:shd w:val="clear" w:color="000000" w:fill="FFFF99"/>
            <w:hideMark/>
          </w:tcPr>
          <w:p w14:paraId="41607AE1" w14:textId="77777777" w:rsidR="00C47E6F" w:rsidRPr="00952AF3" w:rsidRDefault="00310F0A" w:rsidP="00310F0A">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13.501(a)(2)(iv)</w:t>
            </w:r>
            <w:r w:rsidR="00C47E6F"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D56D8F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Approves the justification for sole source (including brand name) acquisitions conducted under subpart 13.5 for a proposed action exceeding $93 million</w:t>
            </w:r>
          </w:p>
        </w:tc>
        <w:tc>
          <w:tcPr>
            <w:tcW w:w="1350" w:type="dxa"/>
            <w:tcBorders>
              <w:top w:val="nil"/>
              <w:left w:val="nil"/>
              <w:bottom w:val="single" w:sz="4" w:space="0" w:color="auto"/>
              <w:right w:val="single" w:sz="4" w:space="0" w:color="auto"/>
            </w:tcBorders>
            <w:shd w:val="clear" w:color="000000" w:fill="FFFF99"/>
            <w:hideMark/>
          </w:tcPr>
          <w:p w14:paraId="77CD48CC" w14:textId="77777777" w:rsidR="00C47E6F" w:rsidRPr="00952AF3" w:rsidRDefault="00C47E6F"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96EC39B"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4952D0C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0920100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63B49264"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952AF3" w:rsidRDefault="00C47E6F" w:rsidP="00C47E6F">
            <w:pPr>
              <w:rPr>
                <w:bCs/>
                <w:color w:val="000000"/>
                <w:sz w:val="20"/>
                <w:szCs w:val="20"/>
              </w:rPr>
            </w:pPr>
            <w:r w:rsidRPr="00952AF3">
              <w:rPr>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952AF3" w:rsidRDefault="00336B2F" w:rsidP="00C47E6F">
            <w:pPr>
              <w:spacing w:after="0"/>
              <w:rPr>
                <w:rFonts w:eastAsia="Times New Roman"/>
                <w:bCs/>
                <w:sz w:val="20"/>
                <w:szCs w:val="20"/>
              </w:rPr>
            </w:pPr>
            <w:r w:rsidRPr="00952AF3">
              <w:rPr>
                <w:rFonts w:eastAsia="Times New Roman"/>
                <w:bCs/>
                <w:sz w:val="20"/>
                <w:szCs w:val="20"/>
              </w:rPr>
              <w:t xml:space="preserve">FAR </w:t>
            </w:r>
            <w:r w:rsidR="00C47E6F" w:rsidRPr="00952AF3">
              <w:rPr>
                <w:rFonts w:eastAsia="Times New Roman"/>
                <w:bCs/>
                <w:sz w:val="20"/>
                <w:szCs w:val="20"/>
              </w:rPr>
              <w:t>16.504(c)(2)(i)(A)</w:t>
            </w:r>
          </w:p>
          <w:p w14:paraId="1107901F" w14:textId="77777777" w:rsidR="00D72ADD" w:rsidRPr="00952AF3" w:rsidRDefault="00D72ADD"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952AF3" w:rsidRDefault="007E0E68" w:rsidP="00336B2F">
            <w:pPr>
              <w:spacing w:after="0"/>
              <w:jc w:val="center"/>
              <w:rPr>
                <w:rFonts w:eastAsia="Times New Roman"/>
                <w:sz w:val="20"/>
                <w:szCs w:val="20"/>
              </w:rPr>
            </w:pPr>
            <w:r w:rsidRPr="00952AF3">
              <w:rPr>
                <w:rFonts w:eastAsia="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6228EE3"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952AF3" w:rsidRDefault="007E0E6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952AF3" w:rsidRDefault="007E0E68" w:rsidP="00C47E6F">
            <w:pPr>
              <w:spacing w:after="0"/>
              <w:jc w:val="center"/>
              <w:rPr>
                <w:rFonts w:eastAsia="Times New Roman"/>
                <w:sz w:val="20"/>
                <w:szCs w:val="20"/>
              </w:rPr>
            </w:pPr>
            <w:r w:rsidRPr="00952AF3">
              <w:rPr>
                <w:rFonts w:eastAsia="Times New Roman"/>
                <w:sz w:val="20"/>
                <w:szCs w:val="20"/>
              </w:rPr>
              <w:t>No</w:t>
            </w:r>
          </w:p>
        </w:tc>
      </w:tr>
      <w:tr w:rsidR="007E0E68" w:rsidRPr="00952AF3" w14:paraId="38320383"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952AF3" w:rsidRDefault="007E0E68" w:rsidP="007E0E68">
            <w:pPr>
              <w:rPr>
                <w:bCs/>
                <w:color w:val="000000"/>
                <w:sz w:val="20"/>
                <w:szCs w:val="20"/>
              </w:rPr>
            </w:pPr>
            <w:r w:rsidRPr="00952AF3">
              <w:rPr>
                <w:bCs/>
                <w:color w:val="000000"/>
                <w:sz w:val="20"/>
                <w:szCs w:val="20"/>
              </w:rPr>
              <w:lastRenderedPageBreak/>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952AF3" w:rsidRDefault="007E0E68" w:rsidP="007E0E68">
            <w:pPr>
              <w:spacing w:after="0"/>
              <w:rPr>
                <w:rFonts w:eastAsia="Times New Roman"/>
                <w:bCs/>
                <w:sz w:val="20"/>
                <w:szCs w:val="20"/>
              </w:rPr>
            </w:pPr>
            <w:r w:rsidRPr="00952AF3">
              <w:rPr>
                <w:rFonts w:eastAsia="Times New Roman"/>
                <w:bCs/>
                <w:sz w:val="20"/>
                <w:szCs w:val="20"/>
              </w:rPr>
              <w:t>FAR 16.504(c)(2)(i)(B)</w:t>
            </w:r>
          </w:p>
          <w:p w14:paraId="07385804" w14:textId="77777777" w:rsidR="007E0E68" w:rsidRPr="00952AF3" w:rsidRDefault="007E0E68"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Designates official other than contracting officer to make determination in writing, after the evaluation of offers, that only one offeror is capable of providing the services required at the level of quality required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341A5A13"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7E0E68" w:rsidRPr="00952AF3" w14:paraId="2750FC22"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952AF3" w:rsidRDefault="007E0E68" w:rsidP="007E0E68">
            <w:pPr>
              <w:rPr>
                <w:bCs/>
                <w:color w:val="000000"/>
                <w:sz w:val="20"/>
                <w:szCs w:val="20"/>
              </w:rPr>
            </w:pPr>
            <w:r w:rsidRPr="00952AF3">
              <w:rPr>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952AF3" w:rsidRDefault="007E0E68" w:rsidP="007E0E68">
            <w:pPr>
              <w:spacing w:after="0"/>
              <w:rPr>
                <w:rFonts w:eastAsia="Times New Roman"/>
                <w:bCs/>
                <w:sz w:val="20"/>
                <w:szCs w:val="20"/>
              </w:rPr>
            </w:pPr>
            <w:r w:rsidRPr="00952AF3">
              <w:rPr>
                <w:rFonts w:eastAsia="Times New Roman"/>
                <w:bCs/>
                <w:sz w:val="20"/>
                <w:szCs w:val="20"/>
              </w:rPr>
              <w:t>FAR 16.504(c)(2)(ii)</w:t>
            </w:r>
          </w:p>
          <w:p w14:paraId="5DAACA7B" w14:textId="77777777" w:rsidR="007E0E68" w:rsidRPr="00952AF3" w:rsidRDefault="007E0E68"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145F940E"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C47E6F" w:rsidRPr="00952AF3" w14:paraId="0344535B"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68E57E43" w14:textId="77777777" w:rsidR="00C47E6F" w:rsidRPr="00952AF3" w:rsidRDefault="00C47E6F" w:rsidP="00C47E6F">
            <w:pPr>
              <w:rPr>
                <w:bCs/>
                <w:color w:val="000000"/>
                <w:sz w:val="20"/>
                <w:szCs w:val="20"/>
              </w:rPr>
            </w:pPr>
            <w:r w:rsidRPr="00952AF3">
              <w:rPr>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000000" w:fill="FFFF99"/>
            <w:hideMark/>
          </w:tcPr>
          <w:p w14:paraId="4729CF58" w14:textId="77777777" w:rsidR="00C47E6F" w:rsidRPr="00952AF3" w:rsidRDefault="005B0121" w:rsidP="00D72ADD">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16.505(b)(2)(ii)(C)(4)</w:t>
            </w:r>
            <w:r w:rsidR="00C47E6F" w:rsidRPr="00952AF3">
              <w:rPr>
                <w:rFonts w:eastAsia="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000000" w:fill="FFFF99"/>
            <w:hideMark/>
          </w:tcPr>
          <w:p w14:paraId="2A04383D"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Approves the justification for exceptions to fair opportunity for a proposed order over $93 million </w:t>
            </w:r>
          </w:p>
        </w:tc>
        <w:tc>
          <w:tcPr>
            <w:tcW w:w="1350" w:type="dxa"/>
            <w:tcBorders>
              <w:top w:val="single" w:sz="4" w:space="0" w:color="auto"/>
              <w:left w:val="nil"/>
              <w:bottom w:val="single" w:sz="4" w:space="0" w:color="auto"/>
              <w:right w:val="single" w:sz="4" w:space="0" w:color="auto"/>
            </w:tcBorders>
            <w:shd w:val="clear" w:color="000000" w:fill="FFFF99"/>
            <w:hideMark/>
          </w:tcPr>
          <w:p w14:paraId="7EEE4AC2" w14:textId="77777777" w:rsidR="00C47E6F" w:rsidRPr="00952AF3" w:rsidRDefault="00C47E6F"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000000" w:fill="FFFF99"/>
            <w:hideMark/>
          </w:tcPr>
          <w:p w14:paraId="16B6E31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01320747"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74DEB2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2FED9474"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952AF3" w:rsidRDefault="00C47E6F" w:rsidP="00C47E6F">
            <w:pPr>
              <w:rPr>
                <w:bCs/>
                <w:color w:val="000000"/>
                <w:sz w:val="20"/>
                <w:szCs w:val="20"/>
              </w:rPr>
            </w:pPr>
            <w:r w:rsidRPr="00952AF3">
              <w:rPr>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17.105-1(b)</w:t>
            </w:r>
          </w:p>
          <w:p w14:paraId="197A1D13"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432713A"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187A62C3"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952AF3" w:rsidRDefault="00C47E6F" w:rsidP="00C47E6F">
            <w:pPr>
              <w:rPr>
                <w:bCs/>
                <w:color w:val="000000"/>
                <w:sz w:val="20"/>
                <w:szCs w:val="20"/>
              </w:rPr>
            </w:pPr>
            <w:r w:rsidRPr="00952AF3">
              <w:rPr>
                <w:bCs/>
                <w:color w:val="000000"/>
                <w:sz w:val="20"/>
                <w:szCs w:val="20"/>
              </w:rPr>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217.170(a)</w:t>
            </w:r>
          </w:p>
          <w:p w14:paraId="5EC6BC11"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5317.170(a)</w:t>
            </w:r>
            <w:r w:rsidR="00C47E6F" w:rsidRPr="00952AF3">
              <w:rPr>
                <w:rFonts w:eastAsia="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828DB56"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377133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952AF3" w:rsidRDefault="00C47E6F" w:rsidP="00C47E6F">
            <w:pPr>
              <w:rPr>
                <w:bCs/>
                <w:color w:val="000000"/>
                <w:sz w:val="20"/>
                <w:szCs w:val="20"/>
              </w:rPr>
            </w:pPr>
            <w:r w:rsidRPr="00952AF3">
              <w:rPr>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217.170(b)</w:t>
            </w:r>
          </w:p>
          <w:p w14:paraId="518EE462"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47C6B57"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7BFE95E9"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952AF3" w:rsidRDefault="00C47E6F" w:rsidP="00C47E6F">
            <w:pPr>
              <w:rPr>
                <w:bCs/>
                <w:color w:val="000000"/>
                <w:sz w:val="20"/>
                <w:szCs w:val="20"/>
              </w:rPr>
            </w:pPr>
            <w:r w:rsidRPr="00952AF3">
              <w:rPr>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217.171(c)</w:t>
            </w:r>
          </w:p>
          <w:p w14:paraId="639D18B5"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0D24B22"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lastRenderedPageBreak/>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lastRenderedPageBreak/>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56A3AAEB"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952AF3" w:rsidRDefault="00C47E6F" w:rsidP="00C47E6F">
            <w:pPr>
              <w:rPr>
                <w:bCs/>
                <w:color w:val="000000"/>
                <w:sz w:val="20"/>
                <w:szCs w:val="20"/>
              </w:rPr>
            </w:pPr>
            <w:r w:rsidRPr="00952AF3">
              <w:rPr>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217.172(h)</w:t>
            </w:r>
          </w:p>
          <w:p w14:paraId="6A83BC10"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4E8C71EF"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49B9A539"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952AF3" w:rsidRDefault="00C47E6F" w:rsidP="00C47E6F">
            <w:pPr>
              <w:rPr>
                <w:bCs/>
                <w:color w:val="000000"/>
                <w:sz w:val="20"/>
                <w:szCs w:val="20"/>
              </w:rPr>
            </w:pPr>
            <w:r w:rsidRPr="00952AF3">
              <w:rPr>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217.173</w:t>
            </w:r>
          </w:p>
          <w:p w14:paraId="5791107C"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Enters into a</w:t>
            </w:r>
            <w:r w:rsidRPr="00952AF3">
              <w:rPr>
                <w:rFonts w:eastAsia="Times New Roman"/>
                <w:b/>
                <w:bCs/>
                <w:sz w:val="20"/>
                <w:szCs w:val="20"/>
              </w:rPr>
              <w:t xml:space="preserve"> </w:t>
            </w:r>
            <w:r w:rsidRPr="00952AF3">
              <w:rPr>
                <w:rFonts w:eastAsia="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77D7853"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16764A30"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952AF3" w:rsidRDefault="00C47E6F" w:rsidP="00C47E6F">
            <w:pPr>
              <w:rPr>
                <w:bCs/>
                <w:color w:val="000000"/>
                <w:sz w:val="20"/>
                <w:szCs w:val="20"/>
              </w:rPr>
            </w:pPr>
            <w:r w:rsidRPr="00952AF3">
              <w:rPr>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217.204(e)(i)(C)</w:t>
            </w:r>
          </w:p>
          <w:p w14:paraId="6E9E37F2"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5317.204(e)(i)(C)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16208B49"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A1409D8"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952AF3" w:rsidRDefault="00C47E6F" w:rsidP="00C47E6F">
            <w:pPr>
              <w:rPr>
                <w:bCs/>
                <w:color w:val="000000"/>
                <w:sz w:val="20"/>
                <w:szCs w:val="20"/>
              </w:rPr>
            </w:pPr>
            <w:r w:rsidRPr="00952AF3">
              <w:rPr>
                <w:bCs/>
                <w:color w:val="000000"/>
                <w:sz w:val="20"/>
                <w:szCs w:val="20"/>
              </w:rPr>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217.204(e)(iii)</w:t>
            </w:r>
          </w:p>
          <w:p w14:paraId="1497BEE8"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77777777" w:rsidR="00C47E6F" w:rsidRPr="00952AF3" w:rsidRDefault="00C47E6F" w:rsidP="00200DDC">
            <w:pPr>
              <w:spacing w:after="0"/>
              <w:jc w:val="center"/>
              <w:rPr>
                <w:rFonts w:eastAsia="Times New Roman"/>
                <w:sz w:val="20"/>
                <w:szCs w:val="20"/>
              </w:rPr>
            </w:pPr>
            <w:r w:rsidRPr="00952AF3">
              <w:rPr>
                <w:rFonts w:eastAsia="Times New Roman"/>
                <w:sz w:val="20"/>
                <w:szCs w:val="20"/>
              </w:rPr>
              <w:t>Approves issuance of an order subject to 217.204(e)(</w:t>
            </w:r>
            <w:r w:rsidR="00200DDC" w:rsidRPr="00952AF3">
              <w:rPr>
                <w:rFonts w:eastAsia="Times New Roman"/>
                <w:sz w:val="20"/>
                <w:szCs w:val="20"/>
              </w:rPr>
              <w:t>i</w:t>
            </w:r>
            <w:r w:rsidRPr="00952AF3">
              <w:rPr>
                <w:rFonts w:eastAsia="Times New Roman"/>
                <w:sz w:val="20"/>
                <w:szCs w:val="20"/>
              </w:rPr>
              <w:t>)</w:t>
            </w:r>
            <w:r w:rsidR="00200DDC" w:rsidRPr="00952AF3">
              <w:rPr>
                <w:rFonts w:eastAsia="Times New Roman"/>
                <w:sz w:val="20"/>
                <w:szCs w:val="20"/>
              </w:rPr>
              <w:t>*</w:t>
            </w:r>
            <w:r w:rsidRPr="00952AF3">
              <w:rPr>
                <w:rFonts w:eastAsia="Times New Roman"/>
                <w:sz w:val="20"/>
                <w:szCs w:val="20"/>
              </w:rPr>
              <w:t xml:space="preserve"> if performance under the order is expected to extend more than 1 year beyond the 10-yr limit or extended limit described in (e)(i)(C)</w:t>
            </w:r>
          </w:p>
          <w:p w14:paraId="7A00DE37" w14:textId="77777777" w:rsidR="00200DDC" w:rsidRPr="00952AF3" w:rsidRDefault="00200DDC" w:rsidP="00200DDC">
            <w:pPr>
              <w:spacing w:after="0"/>
              <w:rPr>
                <w:rFonts w:eastAsia="Times New Roman"/>
                <w:b/>
                <w:i/>
                <w:color w:val="0000CC"/>
                <w:sz w:val="20"/>
                <w:szCs w:val="20"/>
              </w:rPr>
            </w:pPr>
            <w:r w:rsidRPr="00952AF3">
              <w:rPr>
                <w:rFonts w:eastAsia="Times New Roman"/>
                <w:b/>
                <w:i/>
                <w:color w:val="0000CC"/>
                <w:sz w:val="20"/>
                <w:szCs w:val="20"/>
              </w:rPr>
              <w:t xml:space="preserve">*PM 20-C-0X updates reference </w:t>
            </w: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2D9ADB3F"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28D9C3D9"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6409D8" w:rsidRPr="00952AF3" w14:paraId="6D8A8033" w14:textId="77777777" w:rsidTr="006409D8">
        <w:trPr>
          <w:trHeight w:val="1020"/>
        </w:trPr>
        <w:tc>
          <w:tcPr>
            <w:tcW w:w="720" w:type="dxa"/>
            <w:tcBorders>
              <w:top w:val="nil"/>
              <w:left w:val="single" w:sz="4" w:space="0" w:color="auto"/>
              <w:bottom w:val="single" w:sz="4" w:space="0" w:color="auto"/>
              <w:right w:val="single" w:sz="4" w:space="0" w:color="auto"/>
            </w:tcBorders>
            <w:shd w:val="clear" w:color="auto" w:fill="FFFF99"/>
            <w:noWrap/>
          </w:tcPr>
          <w:p w14:paraId="3DCA5107" w14:textId="77777777" w:rsidR="006409D8" w:rsidRPr="00952AF3" w:rsidRDefault="006409D8" w:rsidP="00C47E6F">
            <w:pPr>
              <w:rPr>
                <w:bCs/>
                <w:color w:val="000000"/>
                <w:sz w:val="20"/>
                <w:szCs w:val="20"/>
              </w:rPr>
            </w:pPr>
            <w:r w:rsidRPr="00952AF3">
              <w:rPr>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15933DCE" w14:textId="77777777" w:rsidR="006409D8" w:rsidRPr="00952AF3" w:rsidRDefault="006409D8" w:rsidP="00C47E6F">
            <w:pPr>
              <w:spacing w:after="0"/>
              <w:rPr>
                <w:bCs/>
                <w:color w:val="000000"/>
                <w:sz w:val="20"/>
                <w:szCs w:val="20"/>
              </w:rPr>
            </w:pPr>
            <w:r w:rsidRPr="00952AF3">
              <w:rPr>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4CB6CD85" w14:textId="77777777" w:rsidR="006409D8" w:rsidRPr="00952AF3" w:rsidRDefault="006409D8" w:rsidP="002D6E15">
            <w:pPr>
              <w:spacing w:after="0"/>
              <w:jc w:val="center"/>
              <w:rPr>
                <w:rFonts w:eastAsia="Times New Roman"/>
                <w:sz w:val="20"/>
                <w:szCs w:val="20"/>
              </w:rPr>
            </w:pPr>
            <w:r w:rsidRPr="00952AF3">
              <w:rPr>
                <w:rFonts w:eastAsia="Times New Roman"/>
                <w:sz w:val="20"/>
                <w:szCs w:val="20"/>
              </w:rPr>
              <w:t xml:space="preserve">Approves D&amp;F for an Economy Act order to obtain supplies or services by interagency acquisition when the servicing agency is </w:t>
            </w:r>
            <w:r w:rsidRPr="00952AF3">
              <w:rPr>
                <w:rFonts w:eastAsia="Times New Roman"/>
                <w:bCs/>
                <w:sz w:val="20"/>
                <w:szCs w:val="20"/>
              </w:rPr>
              <w:t>not</w:t>
            </w:r>
            <w:r w:rsidRPr="00952AF3">
              <w:rPr>
                <w:rFonts w:eastAsia="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1BF73E50" w14:textId="77777777" w:rsidR="006409D8" w:rsidRPr="00952AF3" w:rsidRDefault="006409D8" w:rsidP="00C47E6F">
            <w:pPr>
              <w:spacing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771E321D"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5C75856F"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238CD9C1"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6EE9252C"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952AF3" w:rsidRDefault="006409D8" w:rsidP="00C47E6F">
            <w:pPr>
              <w:rPr>
                <w:bCs/>
                <w:color w:val="000000"/>
                <w:sz w:val="20"/>
                <w:szCs w:val="20"/>
              </w:rPr>
            </w:pPr>
            <w:r w:rsidRPr="00952AF3">
              <w:rPr>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217.7404-5(b)</w:t>
            </w:r>
          </w:p>
          <w:p w14:paraId="50A3E9EC" w14:textId="77777777" w:rsidR="006409D8" w:rsidRPr="00952AF3" w:rsidRDefault="006409D8" w:rsidP="004A39E1">
            <w:pPr>
              <w:spacing w:after="0"/>
              <w:rPr>
                <w:rFonts w:eastAsia="Times New Roman"/>
                <w:bCs/>
                <w:sz w:val="20"/>
                <w:szCs w:val="20"/>
              </w:rPr>
            </w:pPr>
            <w:r w:rsidRPr="00952AF3">
              <w:rPr>
                <w:rFonts w:eastAsia="Times New Roman"/>
                <w:bCs/>
                <w:color w:val="000000"/>
                <w:sz w:val="20"/>
                <w:szCs w:val="20"/>
              </w:rPr>
              <w:t xml:space="preserve">AFARS </w:t>
            </w:r>
            <w:r w:rsidR="004A39E1" w:rsidRPr="00952AF3">
              <w:rPr>
                <w:rFonts w:eastAsia="Times New Roman"/>
                <w:bCs/>
                <w:color w:val="000000"/>
                <w:sz w:val="20"/>
                <w:szCs w:val="20"/>
              </w:rPr>
              <w:t>53</w:t>
            </w:r>
            <w:r w:rsidRPr="00952AF3">
              <w:rPr>
                <w:rFonts w:eastAsia="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5B27B2F8"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952AF3" w:rsidRDefault="006409D8" w:rsidP="00C47E6F">
            <w:pPr>
              <w:rPr>
                <w:bCs/>
                <w:color w:val="000000"/>
                <w:sz w:val="20"/>
                <w:szCs w:val="20"/>
              </w:rPr>
            </w:pPr>
            <w:r w:rsidRPr="00952AF3">
              <w:rPr>
                <w:bCs/>
                <w:color w:val="000000"/>
                <w:sz w:val="20"/>
                <w:szCs w:val="20"/>
              </w:rPr>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 xml:space="preserve">FAR 19.1505(g)(3) </w:t>
            </w:r>
          </w:p>
          <w:p w14:paraId="09EEBB1C"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51C1F326" w14:textId="77777777" w:rsidTr="00F33CEE">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952AF3" w:rsidRDefault="006409D8" w:rsidP="00C47E6F">
            <w:pPr>
              <w:rPr>
                <w:bCs/>
                <w:color w:val="000000"/>
                <w:sz w:val="20"/>
                <w:szCs w:val="20"/>
              </w:rPr>
            </w:pPr>
            <w:r w:rsidRPr="00952AF3">
              <w:rPr>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19.1505(g)(5)</w:t>
            </w:r>
          </w:p>
          <w:p w14:paraId="10C87F1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0AC53A3"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1899DABD" w14:textId="77777777" w:rsidR="006409D8" w:rsidRPr="00952AF3" w:rsidRDefault="006409D8" w:rsidP="00C47E6F">
            <w:pPr>
              <w:rPr>
                <w:bCs/>
                <w:color w:val="000000"/>
                <w:sz w:val="20"/>
                <w:szCs w:val="20"/>
              </w:rPr>
            </w:pPr>
            <w:r w:rsidRPr="00952AF3">
              <w:rPr>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616947A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1EEE6D9E"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3BF016B9"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04A48643"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36BF5DA8"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6678BB0A"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1D8CD581" w14:textId="77777777" w:rsidTr="00F33CE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952AF3" w:rsidRDefault="006409D8" w:rsidP="00C47E6F">
            <w:pPr>
              <w:rPr>
                <w:bCs/>
                <w:color w:val="000000"/>
                <w:sz w:val="20"/>
                <w:szCs w:val="20"/>
              </w:rPr>
            </w:pPr>
            <w:r w:rsidRPr="00952AF3">
              <w:rPr>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222.7003</w:t>
            </w:r>
          </w:p>
          <w:p w14:paraId="054EDC2E"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952AF3" w:rsidRDefault="00F85F5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3E530105"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952AF3" w:rsidRDefault="006409D8" w:rsidP="00C47E6F">
            <w:pPr>
              <w:rPr>
                <w:bCs/>
                <w:color w:val="000000"/>
                <w:sz w:val="20"/>
                <w:szCs w:val="20"/>
              </w:rPr>
            </w:pPr>
            <w:r w:rsidRPr="00952AF3">
              <w:rPr>
                <w:bCs/>
                <w:color w:val="000000"/>
                <w:sz w:val="20"/>
                <w:szCs w:val="20"/>
              </w:rPr>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25.103(a)</w:t>
            </w:r>
            <w:r w:rsidRPr="00952AF3">
              <w:rPr>
                <w:rFonts w:eastAsia="Times New Roman"/>
                <w:bCs/>
                <w:color w:val="000000"/>
                <w:sz w:val="20"/>
                <w:szCs w:val="20"/>
              </w:rPr>
              <w:br/>
              <w:t>DFARS 225.103(a)(ii)(B)(3)</w:t>
            </w:r>
          </w:p>
          <w:p w14:paraId="7C9BA70E"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08326C65"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952AF3" w:rsidRDefault="00F85F59" w:rsidP="00C47E6F">
            <w:pPr>
              <w:spacing w:after="0"/>
              <w:jc w:val="center"/>
              <w:rPr>
                <w:rFonts w:eastAsia="Times New Roman"/>
                <w:sz w:val="20"/>
                <w:szCs w:val="20"/>
              </w:rPr>
            </w:pPr>
            <w:r w:rsidRPr="00952AF3">
              <w:rPr>
                <w:rFonts w:eastAsia="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6EDAF6D6" w14:textId="77777777" w:rsidTr="00F33CE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952AF3" w:rsidRDefault="006409D8" w:rsidP="00C47E6F">
            <w:pPr>
              <w:rPr>
                <w:bCs/>
                <w:color w:val="000000"/>
                <w:sz w:val="20"/>
                <w:szCs w:val="20"/>
              </w:rPr>
            </w:pPr>
            <w:r w:rsidRPr="00952AF3">
              <w:rPr>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25.202(a)(1)</w:t>
            </w:r>
          </w:p>
          <w:p w14:paraId="01339BD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64AC46A0"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952AF3" w:rsidRDefault="00F85F59" w:rsidP="00C47E6F">
            <w:pPr>
              <w:spacing w:after="0"/>
              <w:jc w:val="center"/>
              <w:rPr>
                <w:rFonts w:eastAsia="Times New Roman"/>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363F715A" w14:textId="77777777" w:rsidTr="00F33CE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952AF3" w:rsidRDefault="006409D8" w:rsidP="00C47E6F">
            <w:pPr>
              <w:rPr>
                <w:bCs/>
                <w:color w:val="000000"/>
                <w:sz w:val="20"/>
                <w:szCs w:val="20"/>
              </w:rPr>
            </w:pPr>
            <w:r w:rsidRPr="00952AF3">
              <w:rPr>
                <w:bCs/>
                <w:color w:val="000000"/>
                <w:sz w:val="20"/>
                <w:szCs w:val="20"/>
              </w:rPr>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25.204(b)</w:t>
            </w:r>
          </w:p>
          <w:p w14:paraId="5365543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99"/>
            <w:hideMark/>
          </w:tcPr>
          <w:p w14:paraId="63BF03FE"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952AF3" w:rsidRDefault="00F85F59" w:rsidP="00C47E6F">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599C6A6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952AF3" w:rsidRDefault="006409D8" w:rsidP="00C47E6F">
            <w:pPr>
              <w:rPr>
                <w:bCs/>
                <w:color w:val="000000"/>
                <w:sz w:val="20"/>
                <w:szCs w:val="20"/>
              </w:rPr>
            </w:pPr>
            <w:r w:rsidRPr="00952AF3">
              <w:rPr>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25.603(a)(1)(iii)</w:t>
            </w:r>
          </w:p>
          <w:p w14:paraId="3887EB11"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5E97FB1"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952AF3" w:rsidRDefault="00F85F59" w:rsidP="00C47E6F">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F85F59" w:rsidRPr="00952AF3" w14:paraId="1FB270AD"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952AF3" w:rsidRDefault="00F85F59" w:rsidP="00F85F59">
            <w:pPr>
              <w:rPr>
                <w:bCs/>
                <w:color w:val="000000"/>
                <w:sz w:val="20"/>
                <w:szCs w:val="20"/>
              </w:rPr>
            </w:pPr>
            <w:r w:rsidRPr="00952AF3">
              <w:rPr>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952AF3" w:rsidRDefault="00F85F59" w:rsidP="00F85F59">
            <w:pPr>
              <w:spacing w:after="0"/>
              <w:rPr>
                <w:rFonts w:eastAsia="Times New Roman"/>
                <w:bCs/>
                <w:color w:val="000000"/>
                <w:sz w:val="20"/>
                <w:szCs w:val="20"/>
              </w:rPr>
            </w:pPr>
            <w:r w:rsidRPr="00952AF3">
              <w:rPr>
                <w:rFonts w:eastAsia="Times New Roman"/>
                <w:bCs/>
                <w:color w:val="000000"/>
                <w:sz w:val="20"/>
                <w:szCs w:val="20"/>
              </w:rPr>
              <w:t xml:space="preserve">FAR 25.603(a)(2) </w:t>
            </w:r>
          </w:p>
          <w:p w14:paraId="5F4C3189" w14:textId="77777777" w:rsidR="00F85F59" w:rsidRPr="00952AF3" w:rsidRDefault="00F85F59" w:rsidP="00F85F59">
            <w:pPr>
              <w:spacing w:after="0"/>
              <w:rPr>
                <w:rFonts w:eastAsia="Times New Roman"/>
                <w:bCs/>
                <w:color w:val="000000"/>
                <w:sz w:val="20"/>
                <w:szCs w:val="20"/>
              </w:rPr>
            </w:pPr>
            <w:r w:rsidRPr="00952AF3">
              <w:rPr>
                <w:rFonts w:eastAsia="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952AF3" w:rsidRDefault="00F85F59" w:rsidP="00F85F59">
            <w:pPr>
              <w:spacing w:after="0"/>
              <w:jc w:val="center"/>
              <w:rPr>
                <w:rFonts w:eastAsia="Times New Roman"/>
                <w:color w:val="000000"/>
                <w:sz w:val="20"/>
                <w:szCs w:val="20"/>
              </w:rPr>
            </w:pPr>
            <w:r w:rsidRPr="00952AF3">
              <w:rPr>
                <w:rFonts w:eastAsia="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99"/>
            <w:hideMark/>
          </w:tcPr>
          <w:p w14:paraId="0F6748CB" w14:textId="77777777" w:rsidR="00F85F59" w:rsidRPr="00952AF3" w:rsidRDefault="00F85F59" w:rsidP="00F85F59">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952AF3" w:rsidRDefault="00F85F59" w:rsidP="00F85F59">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952AF3" w:rsidRDefault="00224A4B" w:rsidP="00F85F5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952AF3" w:rsidRDefault="00F85F59" w:rsidP="00F85F59">
            <w:pPr>
              <w:spacing w:after="0"/>
              <w:jc w:val="center"/>
              <w:rPr>
                <w:rFonts w:eastAsia="Times New Roman"/>
                <w:sz w:val="20"/>
                <w:szCs w:val="20"/>
              </w:rPr>
            </w:pPr>
            <w:r w:rsidRPr="00952AF3">
              <w:rPr>
                <w:rFonts w:eastAsia="Times New Roman"/>
                <w:sz w:val="20"/>
                <w:szCs w:val="20"/>
              </w:rPr>
              <w:t>No</w:t>
            </w:r>
          </w:p>
        </w:tc>
      </w:tr>
      <w:tr w:rsidR="006409D8" w:rsidRPr="00952AF3" w14:paraId="3AFBADB7"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952AF3" w:rsidRDefault="006409D8" w:rsidP="00C47E6F">
            <w:pPr>
              <w:rPr>
                <w:bCs/>
                <w:color w:val="000000"/>
                <w:sz w:val="20"/>
                <w:szCs w:val="20"/>
              </w:rPr>
            </w:pPr>
            <w:r w:rsidRPr="00952AF3">
              <w:rPr>
                <w:bCs/>
                <w:color w:val="000000"/>
                <w:sz w:val="20"/>
                <w:szCs w:val="20"/>
              </w:rPr>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25.603(b)(2)</w:t>
            </w:r>
          </w:p>
          <w:p w14:paraId="57C40B68" w14:textId="77777777" w:rsidR="006409D8" w:rsidRPr="00952AF3" w:rsidRDefault="006409D8" w:rsidP="004A39E1">
            <w:pPr>
              <w:spacing w:after="0"/>
              <w:rPr>
                <w:rFonts w:eastAsia="Times New Roman"/>
                <w:bCs/>
                <w:color w:val="000000"/>
                <w:sz w:val="20"/>
                <w:szCs w:val="20"/>
              </w:rPr>
            </w:pPr>
            <w:r w:rsidRPr="00952AF3">
              <w:rPr>
                <w:rFonts w:eastAsia="Times New Roman"/>
                <w:bCs/>
                <w:color w:val="000000"/>
                <w:sz w:val="20"/>
                <w:szCs w:val="20"/>
              </w:rPr>
              <w:t>AFFARS 5325.603(</w:t>
            </w:r>
            <w:r w:rsidR="004A39E1" w:rsidRPr="00952AF3">
              <w:rPr>
                <w:rFonts w:eastAsia="Times New Roman"/>
                <w:bCs/>
                <w:color w:val="000000"/>
                <w:sz w:val="20"/>
                <w:szCs w:val="20"/>
              </w:rPr>
              <w:t>b</w:t>
            </w:r>
            <w:r w:rsidRPr="00952AF3">
              <w:rPr>
                <w:rFonts w:eastAsia="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952AF3" w:rsidRDefault="00020F3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41006BEC" w14:textId="77777777" w:rsidTr="00F45D3E">
        <w:trPr>
          <w:trHeight w:val="125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952AF3" w:rsidRDefault="006409D8" w:rsidP="00C47E6F">
            <w:pPr>
              <w:rPr>
                <w:bCs/>
                <w:color w:val="000000"/>
                <w:sz w:val="20"/>
                <w:szCs w:val="20"/>
              </w:rPr>
            </w:pPr>
            <w:r w:rsidRPr="00952AF3">
              <w:rPr>
                <w:bCs/>
                <w:color w:val="000000"/>
                <w:sz w:val="20"/>
                <w:szCs w:val="20"/>
              </w:rPr>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25.1001(a)(2)(iii)</w:t>
            </w:r>
          </w:p>
          <w:p w14:paraId="140E94B8"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952AF3" w:rsidRDefault="00020F3B"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04BB71FD"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952AF3" w:rsidRDefault="006409D8" w:rsidP="00C47E6F">
            <w:pPr>
              <w:rPr>
                <w:bCs/>
                <w:color w:val="000000"/>
                <w:sz w:val="20"/>
                <w:szCs w:val="20"/>
              </w:rPr>
            </w:pPr>
            <w:r w:rsidRPr="00952AF3">
              <w:rPr>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225.7501(c)</w:t>
            </w:r>
          </w:p>
          <w:p w14:paraId="61885B5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134CD39" w14:textId="77777777" w:rsidTr="00020F3B">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99"/>
            <w:noWrap/>
          </w:tcPr>
          <w:p w14:paraId="2610A5BE" w14:textId="77777777" w:rsidR="006409D8" w:rsidRPr="00952AF3" w:rsidRDefault="006409D8" w:rsidP="00C47E6F">
            <w:pPr>
              <w:rPr>
                <w:bCs/>
                <w:color w:val="000000"/>
                <w:sz w:val="20"/>
                <w:szCs w:val="20"/>
              </w:rPr>
            </w:pPr>
            <w:r w:rsidRPr="00952AF3">
              <w:rPr>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99"/>
            <w:hideMark/>
          </w:tcPr>
          <w:p w14:paraId="67B331A7"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225.7703-2</w:t>
            </w:r>
          </w:p>
          <w:p w14:paraId="6084C662" w14:textId="77777777" w:rsidR="006409D8" w:rsidRPr="00952AF3" w:rsidRDefault="006409D8" w:rsidP="00C47E6F">
            <w:pPr>
              <w:spacing w:after="0"/>
              <w:rPr>
                <w:rFonts w:eastAsia="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99"/>
            <w:hideMark/>
          </w:tcPr>
          <w:p w14:paraId="60BB7AF6"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99"/>
            <w:hideMark/>
          </w:tcPr>
          <w:p w14:paraId="136915A6"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4170327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84C925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7C96D34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5AFA733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952AF3" w:rsidRDefault="006409D8" w:rsidP="00C47E6F">
            <w:pPr>
              <w:rPr>
                <w:bCs/>
                <w:color w:val="000000"/>
                <w:sz w:val="20"/>
                <w:szCs w:val="20"/>
              </w:rPr>
            </w:pPr>
            <w:r w:rsidRPr="00952AF3">
              <w:rPr>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FARS 26.203(b)</w:t>
            </w:r>
          </w:p>
          <w:p w14:paraId="0D55D4E2"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952AF3" w:rsidRDefault="005B0121"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67E1222" w14:textId="77777777" w:rsidTr="000D53AD">
        <w:trPr>
          <w:trHeight w:val="510"/>
        </w:trPr>
        <w:tc>
          <w:tcPr>
            <w:tcW w:w="720" w:type="dxa"/>
            <w:tcBorders>
              <w:top w:val="nil"/>
              <w:left w:val="single" w:sz="4" w:space="0" w:color="auto"/>
              <w:bottom w:val="single" w:sz="4" w:space="0" w:color="auto"/>
              <w:right w:val="single" w:sz="4" w:space="0" w:color="auto"/>
            </w:tcBorders>
            <w:shd w:val="clear" w:color="auto" w:fill="FFFF99"/>
          </w:tcPr>
          <w:p w14:paraId="55242B93" w14:textId="77777777" w:rsidR="006409D8" w:rsidRPr="00952AF3" w:rsidRDefault="006409D8" w:rsidP="00C47E6F">
            <w:pPr>
              <w:rPr>
                <w:bCs/>
                <w:color w:val="000000"/>
                <w:sz w:val="20"/>
                <w:szCs w:val="20"/>
              </w:rPr>
            </w:pPr>
            <w:r w:rsidRPr="00952AF3">
              <w:rPr>
                <w:bCs/>
                <w:color w:val="000000"/>
                <w:sz w:val="20"/>
                <w:szCs w:val="20"/>
              </w:rPr>
              <w:t>54</w:t>
            </w:r>
          </w:p>
        </w:tc>
        <w:tc>
          <w:tcPr>
            <w:tcW w:w="1980" w:type="dxa"/>
            <w:tcBorders>
              <w:top w:val="nil"/>
              <w:left w:val="nil"/>
              <w:bottom w:val="single" w:sz="4" w:space="0" w:color="auto"/>
              <w:right w:val="single" w:sz="4" w:space="0" w:color="auto"/>
            </w:tcBorders>
            <w:shd w:val="clear" w:color="auto" w:fill="FFFF99"/>
            <w:hideMark/>
          </w:tcPr>
          <w:p w14:paraId="67A8919F" w14:textId="77777777" w:rsidR="006409D8" w:rsidRPr="00952AF3" w:rsidRDefault="005B0121"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99"/>
            <w:hideMark/>
          </w:tcPr>
          <w:p w14:paraId="48E77E31"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99"/>
            <w:hideMark/>
          </w:tcPr>
          <w:p w14:paraId="73E0FA2F"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99"/>
            <w:hideMark/>
          </w:tcPr>
          <w:p w14:paraId="18EADBD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50120E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99"/>
          </w:tcPr>
          <w:p w14:paraId="1758D8B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69F7F4DC" w14:textId="77777777" w:rsidTr="004A39E1">
        <w:trPr>
          <w:trHeight w:val="2295"/>
        </w:trPr>
        <w:tc>
          <w:tcPr>
            <w:tcW w:w="720" w:type="dxa"/>
            <w:tcBorders>
              <w:top w:val="nil"/>
              <w:left w:val="single" w:sz="4" w:space="0" w:color="auto"/>
              <w:bottom w:val="single" w:sz="4" w:space="0" w:color="auto"/>
              <w:right w:val="single" w:sz="4" w:space="0" w:color="auto"/>
            </w:tcBorders>
            <w:shd w:val="clear" w:color="auto" w:fill="FFFF99"/>
            <w:noWrap/>
          </w:tcPr>
          <w:p w14:paraId="6D8A8AA6" w14:textId="77777777" w:rsidR="006409D8" w:rsidRPr="00952AF3" w:rsidRDefault="006409D8" w:rsidP="00C47E6F">
            <w:pPr>
              <w:rPr>
                <w:bCs/>
                <w:color w:val="000000"/>
                <w:sz w:val="20"/>
                <w:szCs w:val="20"/>
              </w:rPr>
            </w:pPr>
            <w:r w:rsidRPr="00952AF3">
              <w:rPr>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76F5FC82" w14:textId="77777777" w:rsidR="006409D8" w:rsidRPr="00952AF3" w:rsidRDefault="005B0121"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55E51152"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FD647A3"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6A8711A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5ABE15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4947FE6A"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2B4463E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952AF3" w:rsidRDefault="006409D8" w:rsidP="00C47E6F">
            <w:pPr>
              <w:rPr>
                <w:bCs/>
                <w:color w:val="000000"/>
                <w:sz w:val="20"/>
                <w:szCs w:val="20"/>
              </w:rPr>
            </w:pPr>
            <w:r w:rsidRPr="00952AF3">
              <w:rPr>
                <w:bCs/>
                <w:color w:val="000000"/>
                <w:sz w:val="20"/>
                <w:szCs w:val="20"/>
              </w:rPr>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32.402(c)(1)(iii)</w:t>
            </w:r>
          </w:p>
          <w:p w14:paraId="738D6AD6" w14:textId="77777777" w:rsidR="006409D8" w:rsidRPr="00952AF3" w:rsidRDefault="006409D8" w:rsidP="00C47E6F">
            <w:pPr>
              <w:spacing w:after="0"/>
              <w:rPr>
                <w:rFonts w:eastAsia="Times New Roman"/>
                <w:bCs/>
                <w:color w:val="000000"/>
                <w:sz w:val="20"/>
                <w:szCs w:val="20"/>
              </w:rPr>
            </w:pPr>
            <w:r w:rsidRPr="00952AF3">
              <w:rPr>
                <w:rFonts w:eastAsia="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04229295"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952AF3" w:rsidRDefault="006409D8" w:rsidP="00C47E6F">
            <w:pPr>
              <w:rPr>
                <w:bCs/>
                <w:color w:val="000000"/>
                <w:sz w:val="20"/>
                <w:szCs w:val="20"/>
              </w:rPr>
            </w:pPr>
            <w:r w:rsidRPr="00952AF3">
              <w:rPr>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32.906(a)</w:t>
            </w:r>
          </w:p>
          <w:p w14:paraId="70BD7C71"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02959FA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952AF3" w:rsidRDefault="006409D8" w:rsidP="00C47E6F">
            <w:pPr>
              <w:rPr>
                <w:bCs/>
                <w:color w:val="000000"/>
                <w:sz w:val="20"/>
                <w:szCs w:val="20"/>
              </w:rPr>
            </w:pPr>
            <w:r w:rsidRPr="00952AF3">
              <w:rPr>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32.1106(b)</w:t>
            </w:r>
          </w:p>
          <w:p w14:paraId="257FEE06"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46A75539" w14:textId="77777777" w:rsidTr="000D53A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411B0729" w14:textId="77777777" w:rsidR="006409D8" w:rsidRPr="00952AF3" w:rsidRDefault="006409D8" w:rsidP="00C47E6F">
            <w:pPr>
              <w:rPr>
                <w:bCs/>
                <w:color w:val="000000"/>
                <w:sz w:val="20"/>
                <w:szCs w:val="20"/>
              </w:rPr>
            </w:pPr>
            <w:r w:rsidRPr="00952AF3">
              <w:rPr>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99"/>
            <w:hideMark/>
          </w:tcPr>
          <w:p w14:paraId="44EE97E6" w14:textId="77777777" w:rsidR="006409D8" w:rsidRPr="00952AF3" w:rsidRDefault="006409D8" w:rsidP="00C47E6F">
            <w:pPr>
              <w:spacing w:after="0"/>
              <w:rPr>
                <w:rFonts w:eastAsia="Times New Roman"/>
                <w:bCs/>
                <w:sz w:val="20"/>
                <w:szCs w:val="20"/>
              </w:rPr>
            </w:pPr>
            <w:r w:rsidRPr="00952AF3">
              <w:rPr>
                <w:rFonts w:eastAsia="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99"/>
            <w:hideMark/>
          </w:tcPr>
          <w:p w14:paraId="10462188"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99"/>
            <w:hideMark/>
          </w:tcPr>
          <w:p w14:paraId="6D81231D" w14:textId="77777777" w:rsidR="006409D8" w:rsidRPr="00952AF3" w:rsidRDefault="006409D8" w:rsidP="00C47E6F">
            <w:pPr>
              <w:spacing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0E2CFF08"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6F40942B"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1B8133A7"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44CC4FA9"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952AF3" w:rsidRDefault="006409D8" w:rsidP="00C47E6F">
            <w:pPr>
              <w:rPr>
                <w:bCs/>
                <w:color w:val="000000"/>
                <w:sz w:val="20"/>
                <w:szCs w:val="20"/>
              </w:rPr>
            </w:pPr>
            <w:r w:rsidRPr="00952AF3">
              <w:rPr>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37.113-1</w:t>
            </w:r>
            <w:r w:rsidR="000D53AD" w:rsidRPr="00952AF3">
              <w:rPr>
                <w:rFonts w:eastAsia="Times New Roman"/>
                <w:bCs/>
                <w:color w:val="000000"/>
                <w:sz w:val="20"/>
                <w:szCs w:val="20"/>
              </w:rPr>
              <w:t>(a)</w:t>
            </w:r>
          </w:p>
          <w:p w14:paraId="43B95FA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5337.113-1</w:t>
            </w:r>
            <w:r w:rsidR="000D53AD" w:rsidRPr="00952AF3">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997D7CC" w14:textId="77777777" w:rsidR="007317E8" w:rsidRPr="00952AF3" w:rsidRDefault="006409D8" w:rsidP="007317E8">
            <w:pPr>
              <w:spacing w:after="0"/>
              <w:jc w:val="center"/>
              <w:rPr>
                <w:rFonts w:eastAsia="Times New Roman"/>
                <w:sz w:val="20"/>
                <w:szCs w:val="20"/>
              </w:rPr>
            </w:pPr>
            <w:r w:rsidRPr="00952AF3">
              <w:rPr>
                <w:rFonts w:eastAsia="Times New Roman"/>
                <w:sz w:val="20"/>
                <w:szCs w:val="20"/>
              </w:rPr>
              <w:t>May waive the 31.205-6(g)(6) cost</w:t>
            </w:r>
          </w:p>
          <w:p w14:paraId="113E7B30" w14:textId="77777777" w:rsidR="006409D8" w:rsidRPr="00952AF3" w:rsidRDefault="006409D8" w:rsidP="007317E8">
            <w:pPr>
              <w:spacing w:after="0"/>
              <w:jc w:val="center"/>
              <w:rPr>
                <w:rFonts w:eastAsia="Times New Roman"/>
                <w:color w:val="000000"/>
                <w:sz w:val="20"/>
                <w:szCs w:val="20"/>
              </w:rPr>
            </w:pPr>
            <w:r w:rsidRPr="00952AF3">
              <w:rPr>
                <w:rFonts w:eastAsia="Times New Roman"/>
                <w:sz w:val="20"/>
                <w:szCs w:val="20"/>
              </w:rPr>
              <w:t>allowability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1FDFDACD"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952AF3" w:rsidRDefault="006409D8" w:rsidP="00C47E6F">
            <w:pPr>
              <w:rPr>
                <w:bCs/>
                <w:color w:val="000000"/>
                <w:sz w:val="20"/>
                <w:szCs w:val="20"/>
              </w:rPr>
            </w:pPr>
            <w:r w:rsidRPr="00952AF3">
              <w:rPr>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243.204-70-5(c)</w:t>
            </w:r>
          </w:p>
          <w:p w14:paraId="5D0326E1"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Waives limitations of 243.204-70-2 (price ceiling); 243.204-70-3 (definitization schedule); and 243.204-70-4 (limitations on obligations) if necessary to support cont. ops or humanitarian/peacekeeping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7771B7C6"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952AF3" w:rsidRDefault="006409D8" w:rsidP="00C47E6F">
            <w:pPr>
              <w:rPr>
                <w:bCs/>
                <w:color w:val="000000"/>
                <w:sz w:val="20"/>
                <w:szCs w:val="20"/>
              </w:rPr>
            </w:pPr>
            <w:r w:rsidRPr="00952AF3">
              <w:rPr>
                <w:bCs/>
                <w:color w:val="000000"/>
                <w:sz w:val="20"/>
                <w:szCs w:val="20"/>
              </w:rPr>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44.302(a)</w:t>
            </w:r>
          </w:p>
          <w:p w14:paraId="3BDF31C6"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952AF3" w:rsidRDefault="000D53AD" w:rsidP="00C47E6F">
            <w:pPr>
              <w:spacing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952AF3" w:rsidRDefault="000D53AD"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33D28F74" w14:textId="77777777" w:rsidTr="0045126B">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952AF3" w:rsidRDefault="006409D8" w:rsidP="00C47E6F">
            <w:pPr>
              <w:rPr>
                <w:bCs/>
                <w:color w:val="000000"/>
                <w:sz w:val="20"/>
                <w:szCs w:val="20"/>
              </w:rPr>
            </w:pPr>
            <w:r w:rsidRPr="00952AF3">
              <w:rPr>
                <w:bCs/>
                <w:color w:val="000000"/>
                <w:sz w:val="20"/>
                <w:szCs w:val="20"/>
              </w:rPr>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245.102(4)(ii)(B)</w:t>
            </w:r>
          </w:p>
          <w:p w14:paraId="6D2418D9"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F33CEE" w:rsidRPr="00952AF3" w14:paraId="69F0FF68" w14:textId="77777777" w:rsidTr="00F33CE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952AF3" w:rsidRDefault="00F33CEE" w:rsidP="00F33CEE">
            <w:pPr>
              <w:rPr>
                <w:bCs/>
                <w:color w:val="000000"/>
                <w:sz w:val="20"/>
                <w:szCs w:val="20"/>
              </w:rPr>
            </w:pPr>
            <w:r w:rsidRPr="00952AF3">
              <w:rPr>
                <w:bCs/>
                <w:color w:val="000000"/>
                <w:sz w:val="20"/>
                <w:szCs w:val="20"/>
              </w:rPr>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DFARS 245.102(4)(ii)(C)(1)(i)</w:t>
            </w:r>
          </w:p>
          <w:p w14:paraId="1C1B98A4"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AFFARS 5345.102(4(ii)(C)(1)(i)</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952AF3">
              <w:rPr>
                <w:rFonts w:eastAsia="Times New Roman"/>
                <w:b/>
                <w:color w:val="000000"/>
                <w:sz w:val="20"/>
                <w:szCs w:val="20"/>
              </w:rPr>
              <w:t>for ACAT I programs.</w:t>
            </w:r>
            <w:r w:rsidRPr="00952AF3">
              <w:rPr>
                <w:rFonts w:eastAsia="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0071E4E7"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952AF3" w:rsidRDefault="006409D8" w:rsidP="00C47E6F">
            <w:pPr>
              <w:rPr>
                <w:bCs/>
                <w:color w:val="000000"/>
                <w:sz w:val="20"/>
                <w:szCs w:val="20"/>
              </w:rPr>
            </w:pPr>
            <w:r w:rsidRPr="00952AF3">
              <w:rPr>
                <w:bCs/>
                <w:color w:val="000000"/>
                <w:sz w:val="20"/>
                <w:szCs w:val="20"/>
              </w:rPr>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249.501-70(a)</w:t>
            </w:r>
          </w:p>
          <w:p w14:paraId="77972F32"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21B"/>
    <w:rsid w:val="00020F3B"/>
    <w:rsid w:val="00021001"/>
    <w:rsid w:val="000613A3"/>
    <w:rsid w:val="00064529"/>
    <w:rsid w:val="000A16A6"/>
    <w:rsid w:val="000D53AD"/>
    <w:rsid w:val="00120EBF"/>
    <w:rsid w:val="001C6089"/>
    <w:rsid w:val="001F7725"/>
    <w:rsid w:val="00200DDC"/>
    <w:rsid w:val="00224A4B"/>
    <w:rsid w:val="002D6E15"/>
    <w:rsid w:val="002F577F"/>
    <w:rsid w:val="00310F0A"/>
    <w:rsid w:val="00326E15"/>
    <w:rsid w:val="00336B2F"/>
    <w:rsid w:val="003C5481"/>
    <w:rsid w:val="003F77EF"/>
    <w:rsid w:val="0040017E"/>
    <w:rsid w:val="0045126B"/>
    <w:rsid w:val="004A39E1"/>
    <w:rsid w:val="004C6272"/>
    <w:rsid w:val="004C65B5"/>
    <w:rsid w:val="004E7038"/>
    <w:rsid w:val="00547139"/>
    <w:rsid w:val="00557C4C"/>
    <w:rsid w:val="0057121B"/>
    <w:rsid w:val="005806A0"/>
    <w:rsid w:val="005B0121"/>
    <w:rsid w:val="005B4718"/>
    <w:rsid w:val="005D1023"/>
    <w:rsid w:val="006230FE"/>
    <w:rsid w:val="006347EA"/>
    <w:rsid w:val="006409D8"/>
    <w:rsid w:val="00653AE7"/>
    <w:rsid w:val="00677E6B"/>
    <w:rsid w:val="006E3B99"/>
    <w:rsid w:val="006E4601"/>
    <w:rsid w:val="006F3FF4"/>
    <w:rsid w:val="007317E8"/>
    <w:rsid w:val="00735528"/>
    <w:rsid w:val="00737219"/>
    <w:rsid w:val="00770303"/>
    <w:rsid w:val="007806A8"/>
    <w:rsid w:val="00791BA9"/>
    <w:rsid w:val="007E0E68"/>
    <w:rsid w:val="00801EC0"/>
    <w:rsid w:val="00810253"/>
    <w:rsid w:val="00866717"/>
    <w:rsid w:val="008713D7"/>
    <w:rsid w:val="008D0AB1"/>
    <w:rsid w:val="008D6EB9"/>
    <w:rsid w:val="008E15C8"/>
    <w:rsid w:val="008E4AB0"/>
    <w:rsid w:val="009170E4"/>
    <w:rsid w:val="00952AF3"/>
    <w:rsid w:val="009D59D0"/>
    <w:rsid w:val="009E4F59"/>
    <w:rsid w:val="00A12905"/>
    <w:rsid w:val="00A75C9D"/>
    <w:rsid w:val="00AA4F97"/>
    <w:rsid w:val="00AA6F7B"/>
    <w:rsid w:val="00AE3782"/>
    <w:rsid w:val="00B532E2"/>
    <w:rsid w:val="00C47E6F"/>
    <w:rsid w:val="00C5390A"/>
    <w:rsid w:val="00C96B63"/>
    <w:rsid w:val="00CD487A"/>
    <w:rsid w:val="00D70EB6"/>
    <w:rsid w:val="00D72ADD"/>
    <w:rsid w:val="00DA79A6"/>
    <w:rsid w:val="00E4136C"/>
    <w:rsid w:val="00E53DCF"/>
    <w:rsid w:val="00E96454"/>
    <w:rsid w:val="00F00519"/>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Gregory Pangborn</cp:lastModifiedBy>
  <cp:revision>8</cp:revision>
  <cp:lastPrinted>2019-12-10T19:53:00Z</cp:lastPrinted>
  <dcterms:created xsi:type="dcterms:W3CDTF">2020-04-20T12:30:00Z</dcterms:created>
  <dcterms:modified xsi:type="dcterms:W3CDTF">2020-04-21T20:33:00Z</dcterms:modified>
</cp:coreProperties>
</file>