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313D" w:rsidRDefault="00FE313D" w:rsidP="009A6F0D">
      <w:pPr>
        <w:pStyle w:val="Heading1"/>
      </w:pPr>
      <w:r>
        <w:t>PART 39—ACQUISITION OF INFORMATION TECHNOLOGY</w:t>
      </w:r>
    </w:p>
    <w:p w:rsidR="00FE313D" w:rsidRDefault="00FE313D" w:rsidP="009A6F0D">
      <w:pPr>
        <w:pStyle w:val="Heading1"/>
      </w:pPr>
      <w:r>
        <w:t>TABLE OF CONTENTS</w:t>
      </w:r>
    </w:p>
    <w:p w:rsidR="00FE313D" w:rsidRDefault="00FE313D">
      <w:pPr>
        <w:pStyle w:val="TOC3"/>
        <w:tabs>
          <w:tab w:val="right" w:leader="dot" w:pos="10250"/>
        </w:tabs>
        <w:rPr>
          <w:rFonts w:asciiTheme="minorHAnsi" w:eastAsiaTheme="minorEastAsia" w:hAnsiTheme="minorHAnsi" w:cstheme="minorBidi"/>
          <w:noProof/>
          <w:sz w:val="22"/>
          <w:szCs w:val="22"/>
        </w:rPr>
      </w:pPr>
      <w:r>
        <w:rPr>
          <w:b/>
          <w:bCs/>
          <w:color w:val="365F91"/>
          <w:sz w:val="28"/>
          <w:szCs w:val="28"/>
        </w:rPr>
        <w:fldChar w:fldCharType="begin"/>
      </w:r>
      <w:r>
        <w:rPr>
          <w:b/>
          <w:bCs/>
          <w:color w:val="365F91"/>
          <w:sz w:val="28"/>
          <w:szCs w:val="28"/>
        </w:rPr>
        <w:instrText xml:space="preserve"> TOC \o "2-4" \n \h </w:instrText>
      </w:r>
      <w:r>
        <w:rPr>
          <w:b/>
          <w:bCs/>
          <w:color w:val="365F91"/>
          <w:sz w:val="28"/>
          <w:szCs w:val="28"/>
        </w:rPr>
        <w:fldChar w:fldCharType="separate"/>
      </w:r>
      <w:hyperlink w:anchor="_Toc41468107" w:history="1">
        <w:r w:rsidRPr="0027293A">
          <w:rPr>
            <w:rStyle w:val="Hyperlink"/>
            <w:noProof/>
          </w:rPr>
          <w:t>SUBPART 39.2—ELECTRONIC AND INFORMATION TECHNOLOGY</w:t>
        </w:r>
      </w:hyperlink>
    </w:p>
    <w:p w:rsidR="00FE313D" w:rsidRDefault="00FE313D">
      <w:pPr>
        <w:pStyle w:val="TOC3"/>
        <w:tabs>
          <w:tab w:val="right" w:leader="dot" w:pos="10250"/>
        </w:tabs>
        <w:rPr>
          <w:rFonts w:asciiTheme="minorHAnsi" w:eastAsiaTheme="minorEastAsia" w:hAnsiTheme="minorHAnsi" w:cstheme="minorBidi"/>
          <w:noProof/>
          <w:sz w:val="22"/>
          <w:szCs w:val="22"/>
        </w:rPr>
      </w:pPr>
      <w:hyperlink w:anchor="_Toc41468108" w:history="1">
        <w:r w:rsidRPr="0027293A">
          <w:rPr>
            <w:rStyle w:val="Hyperlink"/>
            <w:noProof/>
          </w:rPr>
          <w:t>39.201 Scope of subpart.</w:t>
        </w:r>
      </w:hyperlink>
    </w:p>
    <w:p w:rsidR="00FE313D" w:rsidRDefault="00FE313D">
      <w:pPr>
        <w:pStyle w:val="TOC3"/>
        <w:tabs>
          <w:tab w:val="right" w:leader="dot" w:pos="10250"/>
        </w:tabs>
        <w:rPr>
          <w:rFonts w:asciiTheme="minorHAnsi" w:eastAsiaTheme="minorEastAsia" w:hAnsiTheme="minorHAnsi" w:cstheme="minorBidi"/>
          <w:noProof/>
          <w:sz w:val="22"/>
          <w:szCs w:val="22"/>
        </w:rPr>
      </w:pPr>
      <w:hyperlink w:anchor="_Toc41468109" w:history="1">
        <w:r w:rsidRPr="0027293A">
          <w:rPr>
            <w:rStyle w:val="Hyperlink"/>
            <w:noProof/>
          </w:rPr>
          <w:t>SUBPART 239.74—TELECOMMUNICATIONS SERVICES</w:t>
        </w:r>
      </w:hyperlink>
    </w:p>
    <w:p w:rsidR="00FE313D" w:rsidRDefault="00FE313D">
      <w:pPr>
        <w:pStyle w:val="TOC3"/>
        <w:tabs>
          <w:tab w:val="right" w:leader="dot" w:pos="10250"/>
        </w:tabs>
        <w:rPr>
          <w:rFonts w:asciiTheme="minorHAnsi" w:eastAsiaTheme="minorEastAsia" w:hAnsiTheme="minorHAnsi" w:cstheme="minorBidi"/>
          <w:noProof/>
          <w:sz w:val="22"/>
          <w:szCs w:val="22"/>
        </w:rPr>
      </w:pPr>
      <w:hyperlink w:anchor="_Toc41468110" w:history="1">
        <w:r w:rsidRPr="0027293A">
          <w:rPr>
            <w:rStyle w:val="Hyperlink"/>
            <w:noProof/>
          </w:rPr>
          <w:t>239.7401</w:t>
        </w:r>
        <w:r w:rsidRPr="0027293A">
          <w:rPr>
            <w:rStyle w:val="Hyperlink"/>
            <w:noProof/>
            <w:spacing w:val="59"/>
          </w:rPr>
          <w:t xml:space="preserve"> </w:t>
        </w:r>
        <w:r w:rsidRPr="0027293A">
          <w:rPr>
            <w:rStyle w:val="Hyperlink"/>
            <w:noProof/>
          </w:rPr>
          <w:t>Definitions.</w:t>
        </w:r>
      </w:hyperlink>
    </w:p>
    <w:p w:rsidR="00FE313D" w:rsidRDefault="00FE313D">
      <w:pPr>
        <w:pStyle w:val="TOC3"/>
        <w:tabs>
          <w:tab w:val="right" w:leader="dot" w:pos="10250"/>
        </w:tabs>
        <w:rPr>
          <w:rFonts w:asciiTheme="minorHAnsi" w:eastAsiaTheme="minorEastAsia" w:hAnsiTheme="minorHAnsi" w:cstheme="minorBidi"/>
          <w:noProof/>
          <w:sz w:val="22"/>
          <w:szCs w:val="22"/>
        </w:rPr>
      </w:pPr>
      <w:hyperlink w:anchor="_Toc41468111" w:history="1">
        <w:r w:rsidRPr="0027293A">
          <w:rPr>
            <w:rStyle w:val="Hyperlink"/>
            <w:noProof/>
          </w:rPr>
          <w:t>239.7407 Type of contract.</w:t>
        </w:r>
      </w:hyperlink>
    </w:p>
    <w:p w:rsidR="009A6F0D" w:rsidRDefault="00FE313D" w:rsidP="009A6F0D">
      <w:pPr>
        <w:pStyle w:val="BodyText"/>
        <w:rPr>
          <w:b/>
        </w:rPr>
      </w:pPr>
      <w:r>
        <w:rPr>
          <w:b/>
          <w:bCs/>
          <w:color w:val="365F91"/>
          <w:sz w:val="28"/>
          <w:szCs w:val="28"/>
        </w:rPr>
        <w:fldChar w:fldCharType="end"/>
      </w:r>
    </w:p>
    <w:p w:rsidR="00FE313D" w:rsidRDefault="009A6F0D" w:rsidP="009A6F0D">
      <w:pPr>
        <w:pStyle w:val="Heading3"/>
        <w:spacing w:before="1"/>
        <w:ind w:left="1295"/>
      </w:pPr>
      <w:bookmarkStart w:id="0" w:name="SUBPART_39.2—ELECTRONIC_AND_INFORMATION_"/>
      <w:bookmarkStart w:id="1" w:name="_bookmark261"/>
      <w:bookmarkStart w:id="2" w:name="_Toc41468107"/>
      <w:bookmarkEnd w:id="0"/>
      <w:bookmarkEnd w:id="1"/>
      <w:r>
        <w:t>SUBPART 39.2—ELECTRONIC AND INFORMATION TECHNOLOGY</w:t>
      </w:r>
      <w:bookmarkEnd w:id="2"/>
    </w:p>
    <w:p w:rsidR="00FE313D" w:rsidRDefault="009A6F0D" w:rsidP="009A6F0D">
      <w:pPr>
        <w:pStyle w:val="Heading3"/>
      </w:pPr>
      <w:bookmarkStart w:id="3" w:name="39.201__Scope_of_subpart."/>
      <w:bookmarkStart w:id="4" w:name="_bookmark262"/>
      <w:bookmarkStart w:id="5" w:name="_Toc41468108"/>
      <w:bookmarkEnd w:id="3"/>
      <w:bookmarkEnd w:id="4"/>
      <w:r>
        <w:t>39.201 Scope of subpart.</w:t>
      </w:r>
      <w:bookmarkEnd w:id="5"/>
    </w:p>
    <w:p w:rsidR="00FE313D" w:rsidRDefault="009A6F0D" w:rsidP="009A6F0D">
      <w:pPr>
        <w:pStyle w:val="List1"/>
      </w:pPr>
      <w:r>
        <w:t xml:space="preserve">(S-90) </w:t>
      </w:r>
      <w:r>
        <w:rPr>
          <w:i/>
        </w:rPr>
        <w:t xml:space="preserve">Section 508 Compliance. </w:t>
      </w:r>
      <w:r>
        <w:t xml:space="preserve">The DoD Section 508 policies are located at </w:t>
      </w:r>
      <w:hyperlink r:id="rId11">
        <w:r>
          <w:rPr>
            <w:color w:val="0000FF"/>
            <w:u w:val="single" w:color="0000FF"/>
          </w:rPr>
          <w:t>http://dodcio.defense.gov/DoDSection508.aspx</w:t>
        </w:r>
      </w:hyperlink>
      <w:r>
        <w:t>.</w:t>
      </w:r>
    </w:p>
    <w:p w:rsidR="00FE313D" w:rsidRDefault="009A6F0D" w:rsidP="009A6F0D">
      <w:pPr>
        <w:pStyle w:val="List1"/>
      </w:pPr>
      <w:r w:rsidRPr="007352A3">
        <w:rPr>
          <w:szCs w:val="24"/>
        </w:rPr>
        <w:t>(S-91)  Unless there is an associated service being offered with a software subscription or software maintenance agreement, and that associated service is billed separately, the acquisition of software subscriptions or software maintenance agreements will be acquired as a product.  Further, ITVAR excepted acquisitions with the NAICS code 541519 will be acquired as a product.</w:t>
      </w:r>
    </w:p>
    <w:p w:rsidR="00FE313D" w:rsidRDefault="00FE313D" w:rsidP="009A6F0D">
      <w:pPr>
        <w:pStyle w:val="BodyText"/>
        <w:rPr>
          <w:sz w:val="20"/>
        </w:rPr>
      </w:pPr>
    </w:p>
    <w:p w:rsidR="00FE313D" w:rsidRDefault="009A6F0D" w:rsidP="009A6F0D">
      <w:pPr>
        <w:pStyle w:val="Heading3"/>
        <w:spacing w:before="1"/>
        <w:ind w:left="1976"/>
      </w:pPr>
      <w:bookmarkStart w:id="6" w:name="SUBPART_239.74—TELECOMMUNICATIONS_SERVIC"/>
      <w:bookmarkStart w:id="7" w:name="_bookmark263"/>
      <w:bookmarkStart w:id="8" w:name="_Toc41468109"/>
      <w:bookmarkEnd w:id="6"/>
      <w:bookmarkEnd w:id="7"/>
      <w:r>
        <w:t>SUBPART 239.74—TELECOMMUNICATIONS SERVICES</w:t>
      </w:r>
      <w:bookmarkEnd w:id="8"/>
    </w:p>
    <w:p w:rsidR="00FE313D" w:rsidRDefault="009A6F0D" w:rsidP="009A6F0D">
      <w:pPr>
        <w:pStyle w:val="Heading3"/>
      </w:pPr>
      <w:bookmarkStart w:id="9" w:name="239.7401__Definitions."/>
      <w:bookmarkStart w:id="10" w:name="_bookmark264"/>
      <w:bookmarkStart w:id="11" w:name="_Toc41468110"/>
      <w:bookmarkEnd w:id="9"/>
      <w:bookmarkEnd w:id="10"/>
      <w:r>
        <w:t>239.7401</w:t>
      </w:r>
      <w:r>
        <w:rPr>
          <w:spacing w:val="59"/>
        </w:rPr>
        <w:t xml:space="preserve"> </w:t>
      </w:r>
      <w:r>
        <w:t>Definitions.</w:t>
      </w:r>
      <w:bookmarkEnd w:id="11"/>
    </w:p>
    <w:p w:rsidR="00FE313D" w:rsidRDefault="009A6F0D" w:rsidP="009A6F0D">
      <w:pPr>
        <w:pStyle w:val="List1"/>
      </w:pPr>
      <w:r>
        <w:t>(S-90) DITCO has made the determination that leasing/provisioning of telecommunications circuits (commoditized bandwidth) is covered under paragraph (1) of the FAR definition of commercial item in that it is a utility customarily used by the general public or by non- 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 telecommunications circuits (commoditized bandwidth).</w:t>
      </w:r>
    </w:p>
    <w:p w:rsidR="00FE313D" w:rsidRDefault="009A6F0D" w:rsidP="009A6F0D">
      <w:pPr>
        <w:pStyle w:val="List1"/>
      </w:pPr>
      <w:r w:rsidRPr="00034D9C">
        <w:rPr>
          <w:szCs w:val="24"/>
        </w:rPr>
        <w:t>(S-91)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rsidR="00FE313D" w:rsidRDefault="009A6F0D" w:rsidP="009A6F0D">
      <w:pPr>
        <w:pStyle w:val="Heading3"/>
      </w:pPr>
      <w:bookmarkStart w:id="12" w:name="239.7407__Type_of_contract."/>
      <w:bookmarkStart w:id="13" w:name="_bookmark265"/>
      <w:bookmarkStart w:id="14" w:name="_Toc41468111"/>
      <w:bookmarkEnd w:id="12"/>
      <w:bookmarkEnd w:id="13"/>
      <w:r>
        <w:t>239.7407 Type of contract.</w:t>
      </w:r>
      <w:bookmarkEnd w:id="14"/>
    </w:p>
    <w:p w:rsidR="00FE313D" w:rsidRDefault="009A6F0D" w:rsidP="009A6F0D">
      <w:pPr>
        <w:pStyle w:val="List1"/>
      </w:pPr>
      <w:r>
        <w:t xml:space="preserve">(S-90) When acquiring telecommunications services using the Inquiry/Quote/Order (IQO) process or communication service authorizations (CSAs), refer to the IQO Acquisition Deskbook located at </w:t>
      </w:r>
      <w:hyperlink r:id="rId12">
        <w:r>
          <w:rPr>
            <w:color w:val="0000FF"/>
            <w:u w:val="single" w:color="0000FF"/>
          </w:rPr>
          <w:t>https://www.ditco.disa.mil/hq/deskbooks.asp</w:t>
        </w:r>
      </w:hyperlink>
      <w:r>
        <w:t>.</w:t>
      </w:r>
    </w:p>
    <w:p w:rsidR="009A6F0D" w:rsidRDefault="009A6F0D" w:rsidP="009A6F0D">
      <w:pPr>
        <w:pStyle w:val="List1"/>
      </w:pPr>
      <w:r>
        <w:t>(S-91)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w:p w:rsidR="009A6F0D" w:rsidRDefault="009A6F0D" w:rsidP="009A6F0D">
      <w:r>
        <w:br w:type="page"/>
      </w:r>
    </w:p>
    <w:sectPr w:rsidR="009A6F0D">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6F0D" w:rsidRDefault="009A6F0D">
      <w:r>
        <w:separator/>
      </w:r>
    </w:p>
  </w:endnote>
  <w:endnote w:type="continuationSeparator" w:id="0">
    <w:p w:rsidR="009A6F0D" w:rsidRDefault="009A6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6F0D" w:rsidRDefault="009A6F0D">
      <w:r>
        <w:separator/>
      </w:r>
    </w:p>
  </w:footnote>
  <w:footnote w:type="continuationSeparator" w:id="0">
    <w:p w:rsidR="009A6F0D" w:rsidRDefault="009A6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A6F0D"/>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313D"/>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hq/deskbooks.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dcio.defense.gov/DoDSection508.asp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24B2AC1C-B171-4252-932A-2D4F8A24A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