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01B94" w:rsidRDefault="000A126C" w:rsidP="000A126C">
      <w:pPr>
        <w:pStyle w:val="Heading1"/>
      </w:pPr>
      <w:r>
        <w:rPr>
          <w:noProof/>
        </w:rPr>
        <w:drawing>
          <wp:anchor distT="0" distB="0" distL="0" distR="0" simplePos="0" relativeHeight="251659264" behindDoc="0" locked="0" layoutInCell="1" allowOverlap="1" wp14:anchorId="4E3CA837" wp14:editId="080E2F09">
            <wp:simplePos x="0" y="0"/>
            <wp:positionH relativeFrom="page">
              <wp:posOffset>933450</wp:posOffset>
            </wp:positionH>
            <wp:positionV relativeFrom="paragraph">
              <wp:posOffset>41391</wp:posOffset>
            </wp:positionV>
            <wp:extent cx="5714999" cy="95249"/>
            <wp:effectExtent l="0" t="0" r="0" b="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1" cstate="print"/>
                    <a:stretch>
                      <a:fillRect/>
                    </a:stretch>
                  </pic:blipFill>
                  <pic:spPr>
                    <a:xfrm>
                      <a:off x="0" y="0"/>
                      <a:ext cx="5714999" cy="95249"/>
                    </a:xfrm>
                    <a:prstGeom prst="rect">
                      <a:avLst/>
                    </a:prstGeom>
                  </pic:spPr>
                </pic:pic>
              </a:graphicData>
            </a:graphic>
          </wp:anchor>
        </w:drawing>
      </w:r>
      <w:bookmarkStart w:id="0" w:name="PART_7_--_ACQUISITION_PLANNING"/>
      <w:bookmarkStart w:id="1" w:name="_bookmark90"/>
      <w:bookmarkStart w:id="2" w:name="SUBPART_7.1_--_ACQUISITION_PLANS"/>
      <w:bookmarkStart w:id="3" w:name="_bookmark91"/>
      <w:bookmarkEnd w:id="0"/>
      <w:bookmarkEnd w:id="1"/>
      <w:bookmarkEnd w:id="2"/>
      <w:bookmarkEnd w:id="3"/>
      <w:r w:rsidR="00901B94">
        <w:t>PART 7 -- ACQUISITION PLANNING</w:t>
      </w:r>
    </w:p>
    <w:p w:rsidR="00901B94" w:rsidRDefault="00901B94" w:rsidP="000A126C">
      <w:pPr>
        <w:pStyle w:val="Heading1"/>
      </w:pPr>
      <w:r>
        <w:t>TABLE OF CONTENTS</w:t>
      </w:r>
    </w:p>
    <w:p w:rsidR="00901B94" w:rsidRDefault="00901B94">
      <w:pPr>
        <w:pStyle w:val="TOC2"/>
        <w:tabs>
          <w:tab w:val="right" w:leader="dot" w:pos="10250"/>
        </w:tabs>
        <w:rPr>
          <w:rFonts w:asciiTheme="minorHAnsi" w:eastAsiaTheme="minorEastAsia" w:hAnsiTheme="minorHAnsi" w:cstheme="minorBidi"/>
          <w:noProof/>
          <w:sz w:val="22"/>
          <w:szCs w:val="22"/>
        </w:rPr>
      </w:pPr>
      <w:r>
        <w:rPr>
          <w:bCs/>
          <w:color w:val="365F91"/>
          <w:sz w:val="28"/>
        </w:rPr>
        <w:fldChar w:fldCharType="begin"/>
      </w:r>
      <w:r>
        <w:rPr>
          <w:bCs/>
          <w:color w:val="365F91"/>
          <w:sz w:val="28"/>
        </w:rPr>
        <w:instrText xml:space="preserve"> TOC \o "2-4" \n \h </w:instrText>
      </w:r>
      <w:r>
        <w:rPr>
          <w:bCs/>
          <w:color w:val="365F91"/>
          <w:sz w:val="28"/>
        </w:rPr>
        <w:fldChar w:fldCharType="separate"/>
      </w:r>
      <w:hyperlink w:anchor="_Toc41468178" w:history="1">
        <w:r w:rsidRPr="000C06FD">
          <w:rPr>
            <w:rStyle w:val="Hyperlink"/>
            <w:noProof/>
          </w:rPr>
          <w:t>SUBPART 7.1 -- ACQUISITION PLANS</w:t>
        </w:r>
      </w:hyperlink>
    </w:p>
    <w:p w:rsidR="00901B94" w:rsidRDefault="00901B94">
      <w:pPr>
        <w:pStyle w:val="TOC3"/>
        <w:tabs>
          <w:tab w:val="right" w:leader="dot" w:pos="10250"/>
        </w:tabs>
        <w:rPr>
          <w:rFonts w:asciiTheme="minorHAnsi" w:eastAsiaTheme="minorEastAsia" w:hAnsiTheme="minorHAnsi" w:cstheme="minorBidi"/>
          <w:noProof/>
          <w:sz w:val="22"/>
          <w:szCs w:val="22"/>
        </w:rPr>
      </w:pPr>
      <w:hyperlink w:anchor="_Toc41468179" w:history="1">
        <w:r w:rsidRPr="000C06FD">
          <w:rPr>
            <w:rStyle w:val="Hyperlink"/>
            <w:noProof/>
          </w:rPr>
          <w:t>7.101 Definitions.</w:t>
        </w:r>
      </w:hyperlink>
    </w:p>
    <w:p w:rsidR="00901B94" w:rsidRDefault="00901B94">
      <w:pPr>
        <w:pStyle w:val="TOC3"/>
        <w:tabs>
          <w:tab w:val="right" w:leader="dot" w:pos="10250"/>
        </w:tabs>
        <w:rPr>
          <w:rFonts w:asciiTheme="minorHAnsi" w:eastAsiaTheme="minorEastAsia" w:hAnsiTheme="minorHAnsi" w:cstheme="minorBidi"/>
          <w:noProof/>
          <w:sz w:val="22"/>
          <w:szCs w:val="22"/>
        </w:rPr>
      </w:pPr>
      <w:hyperlink w:anchor="_Toc41468180" w:history="1">
        <w:r w:rsidRPr="000C06FD">
          <w:rPr>
            <w:rStyle w:val="Hyperlink"/>
            <w:noProof/>
          </w:rPr>
          <w:t>7.103 Agency-head responsibilities.</w:t>
        </w:r>
      </w:hyperlink>
    </w:p>
    <w:p w:rsidR="00901B94" w:rsidRDefault="00901B94">
      <w:pPr>
        <w:pStyle w:val="TOC3"/>
        <w:tabs>
          <w:tab w:val="left" w:pos="1540"/>
          <w:tab w:val="right" w:leader="dot" w:pos="10250"/>
        </w:tabs>
        <w:rPr>
          <w:rFonts w:asciiTheme="minorHAnsi" w:eastAsiaTheme="minorEastAsia" w:hAnsiTheme="minorHAnsi" w:cstheme="minorBidi"/>
          <w:noProof/>
          <w:sz w:val="22"/>
          <w:szCs w:val="22"/>
        </w:rPr>
      </w:pPr>
      <w:hyperlink w:anchor="_Toc41468181" w:history="1">
        <w:r w:rsidRPr="000C06FD">
          <w:rPr>
            <w:rStyle w:val="Hyperlink"/>
            <w:noProof/>
            <w:spacing w:val="-3"/>
            <w:w w:val="99"/>
          </w:rPr>
          <w:t>(1)</w:t>
        </w:r>
        <w:r>
          <w:rPr>
            <w:rFonts w:asciiTheme="minorHAnsi" w:eastAsiaTheme="minorEastAsia" w:hAnsiTheme="minorHAnsi" w:cstheme="minorBidi"/>
            <w:noProof/>
            <w:sz w:val="22"/>
            <w:szCs w:val="22"/>
          </w:rPr>
          <w:tab/>
        </w:r>
        <w:r w:rsidRPr="000C06FD">
          <w:rPr>
            <w:rStyle w:val="Hyperlink"/>
            <w:noProof/>
          </w:rPr>
          <w:t>The contracting officer is not required to prepare a written acquisition plan as required</w:t>
        </w:r>
        <w:r w:rsidRPr="000C06FD">
          <w:rPr>
            <w:rStyle w:val="Hyperlink"/>
            <w:noProof/>
            <w:spacing w:val="-10"/>
          </w:rPr>
          <w:t xml:space="preserve"> </w:t>
        </w:r>
        <w:r w:rsidRPr="000C06FD">
          <w:rPr>
            <w:rStyle w:val="Hyperlink"/>
            <w:noProof/>
          </w:rPr>
          <w:t>by</w:t>
        </w:r>
      </w:hyperlink>
    </w:p>
    <w:p w:rsidR="00901B94" w:rsidRDefault="00901B94">
      <w:pPr>
        <w:pStyle w:val="TOC3"/>
        <w:tabs>
          <w:tab w:val="right" w:leader="dot" w:pos="10250"/>
        </w:tabs>
        <w:rPr>
          <w:rFonts w:asciiTheme="minorHAnsi" w:eastAsiaTheme="minorEastAsia" w:hAnsiTheme="minorHAnsi" w:cstheme="minorBidi"/>
          <w:noProof/>
          <w:sz w:val="22"/>
          <w:szCs w:val="22"/>
        </w:rPr>
      </w:pPr>
      <w:hyperlink w:anchor="_Toc41468182" w:history="1">
        <w:r w:rsidRPr="000C06FD">
          <w:rPr>
            <w:rStyle w:val="Hyperlink"/>
            <w:noProof/>
          </w:rPr>
          <w:t>7.103 when --</w:t>
        </w:r>
      </w:hyperlink>
    </w:p>
    <w:p w:rsidR="00901B94" w:rsidRDefault="00901B94">
      <w:pPr>
        <w:pStyle w:val="TOC3"/>
        <w:tabs>
          <w:tab w:val="right" w:leader="dot" w:pos="10250"/>
        </w:tabs>
        <w:rPr>
          <w:rFonts w:asciiTheme="minorHAnsi" w:eastAsiaTheme="minorEastAsia" w:hAnsiTheme="minorHAnsi" w:cstheme="minorBidi"/>
          <w:noProof/>
          <w:sz w:val="22"/>
          <w:szCs w:val="22"/>
        </w:rPr>
      </w:pPr>
      <w:hyperlink w:anchor="_Toc41468183" w:history="1">
        <w:r w:rsidRPr="000C06FD">
          <w:rPr>
            <w:rStyle w:val="Hyperlink"/>
            <w:noProof/>
          </w:rPr>
          <w:t>7.104 General procedures</w:t>
        </w:r>
      </w:hyperlink>
    </w:p>
    <w:p w:rsidR="00901B94" w:rsidRDefault="00901B94">
      <w:pPr>
        <w:pStyle w:val="TOC3"/>
        <w:tabs>
          <w:tab w:val="right" w:leader="dot" w:pos="10250"/>
        </w:tabs>
        <w:rPr>
          <w:rFonts w:asciiTheme="minorHAnsi" w:eastAsiaTheme="minorEastAsia" w:hAnsiTheme="minorHAnsi" w:cstheme="minorBidi"/>
          <w:noProof/>
          <w:sz w:val="22"/>
          <w:szCs w:val="22"/>
        </w:rPr>
      </w:pPr>
      <w:hyperlink w:anchor="_Toc41468184" w:history="1">
        <w:r w:rsidRPr="000C06FD">
          <w:rPr>
            <w:rStyle w:val="Hyperlink"/>
            <w:noProof/>
          </w:rPr>
          <w:t>(S-90) PSD prescribes policies and procedures for acquisition planning in accordance with FAR</w:t>
        </w:r>
      </w:hyperlink>
    </w:p>
    <w:p w:rsidR="00901B94" w:rsidRDefault="00901B94">
      <w:pPr>
        <w:pStyle w:val="TOC3"/>
        <w:tabs>
          <w:tab w:val="right" w:leader="dot" w:pos="10250"/>
        </w:tabs>
        <w:rPr>
          <w:rFonts w:asciiTheme="minorHAnsi" w:eastAsiaTheme="minorEastAsia" w:hAnsiTheme="minorHAnsi" w:cstheme="minorBidi"/>
          <w:noProof/>
          <w:sz w:val="22"/>
          <w:szCs w:val="22"/>
        </w:rPr>
      </w:pPr>
      <w:hyperlink w:anchor="_Toc41468185" w:history="1">
        <w:r w:rsidRPr="000C06FD">
          <w:rPr>
            <w:rStyle w:val="Hyperlink"/>
            <w:noProof/>
          </w:rPr>
          <w:t>7.103 and DFARS 207.103 that are consistent with the guidelines provided therein. All Acquisition Plan templates, procedures, supporting documentation and Concurrent Coordination email templates are located in DARS PGI 7.104(S-90).</w:t>
        </w:r>
      </w:hyperlink>
    </w:p>
    <w:p w:rsidR="00901B94" w:rsidRDefault="00901B94">
      <w:pPr>
        <w:pStyle w:val="TOC3"/>
        <w:tabs>
          <w:tab w:val="right" w:leader="dot" w:pos="10250"/>
        </w:tabs>
        <w:rPr>
          <w:rFonts w:asciiTheme="minorHAnsi" w:eastAsiaTheme="minorEastAsia" w:hAnsiTheme="minorHAnsi" w:cstheme="minorBidi"/>
          <w:noProof/>
          <w:sz w:val="22"/>
          <w:szCs w:val="22"/>
        </w:rPr>
      </w:pPr>
      <w:hyperlink w:anchor="_Toc41468186" w:history="1">
        <w:r w:rsidRPr="000C06FD">
          <w:rPr>
            <w:rStyle w:val="Hyperlink"/>
            <w:noProof/>
          </w:rPr>
          <w:t>7.105 Contents of written acquisition plans.</w:t>
        </w:r>
      </w:hyperlink>
    </w:p>
    <w:p w:rsidR="00901B94" w:rsidRDefault="00901B94">
      <w:pPr>
        <w:pStyle w:val="TOC3"/>
        <w:tabs>
          <w:tab w:val="right" w:leader="dot" w:pos="10250"/>
        </w:tabs>
        <w:rPr>
          <w:rFonts w:asciiTheme="minorHAnsi" w:eastAsiaTheme="minorEastAsia" w:hAnsiTheme="minorHAnsi" w:cstheme="minorBidi"/>
          <w:noProof/>
          <w:sz w:val="22"/>
          <w:szCs w:val="22"/>
        </w:rPr>
      </w:pPr>
      <w:hyperlink w:anchor="_Toc41468187" w:history="1">
        <w:r w:rsidRPr="000C06FD">
          <w:rPr>
            <w:rStyle w:val="Hyperlink"/>
            <w:noProof/>
          </w:rPr>
          <w:t>7.107 Additional requirements for acquisitions involving consolidation, bundling, or substantial bundling.</w:t>
        </w:r>
      </w:hyperlink>
    </w:p>
    <w:p w:rsidR="00901B94" w:rsidRDefault="00901B94">
      <w:pPr>
        <w:pStyle w:val="TOC4"/>
        <w:tabs>
          <w:tab w:val="right" w:leader="dot" w:pos="10250"/>
        </w:tabs>
        <w:rPr>
          <w:rFonts w:asciiTheme="minorHAnsi" w:hAnsiTheme="minorHAnsi" w:cstheme="minorBidi"/>
          <w:noProof/>
          <w:sz w:val="22"/>
          <w:szCs w:val="22"/>
        </w:rPr>
      </w:pPr>
      <w:hyperlink w:anchor="_Toc41468188" w:history="1">
        <w:r w:rsidRPr="000C06FD">
          <w:rPr>
            <w:rStyle w:val="Hyperlink"/>
            <w:noProof/>
          </w:rPr>
          <w:t>7.107-2</w:t>
        </w:r>
        <w:r w:rsidRPr="000C06FD">
          <w:rPr>
            <w:rStyle w:val="Hyperlink"/>
            <w:noProof/>
            <w:spacing w:val="59"/>
          </w:rPr>
          <w:t xml:space="preserve"> </w:t>
        </w:r>
        <w:r w:rsidRPr="000C06FD">
          <w:rPr>
            <w:rStyle w:val="Hyperlink"/>
            <w:noProof/>
          </w:rPr>
          <w:t>Consolidation.</w:t>
        </w:r>
      </w:hyperlink>
    </w:p>
    <w:p w:rsidR="00901B94" w:rsidRDefault="00901B94" w:rsidP="000A126C">
      <w:pPr>
        <w:pStyle w:val="Heading2"/>
      </w:pPr>
      <w:r>
        <w:rPr>
          <w:bCs/>
          <w:color w:val="365F91"/>
          <w:sz w:val="28"/>
        </w:rPr>
        <w:fldChar w:fldCharType="end"/>
      </w:r>
      <w:bookmarkStart w:id="4" w:name="_Toc41468178"/>
      <w:r w:rsidR="000A126C">
        <w:t>SUBPART 7.1 -- ACQUISITION PLANS</w:t>
      </w:r>
      <w:bookmarkEnd w:id="4"/>
    </w:p>
    <w:p w:rsidR="00901B94" w:rsidRDefault="000A126C" w:rsidP="000A126C">
      <w:pPr>
        <w:pStyle w:val="Heading3"/>
      </w:pPr>
      <w:bookmarkStart w:id="5" w:name="7.101_Definitions."/>
      <w:bookmarkStart w:id="6" w:name="_bookmark92"/>
      <w:bookmarkStart w:id="7" w:name="_Toc41468179"/>
      <w:bookmarkEnd w:id="5"/>
      <w:bookmarkEnd w:id="6"/>
      <w:r>
        <w:t>7.101 Definitions.</w:t>
      </w:r>
      <w:bookmarkEnd w:id="7"/>
    </w:p>
    <w:p w:rsidR="00901B94" w:rsidRDefault="000A126C" w:rsidP="000A126C">
      <w:pPr>
        <w:pStyle w:val="BodyText"/>
        <w:ind w:left="460" w:right="549"/>
      </w:pPr>
      <w:r>
        <w:t>Component Acquisition Executive (CAE). The CAE has oversight and review authority for all acquisition matters and reports to the Director, DISA. The CAE has the authority and is accountable for all acquisition functions and activities in the Agency. (Source: DISAI 610-225- 2*)</w:t>
      </w:r>
    </w:p>
    <w:p w:rsidR="000A126C" w:rsidRDefault="000A126C" w:rsidP="000A126C">
      <w:pPr>
        <w:pStyle w:val="BodyText"/>
        <w:spacing w:line="499" w:lineRule="auto"/>
        <w:ind w:left="460" w:right="1095"/>
      </w:pPr>
      <w:r>
        <w:t>Procurement Services Executive (PSE). Serves as the HCA for Agency procurements. DISA Mission Partner. Internal DISA program office (i.e., requirements office).</w:t>
      </w:r>
    </w:p>
    <w:p w:rsidR="00901B94" w:rsidRDefault="000A126C" w:rsidP="000A126C">
      <w:pPr>
        <w:pStyle w:val="BodyText"/>
        <w:spacing w:before="2"/>
        <w:ind w:left="460" w:right="549"/>
      </w:pPr>
      <w:r>
        <w:t>DISA Program/Project. A DISA funded logical grouping of requirements designed to provide a new, improved, or continuing capability in response to a validated operational capability.</w:t>
      </w:r>
    </w:p>
    <w:p w:rsidR="00901B94" w:rsidRDefault="000A126C" w:rsidP="000A126C">
      <w:pPr>
        <w:pStyle w:val="BodyText"/>
        <w:spacing w:before="1"/>
        <w:ind w:left="460" w:right="549"/>
      </w:pPr>
      <w:r>
        <w:t>DISA Program Plan. A budgetary plan of requirements supporting a specific DISA Program for any given fiscal year (FY). The Annual Program Plan Review is the forum for obtaining program plan approval.</w:t>
      </w:r>
    </w:p>
    <w:p w:rsidR="00901B94" w:rsidRDefault="000A126C" w:rsidP="000A126C">
      <w:pPr>
        <w:pStyle w:val="BodyText"/>
        <w:ind w:left="459" w:right="464"/>
      </w:pPr>
      <w:r>
        <w:t xml:space="preserve">High-Risk Contracts/CLINs. High-risk contracts include non-competitive or limited competition contracts and cost reimbursement and time-and-materials/labor-hour contracts. High-Risk CLINs are cost reimbursement and time-and-materials/labor-hour types. When a combination of </w:t>
      </w:r>
      <w:r>
        <w:lastRenderedPageBreak/>
        <w:t>types is used (sometimes referred to as a “hybrid”), the contract is considered high-risk if the high-risk CLINs constitute 50% or more of the total estimated cost. The definition of high-risk does not include direct 8(a)</w:t>
      </w:r>
      <w:r>
        <w:rPr>
          <w:spacing w:val="-1"/>
        </w:rPr>
        <w:t xml:space="preserve"> </w:t>
      </w:r>
      <w:r>
        <w:t>contracts equal to or below the $4M competitive threshold.</w:t>
      </w:r>
    </w:p>
    <w:p w:rsidR="00901B94" w:rsidRDefault="000A126C" w:rsidP="000A126C">
      <w:pPr>
        <w:pStyle w:val="BodyText"/>
        <w:ind w:left="459" w:right="549"/>
      </w:pPr>
      <w:r>
        <w:t>Integrated Product Team (IPT). A cross-functional team formed for the specific purpose of delivering a capability for an external or internal mission partner.</w:t>
      </w:r>
    </w:p>
    <w:p w:rsidR="00901B94" w:rsidRDefault="000A126C" w:rsidP="000A126C">
      <w:pPr>
        <w:pStyle w:val="BodyText"/>
        <w:ind w:left="459" w:right="677"/>
      </w:pPr>
      <w:r>
        <w:t>Independent Government Cost Estimate (IGCE). The IGCE is a required evaluation tool in DISA source selections. As such its integrity is critical, and the PMO shall be responsible for ensuring that appropriate technical and cost and price analysts are involved in its development.</w:t>
      </w:r>
    </w:p>
    <w:p w:rsidR="00901B94" w:rsidRDefault="000A126C" w:rsidP="000A126C">
      <w:pPr>
        <w:pStyle w:val="BodyText"/>
        <w:ind w:left="460" w:right="458"/>
      </w:pPr>
      <w:r>
        <w:t>Non-DISA Mission Partner. An external program office (i.e., requirements office), such as other DoD Components and other Federal Agencies.</w:t>
      </w:r>
    </w:p>
    <w:p w:rsidR="00901B94" w:rsidRDefault="000A126C" w:rsidP="000A126C">
      <w:pPr>
        <w:pStyle w:val="BodyText"/>
        <w:ind w:left="460" w:right="549"/>
      </w:pPr>
      <w:r>
        <w:t>Program Executive Officer (PEO). A PEO is appointed by the CAE to manage portfolios of programs, projects, initiatives, and services. (Source: DISAI 610-225-2*)</w:t>
      </w:r>
    </w:p>
    <w:p w:rsidR="000A126C" w:rsidRDefault="000A126C" w:rsidP="000A126C">
      <w:pPr>
        <w:pStyle w:val="BodyText"/>
        <w:ind w:left="460"/>
      </w:pPr>
      <w:r>
        <w:t>Program Manager (PM) or Program Management Office (PMO). The designated person (i.e.,</w:t>
      </w:r>
    </w:p>
    <w:p w:rsidR="00901B94" w:rsidRDefault="000A126C" w:rsidP="000A126C">
      <w:r>
        <w:br w:type="page"/>
      </w:r>
      <w:r>
        <w:lastRenderedPageBreak/>
        <w:t>requirements official) or office who is responsible for developing and maintaining a written plan, or for the planning function in those acquisitions not requiring a written plan.</w:t>
      </w:r>
    </w:p>
    <w:p w:rsidR="00901B94" w:rsidRDefault="000A126C" w:rsidP="000A126C">
      <w:pPr>
        <w:pStyle w:val="BodyText"/>
        <w:ind w:left="460"/>
      </w:pPr>
      <w:r>
        <w:t>Decision Authority (DA). A DA is an official designated by the CAE to manage portfolios of programs, projects, and services.</w:t>
      </w:r>
    </w:p>
    <w:p w:rsidR="00901B94" w:rsidRDefault="000A126C" w:rsidP="000A126C">
      <w:pPr>
        <w:pStyle w:val="Heading3"/>
      </w:pPr>
      <w:bookmarkStart w:id="8" w:name="7.103__Agency-head_responsibilities."/>
      <w:bookmarkStart w:id="9" w:name="_bookmark93"/>
      <w:bookmarkStart w:id="10" w:name="_Toc41468180"/>
      <w:bookmarkEnd w:id="8"/>
      <w:bookmarkEnd w:id="9"/>
      <w:r>
        <w:t>7.103 Agency-head responsibilities.</w:t>
      </w:r>
      <w:bookmarkEnd w:id="10"/>
    </w:p>
    <w:p w:rsidR="00901B94" w:rsidRDefault="000A126C" w:rsidP="000A126C">
      <w:pPr>
        <w:pStyle w:val="List1"/>
      </w:pPr>
      <w:r>
        <w:t>(S-90)  A written plan (combined AS/AP, standard, or streamlined) shall also be prepared for: (See Table 7-1 for thresholds and approval authority)</w:t>
      </w:r>
    </w:p>
    <w:p w:rsidR="00901B94" w:rsidRDefault="000A126C" w:rsidP="000A126C">
      <w:pPr>
        <w:pStyle w:val="List2"/>
      </w:pPr>
      <w:r>
        <w:t>(1)</w:t>
      </w:r>
      <w:r w:rsidRPr="000C1327">
        <w:t xml:space="preserve"> </w:t>
      </w:r>
      <w:r>
        <w:t xml:space="preserve"> </w:t>
      </w:r>
      <w:r w:rsidRPr="000C1327">
        <w:t>Cost Reimbursement, Time-and-Materials, and Labor Hour Contracts, regardless of the</w:t>
      </w:r>
      <w:r w:rsidRPr="000C1327">
        <w:rPr>
          <w:spacing w:val="-23"/>
        </w:rPr>
        <w:t xml:space="preserve"> </w:t>
      </w:r>
      <w:r w:rsidRPr="000C1327">
        <w:t>total estimated</w:t>
      </w:r>
      <w:r w:rsidRPr="000C1327">
        <w:rPr>
          <w:spacing w:val="-1"/>
        </w:rPr>
        <w:t xml:space="preserve"> </w:t>
      </w:r>
      <w:r w:rsidRPr="000C1327">
        <w:t>cost.</w:t>
      </w:r>
    </w:p>
    <w:p w:rsidR="00901B94" w:rsidRDefault="000A126C" w:rsidP="000A126C">
      <w:pPr>
        <w:pStyle w:val="List2"/>
      </w:pPr>
      <w:r>
        <w:rPr>
          <w:sz w:val="24"/>
        </w:rPr>
        <w:t xml:space="preserve">(2)  </w:t>
      </w:r>
      <w:r w:rsidRPr="001878CD">
        <w:rPr>
          <w:sz w:val="24"/>
        </w:rPr>
        <w:t>Combination of Contract Types, also known as a hybrid contract that include Cost Reimbursement, Time-and-Materials, and Labor Hour Contract Line Items that constitute</w:t>
      </w:r>
      <w:r w:rsidRPr="001878CD">
        <w:rPr>
          <w:spacing w:val="-22"/>
          <w:sz w:val="24"/>
        </w:rPr>
        <w:t xml:space="preserve"> </w:t>
      </w:r>
      <w:r w:rsidRPr="001878CD">
        <w:rPr>
          <w:sz w:val="24"/>
        </w:rPr>
        <w:t>50% or more of the estimated</w:t>
      </w:r>
      <w:r w:rsidRPr="001878CD">
        <w:rPr>
          <w:spacing w:val="-1"/>
          <w:sz w:val="24"/>
        </w:rPr>
        <w:t xml:space="preserve"> </w:t>
      </w:r>
      <w:r w:rsidRPr="001878CD">
        <w:rPr>
          <w:sz w:val="24"/>
        </w:rPr>
        <w:t>value.</w:t>
      </w:r>
    </w:p>
    <w:p w:rsidR="000A126C" w:rsidRDefault="000A126C" w:rsidP="000A126C">
      <w:pPr>
        <w:ind w:left="519"/>
        <w:rPr>
          <w:b/>
          <w:sz w:val="24"/>
        </w:rPr>
      </w:pPr>
      <w:r>
        <w:rPr>
          <w:b/>
          <w:sz w:val="24"/>
        </w:rPr>
        <w:t>Table 7-1 Acquisition Plan Thresholds and Approvals</w:t>
      </w:r>
    </w:p>
    <w:tbl>
      <w:tblPr>
        <w:tblW w:w="0" w:type="auto"/>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10"/>
        <w:gridCol w:w="2579"/>
        <w:gridCol w:w="2398"/>
        <w:gridCol w:w="2391"/>
      </w:tblGrid>
      <w:tr w:rsidR="000A126C" w:rsidTr="00CA4FF5">
        <w:trPr>
          <w:trHeight w:val="277"/>
        </w:trPr>
        <w:tc>
          <w:tcPr>
            <w:tcW w:w="2210" w:type="dxa"/>
          </w:tcPr>
          <w:p w:rsidR="000A126C" w:rsidRDefault="000A126C">
            <w:pPr>
              <w:pStyle w:val="TableParagraph"/>
              <w:spacing w:before="1" w:line="257" w:lineRule="exact"/>
              <w:rPr>
                <w:b/>
                <w:sz w:val="24"/>
              </w:rPr>
            </w:pPr>
            <w:r>
              <w:rPr>
                <w:b/>
                <w:sz w:val="24"/>
              </w:rPr>
              <w:t>Contract Type</w:t>
            </w:r>
          </w:p>
        </w:tc>
        <w:tc>
          <w:tcPr>
            <w:tcW w:w="2579" w:type="dxa"/>
          </w:tcPr>
          <w:p w:rsidR="000A126C" w:rsidRDefault="000A126C">
            <w:pPr>
              <w:pStyle w:val="TableParagraph"/>
              <w:spacing w:before="1" w:line="257" w:lineRule="exact"/>
              <w:rPr>
                <w:b/>
                <w:sz w:val="24"/>
              </w:rPr>
            </w:pPr>
            <w:r>
              <w:rPr>
                <w:b/>
                <w:sz w:val="24"/>
              </w:rPr>
              <w:t>Dollar Threshold</w:t>
            </w:r>
          </w:p>
        </w:tc>
        <w:tc>
          <w:tcPr>
            <w:tcW w:w="2398" w:type="dxa"/>
          </w:tcPr>
          <w:p w:rsidR="000A126C" w:rsidRDefault="000A126C">
            <w:pPr>
              <w:pStyle w:val="TableParagraph"/>
              <w:spacing w:before="1" w:line="257" w:lineRule="exact"/>
              <w:ind w:left="3"/>
              <w:rPr>
                <w:b/>
                <w:sz w:val="24"/>
              </w:rPr>
            </w:pPr>
            <w:r>
              <w:rPr>
                <w:b/>
                <w:sz w:val="24"/>
              </w:rPr>
              <w:t>Acquisition Plan Type</w:t>
            </w:r>
          </w:p>
        </w:tc>
        <w:tc>
          <w:tcPr>
            <w:tcW w:w="2391" w:type="dxa"/>
          </w:tcPr>
          <w:p w:rsidR="000A126C" w:rsidRDefault="000A126C">
            <w:pPr>
              <w:pStyle w:val="TableParagraph"/>
              <w:spacing w:before="1" w:line="257" w:lineRule="exact"/>
              <w:ind w:left="3"/>
              <w:rPr>
                <w:b/>
                <w:sz w:val="24"/>
              </w:rPr>
            </w:pPr>
            <w:r>
              <w:rPr>
                <w:b/>
                <w:sz w:val="24"/>
              </w:rPr>
              <w:t>Approver</w:t>
            </w:r>
          </w:p>
        </w:tc>
      </w:tr>
      <w:tr w:rsidR="000A126C" w:rsidTr="00CA4FF5">
        <w:trPr>
          <w:trHeight w:val="376"/>
        </w:trPr>
        <w:tc>
          <w:tcPr>
            <w:tcW w:w="2210" w:type="dxa"/>
          </w:tcPr>
          <w:p w:rsidR="000A126C" w:rsidRDefault="000A126C">
            <w:pPr>
              <w:pStyle w:val="TableParagraph"/>
              <w:spacing w:line="270" w:lineRule="exact"/>
              <w:rPr>
                <w:sz w:val="24"/>
              </w:rPr>
            </w:pPr>
            <w:r>
              <w:rPr>
                <w:sz w:val="24"/>
                <w:szCs w:val="24"/>
              </w:rPr>
              <w:t>CR/High Risk   (</w:t>
            </w:r>
            <w:r w:rsidRPr="002955E0">
              <w:rPr>
                <w:sz w:val="24"/>
                <w:szCs w:val="24"/>
              </w:rPr>
              <w:t>Order</w:t>
            </w:r>
            <w:r>
              <w:rPr>
                <w:sz w:val="24"/>
                <w:szCs w:val="24"/>
              </w:rPr>
              <w:t>/</w:t>
            </w:r>
            <w:r w:rsidRPr="002955E0">
              <w:rPr>
                <w:sz w:val="24"/>
                <w:szCs w:val="24"/>
              </w:rPr>
              <w:t>Contract</w:t>
            </w:r>
            <w:r>
              <w:rPr>
                <w:sz w:val="24"/>
                <w:szCs w:val="24"/>
              </w:rPr>
              <w:t>/IDIQ/BPA)</w:t>
            </w:r>
          </w:p>
        </w:tc>
        <w:tc>
          <w:tcPr>
            <w:tcW w:w="2579" w:type="dxa"/>
          </w:tcPr>
          <w:p w:rsidR="000A126C" w:rsidRDefault="000A126C">
            <w:pPr>
              <w:pStyle w:val="TableParagraph"/>
              <w:spacing w:line="270" w:lineRule="exact"/>
              <w:rPr>
                <w:sz w:val="24"/>
              </w:rPr>
            </w:pPr>
            <w:r>
              <w:rPr>
                <w:sz w:val="24"/>
              </w:rPr>
              <w:t>&lt;$50M</w:t>
            </w:r>
          </w:p>
        </w:tc>
        <w:tc>
          <w:tcPr>
            <w:tcW w:w="2398" w:type="dxa"/>
          </w:tcPr>
          <w:p w:rsidR="000A126C" w:rsidRDefault="000A126C">
            <w:pPr>
              <w:pStyle w:val="TableParagraph"/>
              <w:spacing w:line="270" w:lineRule="exact"/>
              <w:ind w:left="3"/>
              <w:rPr>
                <w:sz w:val="24"/>
              </w:rPr>
            </w:pPr>
            <w:r>
              <w:rPr>
                <w:sz w:val="24"/>
              </w:rPr>
              <w:t>Streamlined</w:t>
            </w:r>
          </w:p>
        </w:tc>
        <w:tc>
          <w:tcPr>
            <w:tcW w:w="2391" w:type="dxa"/>
          </w:tcPr>
          <w:p w:rsidR="000A126C" w:rsidRDefault="000A126C">
            <w:pPr>
              <w:pStyle w:val="TableParagraph"/>
              <w:spacing w:line="270" w:lineRule="exact"/>
              <w:ind w:left="3"/>
              <w:rPr>
                <w:sz w:val="24"/>
              </w:rPr>
            </w:pPr>
            <w:r>
              <w:rPr>
                <w:sz w:val="24"/>
              </w:rPr>
              <w:t>CoCO</w:t>
            </w:r>
          </w:p>
        </w:tc>
      </w:tr>
      <w:tr w:rsidR="000A126C" w:rsidTr="00CA4FF5">
        <w:trPr>
          <w:trHeight w:val="376"/>
        </w:trPr>
        <w:tc>
          <w:tcPr>
            <w:tcW w:w="2210" w:type="dxa"/>
          </w:tcPr>
          <w:p w:rsidR="000A126C" w:rsidRDefault="000A126C" w:rsidP="009B78E8">
            <w:pPr>
              <w:pStyle w:val="TableParagraph"/>
              <w:spacing w:line="270" w:lineRule="exact"/>
              <w:rPr>
                <w:sz w:val="24"/>
              </w:rPr>
            </w:pPr>
            <w:r>
              <w:rPr>
                <w:szCs w:val="24"/>
              </w:rPr>
              <w:t>All Orders/</w:t>
            </w:r>
            <w:r w:rsidRPr="002955E0">
              <w:rPr>
                <w:szCs w:val="24"/>
              </w:rPr>
              <w:t xml:space="preserve"> Contract</w:t>
            </w:r>
            <w:r>
              <w:rPr>
                <w:szCs w:val="24"/>
              </w:rPr>
              <w:t>s/IDIQs/BPAs for any FY</w:t>
            </w:r>
          </w:p>
        </w:tc>
        <w:tc>
          <w:tcPr>
            <w:tcW w:w="2579" w:type="dxa"/>
          </w:tcPr>
          <w:p w:rsidR="000A126C" w:rsidRDefault="000A126C" w:rsidP="009B78E8">
            <w:pPr>
              <w:pStyle w:val="TableParagraph"/>
              <w:spacing w:line="270" w:lineRule="exact"/>
              <w:rPr>
                <w:sz w:val="24"/>
              </w:rPr>
            </w:pPr>
            <w:r w:rsidRPr="008C27B4">
              <w:rPr>
                <w:szCs w:val="24"/>
              </w:rPr>
              <w:t>≥$</w:t>
            </w:r>
            <w:r>
              <w:rPr>
                <w:szCs w:val="24"/>
              </w:rPr>
              <w:t>25</w:t>
            </w:r>
            <w:r w:rsidRPr="008C27B4">
              <w:rPr>
                <w:szCs w:val="24"/>
              </w:rPr>
              <w:t xml:space="preserve">M </w:t>
            </w:r>
          </w:p>
        </w:tc>
        <w:tc>
          <w:tcPr>
            <w:tcW w:w="2398" w:type="dxa"/>
          </w:tcPr>
          <w:p w:rsidR="000A126C" w:rsidRDefault="000A126C" w:rsidP="009B78E8">
            <w:pPr>
              <w:pStyle w:val="TableParagraph"/>
              <w:spacing w:line="270" w:lineRule="exact"/>
              <w:ind w:left="3"/>
              <w:rPr>
                <w:sz w:val="24"/>
              </w:rPr>
            </w:pPr>
            <w:r>
              <w:rPr>
                <w:sz w:val="24"/>
              </w:rPr>
              <w:t>Streamlined</w:t>
            </w:r>
          </w:p>
        </w:tc>
        <w:tc>
          <w:tcPr>
            <w:tcW w:w="2391" w:type="dxa"/>
          </w:tcPr>
          <w:p w:rsidR="000A126C" w:rsidRDefault="000A126C" w:rsidP="009B78E8">
            <w:pPr>
              <w:pStyle w:val="TableParagraph"/>
              <w:spacing w:line="270" w:lineRule="exact"/>
              <w:ind w:left="3"/>
              <w:rPr>
                <w:sz w:val="24"/>
              </w:rPr>
            </w:pPr>
            <w:r>
              <w:rPr>
                <w:sz w:val="24"/>
              </w:rPr>
              <w:t>CoCO</w:t>
            </w:r>
          </w:p>
        </w:tc>
      </w:tr>
      <w:tr w:rsidR="000A126C" w:rsidTr="00CA4FF5">
        <w:trPr>
          <w:trHeight w:val="376"/>
        </w:trPr>
        <w:tc>
          <w:tcPr>
            <w:tcW w:w="2210" w:type="dxa"/>
          </w:tcPr>
          <w:p w:rsidR="000A126C" w:rsidRDefault="000A126C" w:rsidP="009B78E8">
            <w:pPr>
              <w:pStyle w:val="TableParagraph"/>
              <w:spacing w:line="270" w:lineRule="exact"/>
              <w:rPr>
                <w:sz w:val="24"/>
              </w:rPr>
            </w:pPr>
            <w:r>
              <w:rPr>
                <w:sz w:val="24"/>
              </w:rPr>
              <w:t xml:space="preserve">All Orders </w:t>
            </w:r>
            <w:r>
              <w:rPr>
                <w:szCs w:val="24"/>
              </w:rPr>
              <w:t>(all years)</w:t>
            </w:r>
          </w:p>
        </w:tc>
        <w:tc>
          <w:tcPr>
            <w:tcW w:w="2579" w:type="dxa"/>
          </w:tcPr>
          <w:p w:rsidR="000A126C" w:rsidRDefault="000A126C" w:rsidP="009B78E8">
            <w:pPr>
              <w:pStyle w:val="TableParagraph"/>
              <w:spacing w:line="270" w:lineRule="exact"/>
              <w:rPr>
                <w:sz w:val="24"/>
              </w:rPr>
            </w:pPr>
            <w:r>
              <w:rPr>
                <w:sz w:val="24"/>
              </w:rPr>
              <w:t>≥$50M to $100M</w:t>
            </w:r>
          </w:p>
        </w:tc>
        <w:tc>
          <w:tcPr>
            <w:tcW w:w="2398" w:type="dxa"/>
          </w:tcPr>
          <w:p w:rsidR="000A126C" w:rsidRDefault="000A126C" w:rsidP="009B78E8">
            <w:pPr>
              <w:pStyle w:val="TableParagraph"/>
              <w:spacing w:line="270" w:lineRule="exact"/>
              <w:ind w:left="3"/>
              <w:rPr>
                <w:sz w:val="24"/>
              </w:rPr>
            </w:pPr>
            <w:r>
              <w:rPr>
                <w:sz w:val="24"/>
              </w:rPr>
              <w:t>Streamlined</w:t>
            </w:r>
          </w:p>
        </w:tc>
        <w:tc>
          <w:tcPr>
            <w:tcW w:w="2391" w:type="dxa"/>
          </w:tcPr>
          <w:p w:rsidR="000A126C" w:rsidRDefault="000A126C" w:rsidP="009B78E8">
            <w:pPr>
              <w:pStyle w:val="TableParagraph"/>
              <w:spacing w:line="270" w:lineRule="exact"/>
              <w:ind w:left="3"/>
              <w:rPr>
                <w:sz w:val="24"/>
              </w:rPr>
            </w:pPr>
            <w:r>
              <w:rPr>
                <w:sz w:val="24"/>
              </w:rPr>
              <w:t>CoCO</w:t>
            </w:r>
          </w:p>
        </w:tc>
      </w:tr>
      <w:tr w:rsidR="000A126C" w:rsidTr="00CA4FF5">
        <w:trPr>
          <w:trHeight w:val="275"/>
        </w:trPr>
        <w:tc>
          <w:tcPr>
            <w:tcW w:w="2210" w:type="dxa"/>
          </w:tcPr>
          <w:p w:rsidR="000A126C" w:rsidRDefault="000A126C" w:rsidP="009B78E8">
            <w:pPr>
              <w:pStyle w:val="TableParagraph"/>
              <w:spacing w:line="256" w:lineRule="exact"/>
              <w:rPr>
                <w:sz w:val="24"/>
              </w:rPr>
            </w:pPr>
            <w:r>
              <w:rPr>
                <w:sz w:val="24"/>
              </w:rPr>
              <w:t xml:space="preserve">Contract/IDIQ/BPA </w:t>
            </w:r>
            <w:r>
              <w:rPr>
                <w:szCs w:val="24"/>
              </w:rPr>
              <w:t>(all years)</w:t>
            </w:r>
          </w:p>
        </w:tc>
        <w:tc>
          <w:tcPr>
            <w:tcW w:w="2579" w:type="dxa"/>
          </w:tcPr>
          <w:p w:rsidR="000A126C" w:rsidRDefault="000A126C" w:rsidP="009B78E8">
            <w:pPr>
              <w:pStyle w:val="TableParagraph"/>
              <w:spacing w:line="256" w:lineRule="exact"/>
              <w:rPr>
                <w:sz w:val="24"/>
              </w:rPr>
            </w:pPr>
            <w:r>
              <w:rPr>
                <w:sz w:val="24"/>
              </w:rPr>
              <w:t>≥$50M to $100M</w:t>
            </w:r>
          </w:p>
        </w:tc>
        <w:tc>
          <w:tcPr>
            <w:tcW w:w="2398" w:type="dxa"/>
          </w:tcPr>
          <w:p w:rsidR="000A126C" w:rsidRDefault="000A126C" w:rsidP="009B78E8">
            <w:pPr>
              <w:pStyle w:val="TableParagraph"/>
              <w:spacing w:line="256" w:lineRule="exact"/>
              <w:ind w:left="3"/>
              <w:rPr>
                <w:sz w:val="24"/>
              </w:rPr>
            </w:pPr>
            <w:r>
              <w:rPr>
                <w:sz w:val="24"/>
              </w:rPr>
              <w:t>Standard or Combined*</w:t>
            </w:r>
          </w:p>
        </w:tc>
        <w:tc>
          <w:tcPr>
            <w:tcW w:w="2391" w:type="dxa"/>
          </w:tcPr>
          <w:p w:rsidR="000A126C" w:rsidRDefault="000A126C" w:rsidP="009B78E8">
            <w:pPr>
              <w:pStyle w:val="TableParagraph"/>
              <w:spacing w:line="256" w:lineRule="exact"/>
              <w:ind w:left="3"/>
              <w:rPr>
                <w:sz w:val="24"/>
              </w:rPr>
            </w:pPr>
            <w:r>
              <w:rPr>
                <w:sz w:val="24"/>
              </w:rPr>
              <w:t>CoCO</w:t>
            </w:r>
          </w:p>
        </w:tc>
      </w:tr>
      <w:tr w:rsidR="000A126C" w:rsidTr="00CA4FF5">
        <w:trPr>
          <w:trHeight w:val="333"/>
        </w:trPr>
        <w:tc>
          <w:tcPr>
            <w:tcW w:w="2210" w:type="dxa"/>
          </w:tcPr>
          <w:p w:rsidR="000A126C" w:rsidRDefault="000A126C" w:rsidP="009B78E8">
            <w:pPr>
              <w:pStyle w:val="TableParagraph"/>
              <w:spacing w:line="273" w:lineRule="exact"/>
              <w:rPr>
                <w:sz w:val="24"/>
              </w:rPr>
            </w:pPr>
            <w:r>
              <w:rPr>
                <w:sz w:val="24"/>
              </w:rPr>
              <w:t xml:space="preserve">Contract/IDIQ/BPA </w:t>
            </w:r>
            <w:r>
              <w:rPr>
                <w:szCs w:val="24"/>
              </w:rPr>
              <w:t>(all years)</w:t>
            </w:r>
          </w:p>
        </w:tc>
        <w:tc>
          <w:tcPr>
            <w:tcW w:w="2579" w:type="dxa"/>
          </w:tcPr>
          <w:p w:rsidR="000A126C" w:rsidRDefault="000A126C" w:rsidP="009B78E8">
            <w:pPr>
              <w:pStyle w:val="TableParagraph"/>
              <w:spacing w:line="273" w:lineRule="exact"/>
              <w:rPr>
                <w:sz w:val="24"/>
              </w:rPr>
            </w:pPr>
            <w:r>
              <w:rPr>
                <w:sz w:val="24"/>
              </w:rPr>
              <w:t>&gt;$100M</w:t>
            </w:r>
          </w:p>
        </w:tc>
        <w:tc>
          <w:tcPr>
            <w:tcW w:w="2398" w:type="dxa"/>
          </w:tcPr>
          <w:p w:rsidR="000A126C" w:rsidRDefault="000A126C" w:rsidP="009B78E8">
            <w:pPr>
              <w:pStyle w:val="TableParagraph"/>
              <w:spacing w:line="273" w:lineRule="exact"/>
              <w:ind w:left="3"/>
              <w:rPr>
                <w:sz w:val="24"/>
              </w:rPr>
            </w:pPr>
            <w:r>
              <w:rPr>
                <w:sz w:val="24"/>
              </w:rPr>
              <w:t>Standard or Combined*</w:t>
            </w:r>
          </w:p>
        </w:tc>
        <w:tc>
          <w:tcPr>
            <w:tcW w:w="2391" w:type="dxa"/>
          </w:tcPr>
          <w:p w:rsidR="000A126C" w:rsidRDefault="000A126C" w:rsidP="009B78E8">
            <w:pPr>
              <w:pStyle w:val="TableParagraph"/>
              <w:spacing w:line="273" w:lineRule="exact"/>
              <w:ind w:left="3"/>
              <w:rPr>
                <w:sz w:val="24"/>
              </w:rPr>
            </w:pPr>
            <w:r>
              <w:rPr>
                <w:sz w:val="24"/>
              </w:rPr>
              <w:t>SPE</w:t>
            </w:r>
          </w:p>
        </w:tc>
      </w:tr>
      <w:tr w:rsidR="000A126C" w:rsidTr="00CA4FF5">
        <w:trPr>
          <w:trHeight w:val="342"/>
        </w:trPr>
        <w:tc>
          <w:tcPr>
            <w:tcW w:w="2210" w:type="dxa"/>
          </w:tcPr>
          <w:p w:rsidR="000A126C" w:rsidRDefault="000A126C" w:rsidP="009B78E8">
            <w:pPr>
              <w:pStyle w:val="TableParagraph"/>
              <w:spacing w:line="270" w:lineRule="exact"/>
              <w:ind w:left="64"/>
              <w:rPr>
                <w:sz w:val="24"/>
              </w:rPr>
            </w:pPr>
            <w:r>
              <w:rPr>
                <w:sz w:val="24"/>
              </w:rPr>
              <w:t xml:space="preserve">All Orders </w:t>
            </w:r>
            <w:r>
              <w:rPr>
                <w:szCs w:val="24"/>
              </w:rPr>
              <w:t>(all years)</w:t>
            </w:r>
          </w:p>
        </w:tc>
        <w:tc>
          <w:tcPr>
            <w:tcW w:w="2579" w:type="dxa"/>
          </w:tcPr>
          <w:p w:rsidR="000A126C" w:rsidRDefault="000A126C" w:rsidP="009B78E8">
            <w:pPr>
              <w:pStyle w:val="TableParagraph"/>
              <w:spacing w:line="270" w:lineRule="exact"/>
              <w:rPr>
                <w:sz w:val="24"/>
              </w:rPr>
            </w:pPr>
            <w:r>
              <w:rPr>
                <w:sz w:val="24"/>
              </w:rPr>
              <w:t>&gt;$100M</w:t>
            </w:r>
          </w:p>
        </w:tc>
        <w:tc>
          <w:tcPr>
            <w:tcW w:w="2398" w:type="dxa"/>
          </w:tcPr>
          <w:p w:rsidR="000A126C" w:rsidRDefault="000A126C" w:rsidP="009B78E8">
            <w:pPr>
              <w:pStyle w:val="TableParagraph"/>
              <w:spacing w:line="270" w:lineRule="exact"/>
              <w:ind w:left="3"/>
              <w:rPr>
                <w:sz w:val="24"/>
              </w:rPr>
            </w:pPr>
            <w:r>
              <w:rPr>
                <w:sz w:val="24"/>
              </w:rPr>
              <w:t>Streamlined</w:t>
            </w:r>
          </w:p>
        </w:tc>
        <w:tc>
          <w:tcPr>
            <w:tcW w:w="2391" w:type="dxa"/>
          </w:tcPr>
          <w:p w:rsidR="000A126C" w:rsidRDefault="000A126C" w:rsidP="009B78E8">
            <w:pPr>
              <w:pStyle w:val="TableParagraph"/>
              <w:spacing w:line="270" w:lineRule="exact"/>
              <w:ind w:left="3"/>
              <w:rPr>
                <w:sz w:val="24"/>
              </w:rPr>
            </w:pPr>
            <w:r>
              <w:rPr>
                <w:sz w:val="24"/>
              </w:rPr>
              <w:t>SPE</w:t>
            </w:r>
          </w:p>
        </w:tc>
      </w:tr>
    </w:tbl>
    <w:p w:rsidR="00901B94" w:rsidRDefault="000A126C" w:rsidP="000A126C">
      <w:pPr>
        <w:pStyle w:val="BodyText"/>
        <w:ind w:left="460"/>
      </w:pPr>
      <w:r>
        <w:t xml:space="preserve">*Note: </w:t>
      </w:r>
      <w:r>
        <w:rPr>
          <w:color w:val="0000FF"/>
          <w:u w:val="single" w:color="0000FF"/>
        </w:rPr>
        <w:t>See (S-91) for Exceptions</w:t>
      </w:r>
    </w:p>
    <w:p w:rsidR="00901B94" w:rsidRDefault="000A126C" w:rsidP="000A126C">
      <w:pPr>
        <w:pStyle w:val="List1"/>
      </w:pPr>
      <w:r>
        <w:t>(S-91)</w:t>
      </w:r>
      <w:r>
        <w:rPr>
          <w:spacing w:val="58"/>
        </w:rPr>
        <w:t xml:space="preserve"> </w:t>
      </w:r>
      <w:r>
        <w:rPr>
          <w:i/>
        </w:rPr>
        <w:t>Exceptions.</w:t>
      </w:r>
    </w:p>
    <w:p w:rsidR="000A126C" w:rsidRPr="00AE3E5B" w:rsidRDefault="000A126C" w:rsidP="000A126C">
      <w:pPr>
        <w:pStyle w:val="Heading3"/>
      </w:pPr>
      <w:bookmarkStart w:id="11" w:name="_Toc41468181"/>
      <w:r>
        <w:rPr>
          <w:spacing w:val="-3"/>
          <w:w w:val="99"/>
        </w:rPr>
        <w:t>(1)</w:t>
      </w:r>
      <w:r>
        <w:rPr>
          <w:spacing w:val="-3"/>
          <w:w w:val="99"/>
        </w:rPr>
        <w:tab/>
      </w:r>
      <w:r w:rsidRPr="00AE3E5B">
        <w:t>The contracting officer is not required to prepare a written acquisition plan as required</w:t>
      </w:r>
      <w:r w:rsidRPr="00AE3E5B">
        <w:rPr>
          <w:spacing w:val="-10"/>
        </w:rPr>
        <w:t xml:space="preserve"> </w:t>
      </w:r>
      <w:r w:rsidRPr="00AE3E5B">
        <w:t>by</w:t>
      </w:r>
      <w:bookmarkEnd w:id="11"/>
    </w:p>
    <w:p w:rsidR="00901B94" w:rsidRDefault="000A126C" w:rsidP="000A126C">
      <w:pPr>
        <w:pStyle w:val="Heading3"/>
      </w:pPr>
      <w:bookmarkStart w:id="12" w:name="_Toc41468182"/>
      <w:r>
        <w:t>7.103 when --</w:t>
      </w:r>
      <w:bookmarkEnd w:id="12"/>
    </w:p>
    <w:p w:rsidR="00901B94" w:rsidRDefault="000A126C" w:rsidP="000A126C">
      <w:pPr>
        <w:pStyle w:val="List3"/>
      </w:pPr>
      <w:r>
        <w:rPr>
          <w:spacing w:val="-1"/>
          <w:w w:val="99"/>
          <w:szCs w:val="24"/>
        </w:rPr>
        <w:t>(i)</w:t>
      </w:r>
      <w:r>
        <w:rPr>
          <w:spacing w:val="-1"/>
          <w:w w:val="99"/>
          <w:szCs w:val="24"/>
        </w:rPr>
        <w:tab/>
      </w:r>
      <w:r w:rsidRPr="00AE3E5B">
        <w:t>Orders are placed against a single award ID/IQ or a single award</w:t>
      </w:r>
      <w:r w:rsidRPr="00AE3E5B">
        <w:rPr>
          <w:spacing w:val="-3"/>
        </w:rPr>
        <w:t xml:space="preserve"> </w:t>
      </w:r>
      <w:r w:rsidRPr="00AE3E5B">
        <w:t>BPA;</w:t>
      </w:r>
    </w:p>
    <w:p w:rsidR="00901B94" w:rsidRDefault="000A126C" w:rsidP="000A126C">
      <w:pPr>
        <w:pStyle w:val="List3"/>
      </w:pPr>
      <w:r>
        <w:rPr>
          <w:spacing w:val="-1"/>
          <w:w w:val="99"/>
          <w:sz w:val="24"/>
          <w:szCs w:val="24"/>
        </w:rPr>
        <w:t>(ii)</w:t>
      </w:r>
      <w:r>
        <w:rPr>
          <w:spacing w:val="-1"/>
          <w:w w:val="99"/>
          <w:sz w:val="24"/>
          <w:szCs w:val="24"/>
        </w:rPr>
        <w:tab/>
      </w:r>
      <w:r w:rsidRPr="00AE3E5B">
        <w:rPr>
          <w:sz w:val="24"/>
        </w:rPr>
        <w:t>Directed 8(a)</w:t>
      </w:r>
      <w:r w:rsidRPr="00AE3E5B">
        <w:rPr>
          <w:spacing w:val="-2"/>
          <w:sz w:val="24"/>
        </w:rPr>
        <w:t xml:space="preserve"> </w:t>
      </w:r>
      <w:r w:rsidRPr="00AE3E5B">
        <w:rPr>
          <w:sz w:val="24"/>
        </w:rPr>
        <w:t>Procurements.</w:t>
      </w:r>
    </w:p>
    <w:p w:rsidR="00901B94" w:rsidRDefault="000A126C" w:rsidP="000A126C">
      <w:pPr>
        <w:pStyle w:val="List3"/>
      </w:pPr>
      <w:r>
        <w:rPr>
          <w:spacing w:val="-1"/>
          <w:w w:val="99"/>
          <w:sz w:val="24"/>
          <w:szCs w:val="24"/>
        </w:rPr>
        <w:t>(iii)</w:t>
      </w:r>
      <w:r>
        <w:rPr>
          <w:spacing w:val="-1"/>
          <w:w w:val="99"/>
          <w:sz w:val="24"/>
          <w:szCs w:val="24"/>
        </w:rPr>
        <w:tab/>
      </w:r>
      <w:r w:rsidRPr="00AE3E5B">
        <w:rPr>
          <w:sz w:val="24"/>
        </w:rPr>
        <w:t>There is a waiver from the</w:t>
      </w:r>
      <w:r w:rsidRPr="00AE3E5B">
        <w:rPr>
          <w:spacing w:val="-3"/>
          <w:sz w:val="24"/>
        </w:rPr>
        <w:t xml:space="preserve"> </w:t>
      </w:r>
      <w:r w:rsidRPr="00AE3E5B">
        <w:rPr>
          <w:sz w:val="24"/>
        </w:rPr>
        <w:t>HCA.</w:t>
      </w:r>
    </w:p>
    <w:p w:rsidR="00901B94" w:rsidRDefault="000A126C" w:rsidP="000A126C">
      <w:pPr>
        <w:pStyle w:val="List2"/>
      </w:pPr>
      <w:r>
        <w:rPr>
          <w:spacing w:val="-3"/>
          <w:w w:val="99"/>
          <w:sz w:val="24"/>
          <w:szCs w:val="24"/>
        </w:rPr>
        <w:lastRenderedPageBreak/>
        <w:t>(2)</w:t>
      </w:r>
      <w:r>
        <w:rPr>
          <w:spacing w:val="-3"/>
          <w:w w:val="99"/>
          <w:sz w:val="24"/>
          <w:szCs w:val="24"/>
        </w:rPr>
        <w:tab/>
      </w:r>
      <w:r w:rsidRPr="00AE3E5B">
        <w:rPr>
          <w:color w:val="000000"/>
          <w:sz w:val="24"/>
          <w:szCs w:val="24"/>
        </w:rPr>
        <w:t>When an acquisition strategy is required, the use of a</w:t>
      </w:r>
      <w:r w:rsidRPr="00AE3E5B">
        <w:rPr>
          <w:sz w:val="24"/>
        </w:rPr>
        <w:t xml:space="preserve"> combined AS/AP is prohibited when</w:t>
      </w:r>
      <w:r w:rsidRPr="00AE3E5B">
        <w:rPr>
          <w:spacing w:val="-2"/>
          <w:sz w:val="24"/>
        </w:rPr>
        <w:t xml:space="preserve"> </w:t>
      </w:r>
      <w:r w:rsidRPr="00AE3E5B">
        <w:rPr>
          <w:sz w:val="24"/>
        </w:rPr>
        <w:t>--</w:t>
      </w:r>
    </w:p>
    <w:p w:rsidR="000A126C" w:rsidRPr="00AE3E5B" w:rsidRDefault="000A126C" w:rsidP="000A126C">
      <w:pPr>
        <w:pStyle w:val="List3"/>
      </w:pPr>
      <w:r w:rsidRPr="00CA4FF5">
        <w:rPr>
          <w:spacing w:val="-5"/>
          <w:w w:val="99"/>
          <w:sz w:val="24"/>
          <w:szCs w:val="24"/>
        </w:rPr>
        <w:t>(i)</w:t>
      </w:r>
      <w:r w:rsidRPr="00CA4FF5">
        <w:rPr>
          <w:spacing w:val="-5"/>
          <w:w w:val="99"/>
          <w:sz w:val="24"/>
          <w:szCs w:val="24"/>
        </w:rPr>
        <w:tab/>
      </w:r>
      <w:r w:rsidRPr="00AE3E5B">
        <w:rPr>
          <w:sz w:val="24"/>
          <w:szCs w:val="24"/>
        </w:rPr>
        <w:t>The mission partner is</w:t>
      </w:r>
      <w:r w:rsidRPr="00AE3E5B">
        <w:rPr>
          <w:spacing w:val="-1"/>
          <w:sz w:val="24"/>
          <w:szCs w:val="24"/>
        </w:rPr>
        <w:t xml:space="preserve"> </w:t>
      </w:r>
      <w:r w:rsidRPr="00AE3E5B">
        <w:rPr>
          <w:sz w:val="24"/>
          <w:szCs w:val="24"/>
        </w:rPr>
        <w:t>Non-DISA; or</w:t>
      </w:r>
    </w:p>
    <w:p w:rsidR="000A126C" w:rsidRPr="00AE3E5B" w:rsidRDefault="000A126C" w:rsidP="000A126C">
      <w:pPr>
        <w:pStyle w:val="List3"/>
      </w:pPr>
      <w:r w:rsidRPr="00CA4FF5">
        <w:rPr>
          <w:spacing w:val="-5"/>
          <w:w w:val="99"/>
          <w:sz w:val="24"/>
          <w:szCs w:val="24"/>
        </w:rPr>
        <w:t>(ii)</w:t>
      </w:r>
      <w:r w:rsidRPr="00CA4FF5">
        <w:rPr>
          <w:spacing w:val="-5"/>
          <w:w w:val="99"/>
          <w:sz w:val="24"/>
          <w:szCs w:val="24"/>
        </w:rPr>
        <w:tab/>
      </w:r>
      <w:r w:rsidRPr="00AE3E5B">
        <w:rPr>
          <w:sz w:val="24"/>
          <w:szCs w:val="24"/>
        </w:rPr>
        <w:t xml:space="preserve">An acquisition strategy covers multiple requirements. </w:t>
      </w:r>
    </w:p>
    <w:p w:rsidR="00901B94" w:rsidRDefault="000A126C" w:rsidP="000A126C">
      <w:pPr>
        <w:pStyle w:val="List2"/>
        <w:rPr>
          <w:lang w:val="en"/>
        </w:rPr>
      </w:pPr>
      <w:r w:rsidRPr="00CA4FF5">
        <w:rPr>
          <w:color w:val="000000"/>
          <w:sz w:val="24"/>
          <w:szCs w:val="24"/>
        </w:rPr>
        <w:t xml:space="preserve">(3)  </w:t>
      </w:r>
      <w:r w:rsidRPr="00CA4FF5">
        <w:rPr>
          <w:sz w:val="24"/>
          <w:szCs w:val="24"/>
          <w:lang w:val="en"/>
        </w:rPr>
        <w:t xml:space="preserve">Contract actions which serve to provide a “bridge” of an incumbent contractor’s performance between an expiring contract/order and a follow-on competitive or non-competitive contract/order, which have a period of performance of 12 months or less, do not require a new written AP.  However, the approved AP shall be </w:t>
      </w:r>
      <w:r>
        <w:rPr>
          <w:sz w:val="24"/>
          <w:szCs w:val="24"/>
          <w:lang w:val="en"/>
        </w:rPr>
        <w:t>revised</w:t>
      </w:r>
      <w:r w:rsidRPr="00CA4FF5">
        <w:rPr>
          <w:sz w:val="24"/>
          <w:szCs w:val="24"/>
          <w:lang w:val="en"/>
        </w:rPr>
        <w:t xml:space="preserve"> as appropriate.</w:t>
      </w:r>
      <w:r>
        <w:rPr>
          <w:sz w:val="24"/>
          <w:szCs w:val="24"/>
          <w:lang w:val="en"/>
        </w:rPr>
        <w:t xml:space="preserve">  </w:t>
      </w:r>
      <w:r w:rsidRPr="00274FC2">
        <w:rPr>
          <w:sz w:val="24"/>
          <w:szCs w:val="24"/>
          <w:lang w:val="en"/>
        </w:rPr>
        <w:t>Revisions</w:t>
      </w:r>
      <w:r w:rsidRPr="00274FC2">
        <w:rPr>
          <w:color w:val="000000"/>
          <w:sz w:val="24"/>
          <w:szCs w:val="24"/>
        </w:rPr>
        <w:t xml:space="preserve"> required as a result of a bridge action shall use the bridge value as the approval threshold (vs. cumulative value of AP). If the bridge value is under $100M, COCO shall be the approval authority.  AP revisions should follow format as described in DARS 7.104(S-93)(1).</w:t>
      </w:r>
    </w:p>
    <w:p w:rsidR="00901B94" w:rsidRDefault="000A126C" w:rsidP="000A126C">
      <w:pPr>
        <w:pStyle w:val="List1"/>
      </w:pPr>
      <w:r w:rsidRPr="006C315B">
        <w:t>(S-9</w:t>
      </w:r>
      <w:r>
        <w:t>2</w:t>
      </w:r>
      <w:r w:rsidRPr="006C315B">
        <w:t xml:space="preserve">) </w:t>
      </w:r>
      <w:r w:rsidRPr="006C315B">
        <w:rPr>
          <w:i/>
        </w:rPr>
        <w:t>Limitation on single award</w:t>
      </w:r>
      <w:r w:rsidRPr="006C315B">
        <w:rPr>
          <w:i/>
          <w:spacing w:val="-4"/>
        </w:rPr>
        <w:t xml:space="preserve"> </w:t>
      </w:r>
      <w:r w:rsidRPr="006C315B">
        <w:rPr>
          <w:i/>
        </w:rPr>
        <w:t>contracts</w:t>
      </w:r>
      <w:r w:rsidRPr="006C315B">
        <w:t>.</w:t>
      </w:r>
    </w:p>
    <w:p w:rsidR="00901B94" w:rsidRDefault="000A126C" w:rsidP="000A126C">
      <w:pPr>
        <w:pStyle w:val="BodyText"/>
        <w:ind w:left="459" w:right="464"/>
      </w:pPr>
      <w:r>
        <w:t>In accordance with DARS 16.504(c)(1)(ii)(D)(</w:t>
      </w:r>
      <w:r w:rsidRPr="0079639F">
        <w:rPr>
          <w:i/>
        </w:rPr>
        <w:t>1</w:t>
      </w:r>
      <w:r>
        <w:t>), the approval authority is the HCA for singleaward indefinite delivery/indefinite quantity (ID/IQ) contracts above $112 million. The Determination and Findings (D&amp;F) (required by FAR 16.504(c)(1)(ii)(D)), and the AP will be routed to the SPE through the PSD Front Office. The HCO shall forward the AP, the adjudication of critical comments email, and the D&amp;F to the PSD Front Office staff for routing.</w:t>
      </w:r>
    </w:p>
    <w:p w:rsidR="00901B94" w:rsidRDefault="000A126C" w:rsidP="000A126C">
      <w:pPr>
        <w:pStyle w:val="Heading3"/>
      </w:pPr>
      <w:bookmarkStart w:id="13" w:name="7.104__General_procedures"/>
      <w:bookmarkStart w:id="14" w:name="_bookmark94"/>
      <w:bookmarkStart w:id="15" w:name="_Toc41468183"/>
      <w:bookmarkEnd w:id="13"/>
      <w:bookmarkEnd w:id="14"/>
      <w:r>
        <w:t>7.104 General procedures</w:t>
      </w:r>
      <w:bookmarkEnd w:id="15"/>
    </w:p>
    <w:p w:rsidR="000A126C" w:rsidRDefault="000A126C" w:rsidP="000A126C">
      <w:pPr>
        <w:pStyle w:val="Heading3"/>
      </w:pPr>
      <w:bookmarkStart w:id="16" w:name="_Toc41468184"/>
      <w:r>
        <w:t>(S-90) PSD prescribes policies and procedures for acquisition planning in accordance with FAR</w:t>
      </w:r>
      <w:bookmarkEnd w:id="16"/>
    </w:p>
    <w:p w:rsidR="00901B94" w:rsidRDefault="000A126C" w:rsidP="000A126C">
      <w:pPr>
        <w:pStyle w:val="Heading3"/>
      </w:pPr>
      <w:bookmarkStart w:id="17" w:name="_Toc41468185"/>
      <w:r>
        <w:t xml:space="preserve">7.103 and DFARS 207.103 that are consistent with the guidelines provided therein. All Acquisition Plan templates, procedures, supporting documentation and Concurrent Coordination email templates are located in </w:t>
      </w:r>
      <w:hyperlink r:id="rId12" w:history="1">
        <w:r w:rsidRPr="002D4CFF">
          <w:rPr>
            <w:rStyle w:val="Hyperlink"/>
          </w:rPr>
          <w:t>DARS PGI</w:t>
        </w:r>
      </w:hyperlink>
      <w:r>
        <w:rPr>
          <w:rStyle w:val="Hyperlink"/>
          <w:color w:val="auto"/>
          <w:u w:val="none"/>
        </w:rPr>
        <w:t xml:space="preserve"> </w:t>
      </w:r>
      <w:r w:rsidRPr="00BA7D7C">
        <w:t>7.104(S-90).</w:t>
      </w:r>
      <w:bookmarkEnd w:id="17"/>
    </w:p>
    <w:p w:rsidR="00901B94" w:rsidRDefault="000A126C" w:rsidP="000A126C">
      <w:pPr>
        <w:pStyle w:val="List1"/>
      </w:pPr>
      <w:r>
        <w:t xml:space="preserve">(S-91) In routing of the combined AS/AP or standard AP, the PMO shall include a draft statement of objectives/performance work statement/statement of work, an Independent Government Cost Estimate (IGCE) or cost estimate and the Market Research Report. The DISA IGCE Handbook can be found at </w:t>
      </w:r>
      <w:hyperlink r:id="rId13">
        <w:r>
          <w:rPr>
            <w:color w:val="0000FF"/>
            <w:u w:val="single" w:color="0000FF"/>
          </w:rPr>
          <w:t>https://www.ditco.disa.mil/hq/deskbooks/DISA%20IGCE%20Deskbook.doc</w:t>
        </w:r>
        <w:r>
          <w:t>.</w:t>
        </w:r>
      </w:hyperlink>
      <w:r>
        <w:t xml:space="preserve"> The Market Research Report template can be found in </w:t>
      </w:r>
      <w:hyperlink r:id="rId14" w:history="1">
        <w:r w:rsidRPr="002D4CFF">
          <w:rPr>
            <w:rStyle w:val="Hyperlink"/>
          </w:rPr>
          <w:t>DARS PGI</w:t>
        </w:r>
      </w:hyperlink>
      <w:r>
        <w:rPr>
          <w:color w:val="0000FF"/>
          <w:u w:val="single" w:color="0000FF"/>
        </w:rPr>
        <w:t xml:space="preserve"> </w:t>
      </w:r>
      <w:r w:rsidRPr="00475CBA">
        <w:t>7.104(S-91) (See PGI 10).</w:t>
      </w:r>
    </w:p>
    <w:p w:rsidR="00901B94" w:rsidRDefault="000A126C" w:rsidP="000A126C">
      <w:pPr>
        <w:pStyle w:val="List1"/>
      </w:pPr>
      <w:r>
        <w:t>(S-92) The contracting officer and the contract specialist shall review the Acquisition Strategy and Service Requirements Approval Document (SRAD) over $10M prior to completing and finalizing any acquisition plans and file the Acquisition Strategy within the official contract file. If the contracting officer or contract specialist identifies any areas where the procurement mustdeviate from the approved acquisition strategy, the contracting officer or contract specialist shall notify the program office immediately so the program manager can take the necessary corrective action(s).</w:t>
      </w:r>
    </w:p>
    <w:p w:rsidR="00901B94" w:rsidRDefault="000A126C" w:rsidP="000A126C">
      <w:pPr>
        <w:pStyle w:val="List1"/>
      </w:pPr>
      <w:r>
        <w:t xml:space="preserve">(S-93) </w:t>
      </w:r>
      <w:r>
        <w:rPr>
          <w:i/>
        </w:rPr>
        <w:t>AP revisions</w:t>
      </w:r>
      <w:r>
        <w:t xml:space="preserve">.  </w:t>
      </w:r>
      <w:r w:rsidRPr="00EF763A">
        <w:rPr>
          <w:szCs w:val="24"/>
        </w:rPr>
        <w:t xml:space="preserve">Follow guidance at </w:t>
      </w:r>
      <w:hyperlink r:id="rId15" w:history="1">
        <w:r w:rsidRPr="00EF763A">
          <w:rPr>
            <w:rStyle w:val="Hyperlink"/>
            <w:szCs w:val="24"/>
          </w:rPr>
          <w:t>DARS PGI</w:t>
        </w:r>
      </w:hyperlink>
      <w:r w:rsidRPr="00EF763A">
        <w:rPr>
          <w:szCs w:val="24"/>
        </w:rPr>
        <w:t xml:space="preserve"> 7.104(S-93) for pre-award AP revisions or post-award AP revisions (</w:t>
      </w:r>
      <w:r w:rsidRPr="00EA311C">
        <w:rPr>
          <w:szCs w:val="24"/>
        </w:rPr>
        <w:t>limited to substantive changes</w:t>
      </w:r>
      <w:r>
        <w:t xml:space="preserve"> </w:t>
      </w:r>
      <w:r w:rsidRPr="00EF763A">
        <w:rPr>
          <w:szCs w:val="24"/>
        </w:rPr>
        <w:t>or bridge actions).</w:t>
      </w:r>
    </w:p>
    <w:p w:rsidR="000A126C" w:rsidRDefault="000A126C" w:rsidP="000A126C">
      <w:pPr>
        <w:pStyle w:val="BodyText"/>
        <w:spacing w:before="10"/>
        <w:rPr>
          <w:sz w:val="25"/>
        </w:rPr>
      </w:pPr>
    </w:p>
    <w:p w:rsidR="00901B94" w:rsidRDefault="000A126C" w:rsidP="000A126C">
      <w:pPr>
        <w:pStyle w:val="List1"/>
      </w:pPr>
      <w:r>
        <w:t xml:space="preserve">(S-94) </w:t>
      </w:r>
      <w:r>
        <w:rPr>
          <w:i/>
        </w:rPr>
        <w:t>AP files</w:t>
      </w:r>
      <w:r>
        <w:t>.</w:t>
      </w:r>
    </w:p>
    <w:p w:rsidR="00901B94" w:rsidRDefault="000A126C" w:rsidP="000A126C">
      <w:pPr>
        <w:pStyle w:val="List2"/>
      </w:pPr>
      <w:r>
        <w:rPr>
          <w:spacing w:val="-5"/>
          <w:w w:val="99"/>
          <w:sz w:val="24"/>
          <w:szCs w:val="24"/>
        </w:rPr>
        <w:t>(1)</w:t>
      </w:r>
      <w:r>
        <w:rPr>
          <w:spacing w:val="-5"/>
          <w:w w:val="99"/>
          <w:sz w:val="24"/>
          <w:szCs w:val="24"/>
        </w:rPr>
        <w:tab/>
      </w:r>
      <w:r w:rsidRPr="00AE3E5B">
        <w:rPr>
          <w:sz w:val="24"/>
        </w:rPr>
        <w:t>The PMO shall maintain a copy with signatures of the combined AS/AP or standard AP and any subsequent</w:t>
      </w:r>
      <w:r w:rsidRPr="00AE3E5B">
        <w:rPr>
          <w:spacing w:val="-5"/>
          <w:sz w:val="24"/>
        </w:rPr>
        <w:t xml:space="preserve"> </w:t>
      </w:r>
      <w:r w:rsidRPr="00AE3E5B">
        <w:rPr>
          <w:sz w:val="24"/>
        </w:rPr>
        <w:t>revisions.</w:t>
      </w:r>
    </w:p>
    <w:p w:rsidR="00901B94" w:rsidRDefault="000A126C" w:rsidP="000A126C">
      <w:pPr>
        <w:pStyle w:val="List2"/>
      </w:pPr>
      <w:r>
        <w:rPr>
          <w:spacing w:val="-5"/>
          <w:w w:val="99"/>
          <w:sz w:val="24"/>
          <w:szCs w:val="24"/>
        </w:rPr>
        <w:lastRenderedPageBreak/>
        <w:t>(2)</w:t>
      </w:r>
      <w:r>
        <w:rPr>
          <w:spacing w:val="-5"/>
          <w:w w:val="99"/>
          <w:sz w:val="24"/>
          <w:szCs w:val="24"/>
        </w:rPr>
        <w:tab/>
      </w:r>
      <w:r w:rsidRPr="00AE3E5B">
        <w:rPr>
          <w:sz w:val="24"/>
        </w:rPr>
        <w:t>The contracting officer shall ensure the original approved combined AS/AP or standard AP and all subsequent revisions become part of the official contract</w:t>
      </w:r>
      <w:r w:rsidRPr="00AE3E5B">
        <w:rPr>
          <w:spacing w:val="-6"/>
          <w:sz w:val="24"/>
        </w:rPr>
        <w:t xml:space="preserve"> </w:t>
      </w:r>
      <w:r w:rsidRPr="00AE3E5B">
        <w:rPr>
          <w:sz w:val="24"/>
        </w:rPr>
        <w:t>file.</w:t>
      </w:r>
    </w:p>
    <w:p w:rsidR="00901B94" w:rsidRDefault="000A126C" w:rsidP="000A126C">
      <w:pPr>
        <w:pStyle w:val="Heading3"/>
      </w:pPr>
      <w:bookmarkStart w:id="18" w:name="7.105__Contents_of_written_acquisition_p"/>
      <w:bookmarkStart w:id="19" w:name="_bookmark95"/>
      <w:bookmarkStart w:id="20" w:name="_Toc41468186"/>
      <w:bookmarkEnd w:id="18"/>
      <w:bookmarkEnd w:id="19"/>
      <w:r>
        <w:t>7.105 Contents of written acquisition plans.</w:t>
      </w:r>
      <w:bookmarkEnd w:id="20"/>
    </w:p>
    <w:p w:rsidR="00901B94" w:rsidRDefault="000A126C" w:rsidP="000A126C">
      <w:pPr>
        <w:pStyle w:val="List1"/>
      </w:pPr>
      <w:r>
        <w:t xml:space="preserve">(b)(6) </w:t>
      </w:r>
      <w:r>
        <w:rPr>
          <w:i/>
        </w:rPr>
        <w:t xml:space="preserve">Acquisition considerations. </w:t>
      </w:r>
      <w:r>
        <w:t>The AP should address the minimum guarantee (dollars to be obligated at contract award for the base period) and the maximum dollar amount to be ordered. (See FAR 16.504(a)(2) and DARS 16.504(S-90)).</w:t>
      </w:r>
    </w:p>
    <w:p w:rsidR="00901B94" w:rsidRDefault="000A126C" w:rsidP="000A126C">
      <w:pPr>
        <w:pStyle w:val="Heading3"/>
      </w:pPr>
      <w:bookmarkStart w:id="21" w:name="7.107__Additional_requirements_for_acqui"/>
      <w:bookmarkStart w:id="22" w:name="_bookmark96"/>
      <w:bookmarkStart w:id="23" w:name="_Toc41468187"/>
      <w:bookmarkEnd w:id="21"/>
      <w:bookmarkEnd w:id="22"/>
      <w:r>
        <w:t>7.107 Additional requirements for acquisitions involving consolidation, bundling, or substantial bundling.</w:t>
      </w:r>
      <w:bookmarkEnd w:id="23"/>
    </w:p>
    <w:p w:rsidR="00901B94" w:rsidRDefault="000A126C" w:rsidP="000A126C">
      <w:pPr>
        <w:pStyle w:val="Heading4"/>
      </w:pPr>
      <w:bookmarkStart w:id="24" w:name="7.107-2__Consolidation."/>
      <w:bookmarkStart w:id="25" w:name="_bookmark97"/>
      <w:bookmarkStart w:id="26" w:name="_Toc41468188"/>
      <w:bookmarkEnd w:id="24"/>
      <w:bookmarkEnd w:id="25"/>
      <w:r>
        <w:t>7.107-2</w:t>
      </w:r>
      <w:r>
        <w:rPr>
          <w:spacing w:val="59"/>
        </w:rPr>
        <w:t xml:space="preserve"> </w:t>
      </w:r>
      <w:r>
        <w:t>Consolidation.</w:t>
      </w:r>
      <w:bookmarkEnd w:id="26"/>
    </w:p>
    <w:p w:rsidR="000A126C" w:rsidRPr="00AE3E5B" w:rsidRDefault="000A126C" w:rsidP="000A126C">
      <w:pPr>
        <w:pStyle w:val="List1"/>
      </w:pPr>
      <w:r w:rsidRPr="00AA400B">
        <w:t>(a)</w:t>
      </w:r>
      <w:r w:rsidRPr="00AA400B">
        <w:tab/>
      </w:r>
      <w:r w:rsidRPr="00AE3E5B">
        <w:t xml:space="preserve">  </w:t>
      </w:r>
      <w:r w:rsidRPr="00AE3E5B">
        <w:rPr>
          <w:szCs w:val="24"/>
        </w:rPr>
        <w:t xml:space="preserve">The HCA is the approval authority for consolidation determination and findings (D&amp;F).  </w:t>
      </w:r>
      <w:r w:rsidRPr="00AE3E5B">
        <w:t xml:space="preserve">The DISA Office of Small Business Programs (OSBP) shall review the D&amp;F prior to being routed to the </w:t>
      </w:r>
      <w:r w:rsidRPr="00AE3E5B">
        <w:rPr>
          <w:color w:val="000000"/>
          <w:szCs w:val="24"/>
        </w:rPr>
        <w:t>HCA for</w:t>
      </w:r>
      <w:r w:rsidRPr="00AE3E5B">
        <w:rPr>
          <w:spacing w:val="-10"/>
        </w:rPr>
        <w:t xml:space="preserve"> </w:t>
      </w:r>
      <w:r w:rsidRPr="00AE3E5B">
        <w:t>signature.</w:t>
      </w:r>
    </w:p>
    <w:p w:rsidR="00901B94" w:rsidRDefault="000A126C" w:rsidP="000A126C">
      <w:pPr>
        <w:rPr>
          <w:sz w:val="24"/>
        </w:rPr>
      </w:pPr>
      <w:r>
        <w:br w:type="page"/>
      </w:r>
    </w:p>
    <w:p w:rsidR="004869A0" w:rsidRDefault="004869A0">
      <w:pPr>
        <w:pStyle w:val="BodyText"/>
        <w:spacing w:before="90"/>
        <w:ind w:left="460"/>
      </w:pPr>
    </w:p>
    <w:sectPr w:rsidR="004869A0">
      <w:footerReference w:type="default" r:id="rId16"/>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A126C" w:rsidRDefault="000A126C">
      <w:r>
        <w:separator/>
      </w:r>
    </w:p>
  </w:endnote>
  <w:endnote w:type="continuationSeparator" w:id="0">
    <w:p w:rsidR="000A126C" w:rsidRDefault="000A1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1BA8" w:rsidRDefault="009D1BA8">
    <w:pPr>
      <w:pStyle w:val="BodyText"/>
      <w:spacing w:line="14" w:lineRule="auto"/>
      <w:rPr>
        <w:sz w:val="20"/>
      </w:rPr>
    </w:pPr>
    <w:r>
      <w:rPr>
        <w:noProof/>
      </w:rPr>
      <mc:AlternateContent>
        <mc:Choice Requires="wps">
          <w:drawing>
            <wp:anchor distT="0" distB="0" distL="114300" distR="114300" simplePos="0" relativeHeight="503156480" behindDoc="1" locked="0" layoutInCell="1" allowOverlap="1" wp14:anchorId="74037C9A" wp14:editId="44D00506">
              <wp:simplePos x="0" y="0"/>
              <wp:positionH relativeFrom="page">
                <wp:posOffset>3759200</wp:posOffset>
              </wp:positionH>
              <wp:positionV relativeFrom="page">
                <wp:posOffset>9269730</wp:posOffset>
              </wp:positionV>
              <wp:extent cx="265430" cy="194310"/>
              <wp:effectExtent l="0"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BA8" w:rsidRDefault="009D1BA8">
                          <w:pPr>
                            <w:pStyle w:val="BodyText"/>
                            <w:spacing w:before="10"/>
                            <w:ind w:left="20"/>
                          </w:pPr>
                          <w:r>
                            <w:t>B-</w:t>
                          </w:r>
                          <w:r>
                            <w:fldChar w:fldCharType="begin"/>
                          </w:r>
                          <w:r>
                            <w:instrText xml:space="preserve"> PAGE </w:instrText>
                          </w:r>
                          <w:r>
                            <w:fldChar w:fldCharType="separate"/>
                          </w:r>
                          <w:r w:rsidR="002D6F16">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37C9A" id="_x0000_t202" coordsize="21600,21600" o:spt="202" path="m,l,21600r21600,l21600,xe">
              <v:stroke joinstyle="miter"/>
              <v:path gradientshapeok="t" o:connecttype="rect"/>
            </v:shapetype>
            <v:shape id="Text Box 2" o:spid="_x0000_s1026" type="#_x0000_t202" style="position:absolute;left:0;text-align:left;margin-left:296pt;margin-top:729.9pt;width:20.9pt;height:15.3pt;z-index:-16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" filled="f" stroked="f">
              <v:textbox inset="0,0,0,0">
                <w:txbxContent>
                  <w:p w:rsidR="009D1BA8" w:rsidRDefault="009D1BA8">
                    <w:pPr>
                      <w:pStyle w:val="BodyText"/>
                      <w:spacing w:before="10"/>
                      <w:ind w:left="20"/>
                    </w:pPr>
                    <w:r>
                      <w:t>B-</w:t>
                    </w:r>
                    <w:r>
                      <w:fldChar w:fldCharType="begin"/>
                    </w:r>
                    <w:r>
                      <w:instrText xml:space="preserve"> PAGE </w:instrText>
                    </w:r>
                    <w:r>
                      <w:fldChar w:fldCharType="separate"/>
                    </w:r>
                    <w:r w:rsidR="002D6F16">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504" behindDoc="1" locked="0" layoutInCell="1" allowOverlap="1" wp14:anchorId="7B5D925D" wp14:editId="4FC4FC29">
              <wp:simplePos x="0" y="0"/>
              <wp:positionH relativeFrom="page">
                <wp:posOffset>901700</wp:posOffset>
              </wp:positionH>
              <wp:positionV relativeFrom="page">
                <wp:posOffset>9444990</wp:posOffset>
              </wp:positionV>
              <wp:extent cx="686435" cy="16573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BA8" w:rsidRDefault="009D1BA8">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D925D" id="Text Box 1" o:spid="_x0000_s1027" type="#_x0000_t202" style="position:absolute;left:0;text-align:left;margin-left:71pt;margin-top:743.7pt;width:54.05pt;height:13.05pt;z-index:-15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" filled="f" stroked="f">
              <v:textbox inset="0,0,0,0">
                <w:txbxContent>
                  <w:p w:rsidR="009D1BA8" w:rsidRDefault="009D1BA8">
                    <w:pPr>
                      <w:spacing w:before="10"/>
                      <w:ind w:left="20"/>
                      <w:rPr>
                        <w:sz w:val="20"/>
                      </w:rPr>
                    </w:pPr>
                    <w:r>
                      <w:rPr>
                        <w:sz w:val="20"/>
                      </w:rPr>
                      <w:t>2018 Edition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A126C" w:rsidRDefault="000A126C">
      <w:r>
        <w:separator/>
      </w:r>
    </w:p>
  </w:footnote>
  <w:footnote w:type="continuationSeparator" w:id="0">
    <w:p w:rsidR="000A126C" w:rsidRDefault="000A12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39"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0"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1"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2"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3"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4"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5"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6"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7"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8"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49"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0"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1"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2"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3"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4"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5"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6"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8"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59"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0"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1"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2"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3"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4"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5"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6"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7"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8"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69"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0"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1"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2"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3"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4"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5"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6"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7"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8"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79"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0"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1"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2"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3"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4"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5"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6"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7"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8"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89"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0"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1"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2"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3"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4"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5"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6"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7"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8"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0"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1"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2"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5"/>
  </w:num>
  <w:num w:numId="3">
    <w:abstractNumId w:val="101"/>
  </w:num>
  <w:num w:numId="4">
    <w:abstractNumId w:val="89"/>
  </w:num>
  <w:num w:numId="5">
    <w:abstractNumId w:val="64"/>
  </w:num>
  <w:num w:numId="6">
    <w:abstractNumId w:val="83"/>
  </w:num>
  <w:num w:numId="7">
    <w:abstractNumId w:val="55"/>
  </w:num>
  <w:num w:numId="8">
    <w:abstractNumId w:val="78"/>
  </w:num>
  <w:num w:numId="9">
    <w:abstractNumId w:val="74"/>
  </w:num>
  <w:num w:numId="10">
    <w:abstractNumId w:val="62"/>
  </w:num>
  <w:num w:numId="11">
    <w:abstractNumId w:val="5"/>
  </w:num>
  <w:num w:numId="12">
    <w:abstractNumId w:val="53"/>
  </w:num>
  <w:num w:numId="13">
    <w:abstractNumId w:val="39"/>
  </w:num>
  <w:num w:numId="14">
    <w:abstractNumId w:val="18"/>
  </w:num>
  <w:num w:numId="15">
    <w:abstractNumId w:val="14"/>
  </w:num>
  <w:num w:numId="16">
    <w:abstractNumId w:val="58"/>
  </w:num>
  <w:num w:numId="17">
    <w:abstractNumId w:val="34"/>
  </w:num>
  <w:num w:numId="18">
    <w:abstractNumId w:val="16"/>
  </w:num>
  <w:num w:numId="19">
    <w:abstractNumId w:val="87"/>
  </w:num>
  <w:num w:numId="20">
    <w:abstractNumId w:val="63"/>
  </w:num>
  <w:num w:numId="21">
    <w:abstractNumId w:val="93"/>
  </w:num>
  <w:num w:numId="22">
    <w:abstractNumId w:val="12"/>
  </w:num>
  <w:num w:numId="23">
    <w:abstractNumId w:val="86"/>
  </w:num>
  <w:num w:numId="24">
    <w:abstractNumId w:val="1"/>
  </w:num>
  <w:num w:numId="25">
    <w:abstractNumId w:val="8"/>
  </w:num>
  <w:num w:numId="26">
    <w:abstractNumId w:val="94"/>
  </w:num>
  <w:num w:numId="27">
    <w:abstractNumId w:val="90"/>
  </w:num>
  <w:num w:numId="28">
    <w:abstractNumId w:val="42"/>
  </w:num>
  <w:num w:numId="29">
    <w:abstractNumId w:val="71"/>
  </w:num>
  <w:num w:numId="30">
    <w:abstractNumId w:val="35"/>
  </w:num>
  <w:num w:numId="31">
    <w:abstractNumId w:val="60"/>
  </w:num>
  <w:num w:numId="32">
    <w:abstractNumId w:val="95"/>
  </w:num>
  <w:num w:numId="33">
    <w:abstractNumId w:val="28"/>
  </w:num>
  <w:num w:numId="34">
    <w:abstractNumId w:val="6"/>
  </w:num>
  <w:num w:numId="35">
    <w:abstractNumId w:val="70"/>
  </w:num>
  <w:num w:numId="36">
    <w:abstractNumId w:val="57"/>
  </w:num>
  <w:num w:numId="37">
    <w:abstractNumId w:val="27"/>
  </w:num>
  <w:num w:numId="38">
    <w:abstractNumId w:val="11"/>
  </w:num>
  <w:num w:numId="39">
    <w:abstractNumId w:val="33"/>
  </w:num>
  <w:num w:numId="40">
    <w:abstractNumId w:val="40"/>
  </w:num>
  <w:num w:numId="41">
    <w:abstractNumId w:val="61"/>
  </w:num>
  <w:num w:numId="42">
    <w:abstractNumId w:val="66"/>
  </w:num>
  <w:num w:numId="43">
    <w:abstractNumId w:val="15"/>
  </w:num>
  <w:num w:numId="44">
    <w:abstractNumId w:val="38"/>
  </w:num>
  <w:num w:numId="45">
    <w:abstractNumId w:val="2"/>
  </w:num>
  <w:num w:numId="46">
    <w:abstractNumId w:val="44"/>
  </w:num>
  <w:num w:numId="47">
    <w:abstractNumId w:val="19"/>
  </w:num>
  <w:num w:numId="48">
    <w:abstractNumId w:val="48"/>
  </w:num>
  <w:num w:numId="49">
    <w:abstractNumId w:val="72"/>
  </w:num>
  <w:num w:numId="50">
    <w:abstractNumId w:val="17"/>
  </w:num>
  <w:num w:numId="51">
    <w:abstractNumId w:val="91"/>
  </w:num>
  <w:num w:numId="52">
    <w:abstractNumId w:val="52"/>
  </w:num>
  <w:num w:numId="53">
    <w:abstractNumId w:val="37"/>
  </w:num>
  <w:num w:numId="54">
    <w:abstractNumId w:val="4"/>
  </w:num>
  <w:num w:numId="55">
    <w:abstractNumId w:val="76"/>
  </w:num>
  <w:num w:numId="56">
    <w:abstractNumId w:val="80"/>
  </w:num>
  <w:num w:numId="57">
    <w:abstractNumId w:val="73"/>
  </w:num>
  <w:num w:numId="58">
    <w:abstractNumId w:val="32"/>
  </w:num>
  <w:num w:numId="59">
    <w:abstractNumId w:val="24"/>
  </w:num>
  <w:num w:numId="60">
    <w:abstractNumId w:val="0"/>
  </w:num>
  <w:num w:numId="61">
    <w:abstractNumId w:val="49"/>
  </w:num>
  <w:num w:numId="62">
    <w:abstractNumId w:val="22"/>
  </w:num>
  <w:num w:numId="63">
    <w:abstractNumId w:val="69"/>
  </w:num>
  <w:num w:numId="64">
    <w:abstractNumId w:val="65"/>
  </w:num>
  <w:num w:numId="65">
    <w:abstractNumId w:val="3"/>
  </w:num>
  <w:num w:numId="66">
    <w:abstractNumId w:val="54"/>
  </w:num>
  <w:num w:numId="67">
    <w:abstractNumId w:val="67"/>
  </w:num>
  <w:num w:numId="68">
    <w:abstractNumId w:val="96"/>
  </w:num>
  <w:num w:numId="69">
    <w:abstractNumId w:val="31"/>
  </w:num>
  <w:num w:numId="70">
    <w:abstractNumId w:val="81"/>
  </w:num>
  <w:num w:numId="71">
    <w:abstractNumId w:val="85"/>
  </w:num>
  <w:num w:numId="72">
    <w:abstractNumId w:val="82"/>
  </w:num>
  <w:num w:numId="73">
    <w:abstractNumId w:val="7"/>
  </w:num>
  <w:num w:numId="74">
    <w:abstractNumId w:val="68"/>
  </w:num>
  <w:num w:numId="75">
    <w:abstractNumId w:val="10"/>
  </w:num>
  <w:num w:numId="76">
    <w:abstractNumId w:val="84"/>
  </w:num>
  <w:num w:numId="77">
    <w:abstractNumId w:val="30"/>
  </w:num>
  <w:num w:numId="78">
    <w:abstractNumId w:val="25"/>
  </w:num>
  <w:num w:numId="79">
    <w:abstractNumId w:val="99"/>
  </w:num>
  <w:num w:numId="80">
    <w:abstractNumId w:val="41"/>
  </w:num>
  <w:num w:numId="81">
    <w:abstractNumId w:val="59"/>
  </w:num>
  <w:num w:numId="82">
    <w:abstractNumId w:val="9"/>
  </w:num>
  <w:num w:numId="83">
    <w:abstractNumId w:val="77"/>
  </w:num>
  <w:num w:numId="84">
    <w:abstractNumId w:val="102"/>
  </w:num>
  <w:num w:numId="85">
    <w:abstractNumId w:val="88"/>
  </w:num>
  <w:num w:numId="86">
    <w:abstractNumId w:val="21"/>
  </w:num>
  <w:num w:numId="87">
    <w:abstractNumId w:val="45"/>
  </w:num>
  <w:num w:numId="88">
    <w:abstractNumId w:val="43"/>
  </w:num>
  <w:num w:numId="89">
    <w:abstractNumId w:val="97"/>
  </w:num>
  <w:num w:numId="90">
    <w:abstractNumId w:val="100"/>
  </w:num>
  <w:num w:numId="91">
    <w:abstractNumId w:val="51"/>
  </w:num>
  <w:num w:numId="92">
    <w:abstractNumId w:val="46"/>
  </w:num>
  <w:num w:numId="93">
    <w:abstractNumId w:val="20"/>
  </w:num>
  <w:num w:numId="94">
    <w:abstractNumId w:val="79"/>
  </w:num>
  <w:num w:numId="95">
    <w:abstractNumId w:val="47"/>
  </w:num>
  <w:num w:numId="96">
    <w:abstractNumId w:val="98"/>
  </w:num>
  <w:num w:numId="97">
    <w:abstractNumId w:val="13"/>
  </w:num>
  <w:num w:numId="98">
    <w:abstractNumId w:val="36"/>
  </w:num>
  <w:num w:numId="99">
    <w:abstractNumId w:val="29"/>
  </w:num>
  <w:num w:numId="100">
    <w:abstractNumId w:val="92"/>
  </w:num>
  <w:num w:numId="101">
    <w:abstractNumId w:val="56"/>
  </w:num>
  <w:num w:numId="102">
    <w:abstractNumId w:val="50"/>
  </w:num>
  <w:num w:numId="103">
    <w:abstractNumId w:val="2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4726"/>
    <w:rsid w:val="00097C29"/>
    <w:rsid w:val="000A0C1B"/>
    <w:rsid w:val="000A0F11"/>
    <w:rsid w:val="000A126C"/>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0C"/>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C768F"/>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77F8"/>
    <w:rsid w:val="00617CCD"/>
    <w:rsid w:val="00620774"/>
    <w:rsid w:val="00621E9D"/>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1C5F"/>
    <w:rsid w:val="00826A1A"/>
    <w:rsid w:val="008300D9"/>
    <w:rsid w:val="00831590"/>
    <w:rsid w:val="00833971"/>
    <w:rsid w:val="008358A6"/>
    <w:rsid w:val="00836EB9"/>
    <w:rsid w:val="0084447A"/>
    <w:rsid w:val="00844B35"/>
    <w:rsid w:val="00846B2A"/>
    <w:rsid w:val="00852EA9"/>
    <w:rsid w:val="0085338A"/>
    <w:rsid w:val="00857536"/>
    <w:rsid w:val="008607A9"/>
    <w:rsid w:val="00862AA5"/>
    <w:rsid w:val="0086329A"/>
    <w:rsid w:val="0086378F"/>
    <w:rsid w:val="00864066"/>
    <w:rsid w:val="00870DD7"/>
    <w:rsid w:val="00872FE4"/>
    <w:rsid w:val="0087332A"/>
    <w:rsid w:val="00873F78"/>
    <w:rsid w:val="008805F0"/>
    <w:rsid w:val="00883FAD"/>
    <w:rsid w:val="008859AB"/>
    <w:rsid w:val="00887C8B"/>
    <w:rsid w:val="00891B76"/>
    <w:rsid w:val="00891D3D"/>
    <w:rsid w:val="00897FAB"/>
    <w:rsid w:val="008A5FA5"/>
    <w:rsid w:val="008A7326"/>
    <w:rsid w:val="008B053B"/>
    <w:rsid w:val="008B06D9"/>
    <w:rsid w:val="008B107D"/>
    <w:rsid w:val="008B2425"/>
    <w:rsid w:val="008B6383"/>
    <w:rsid w:val="008B775B"/>
    <w:rsid w:val="008C038A"/>
    <w:rsid w:val="008C0C22"/>
    <w:rsid w:val="008D1893"/>
    <w:rsid w:val="008E256B"/>
    <w:rsid w:val="008E6C3A"/>
    <w:rsid w:val="008F763B"/>
    <w:rsid w:val="00901B94"/>
    <w:rsid w:val="0090257B"/>
    <w:rsid w:val="00912CA8"/>
    <w:rsid w:val="00913841"/>
    <w:rsid w:val="00913974"/>
    <w:rsid w:val="00914722"/>
    <w:rsid w:val="0091688D"/>
    <w:rsid w:val="00920CC4"/>
    <w:rsid w:val="009221F5"/>
    <w:rsid w:val="009327AF"/>
    <w:rsid w:val="00932C65"/>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6943"/>
    <w:rsid w:val="00A47626"/>
    <w:rsid w:val="00A520C7"/>
    <w:rsid w:val="00A54921"/>
    <w:rsid w:val="00A55849"/>
    <w:rsid w:val="00A62F80"/>
    <w:rsid w:val="00A64FF3"/>
    <w:rsid w:val="00A65717"/>
    <w:rsid w:val="00A66FE2"/>
    <w:rsid w:val="00A6762E"/>
    <w:rsid w:val="00A7529C"/>
    <w:rsid w:val="00A75B42"/>
    <w:rsid w:val="00A77AEE"/>
    <w:rsid w:val="00A809E1"/>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3E5B"/>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2420"/>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E37E9"/>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719F"/>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28B6"/>
    <w:rsid w:val="00F554F5"/>
    <w:rsid w:val="00F55AD0"/>
    <w:rsid w:val="00F56E5F"/>
    <w:rsid w:val="00F6421F"/>
    <w:rsid w:val="00F66846"/>
    <w:rsid w:val="00F710BE"/>
    <w:rsid w:val="00F7481C"/>
    <w:rsid w:val="00F83977"/>
    <w:rsid w:val="00F865A2"/>
    <w:rsid w:val="00F9462F"/>
    <w:rsid w:val="00F97070"/>
    <w:rsid w:val="00FA0225"/>
    <w:rsid w:val="00FA203C"/>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AE3E5B"/>
    <w:pPr>
      <w:spacing w:before="240" w:after="360"/>
      <w:ind w:left="0"/>
      <w:jc w:val="center"/>
      <w:outlineLvl w:val="0"/>
    </w:pPr>
    <w:rPr>
      <w:b/>
      <w:bCs/>
      <w:color w:val="365F91"/>
      <w:sz w:val="28"/>
      <w:szCs w:val="28"/>
    </w:rPr>
  </w:style>
  <w:style w:type="paragraph" w:styleId="Heading2">
    <w:name w:val="heading 2"/>
    <w:basedOn w:val="Normal"/>
    <w:uiPriority w:val="1"/>
    <w:qFormat/>
    <w:rsid w:val="00AE3E5B"/>
    <w:pPr>
      <w:spacing w:before="240" w:after="360"/>
      <w:jc w:val="center"/>
      <w:outlineLvl w:val="1"/>
    </w:pPr>
    <w:rPr>
      <w:b/>
      <w:color w:val="4F81BD"/>
      <w:sz w:val="24"/>
      <w:szCs w:val="28"/>
    </w:rPr>
  </w:style>
  <w:style w:type="paragraph" w:styleId="Heading3">
    <w:name w:val="heading 3"/>
    <w:basedOn w:val="Normal"/>
    <w:uiPriority w:val="1"/>
    <w:qFormat/>
    <w:rsid w:val="00AE3E5B"/>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AE3E5B"/>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E3E5B"/>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AE3E5B"/>
  </w:style>
  <w:style w:type="paragraph" w:styleId="List2">
    <w:name w:val="List 2"/>
    <w:basedOn w:val="Normal"/>
    <w:uiPriority w:val="99"/>
    <w:unhideWhenUsed/>
    <w:rsid w:val="00AE3E5B"/>
    <w:pPr>
      <w:ind w:left="821"/>
    </w:pPr>
  </w:style>
  <w:style w:type="paragraph" w:styleId="List3">
    <w:name w:val="List 3"/>
    <w:basedOn w:val="Normal"/>
    <w:uiPriority w:val="99"/>
    <w:unhideWhenUsed/>
    <w:rsid w:val="00AE3E5B"/>
    <w:pPr>
      <w:ind w:left="1282"/>
    </w:pPr>
  </w:style>
  <w:style w:type="paragraph" w:styleId="List4">
    <w:name w:val="List 4"/>
    <w:basedOn w:val="Normal"/>
    <w:uiPriority w:val="99"/>
    <w:unhideWhenUsed/>
    <w:rsid w:val="00AE3E5B"/>
    <w:pPr>
      <w:ind w:left="1742"/>
    </w:pPr>
  </w:style>
  <w:style w:type="paragraph" w:customStyle="1" w:styleId="List1">
    <w:name w:val="List 1"/>
    <w:basedOn w:val="List"/>
    <w:link w:val="List1Char"/>
    <w:rsid w:val="00AE3E5B"/>
    <w:rPr>
      <w:sz w:val="24"/>
    </w:rPr>
  </w:style>
  <w:style w:type="character" w:customStyle="1" w:styleId="ListChar">
    <w:name w:val="List Char"/>
    <w:basedOn w:val="DefaultParagraphFont"/>
    <w:link w:val="List"/>
    <w:uiPriority w:val="99"/>
    <w:rsid w:val="00AE3E5B"/>
    <w:rPr>
      <w:rFonts w:ascii="Times New Roman" w:eastAsia="Times New Roman" w:hAnsi="Times New Roman" w:cs="Times New Roman"/>
    </w:rPr>
  </w:style>
  <w:style w:type="character" w:customStyle="1" w:styleId="List1Char">
    <w:name w:val="List 1 Char"/>
    <w:basedOn w:val="ListChar"/>
    <w:link w:val="List1"/>
    <w:rsid w:val="00AE3E5B"/>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itco.disa.mil/hq/deskbooks/DISA%20IGCE%20Deskbook.doc"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isa.deps.mil/org/PL2/Pages/DITCORefs.asp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disa.deps.mil/org/PL2/Pages/DITCORefs.aspx"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isa.deps.mil/org/PL2/Pages/DITCORef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2.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4.xml><?xml version="1.0" encoding="utf-8"?>
<ds:datastoreItem xmlns:ds="http://schemas.openxmlformats.org/officeDocument/2006/customXml" ds:itemID="{B5F9E275-A072-4108-9AFE-DE68E0722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1357</Words>
  <Characters>7740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Gregory Pangborn</cp:lastModifiedBy>
  <cp:revision>2</cp:revision>
  <cp:lastPrinted>2019-04-09T15:31:00Z</cp:lastPrinted>
  <dcterms:created xsi:type="dcterms:W3CDTF">2020-05-27T14:31:00Z</dcterms:created>
  <dcterms:modified xsi:type="dcterms:W3CDTF">2020-05-27T14:32:00Z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