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C17FA" w14:textId="77777777" w:rsidR="007A7B86" w:rsidRDefault="007A7B86" w:rsidP="001A4626">
      <w:pPr>
        <w:pStyle w:val="Heading1"/>
      </w:pPr>
      <w:r>
        <w:t>PART 42 -- CONTRACT ADMINISTRATION AND AUDIT SERVICES</w:t>
      </w:r>
    </w:p>
    <w:p w14:paraId="0870BEEB" w14:textId="77777777" w:rsidR="007A7B86" w:rsidRDefault="007A7B86" w:rsidP="001A4626">
      <w:pPr>
        <w:pStyle w:val="Heading1"/>
      </w:pPr>
      <w:r>
        <w:t>TABLE OF CONTENTS</w:t>
      </w:r>
    </w:p>
    <w:p w14:paraId="685902D4" w14:textId="77777777" w:rsidR="007A7B86" w:rsidRDefault="007A7B86">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8130" w:history="1">
        <w:r w:rsidRPr="00D60DC4">
          <w:rPr>
            <w:rStyle w:val="Hyperlink"/>
            <w:noProof/>
          </w:rPr>
          <w:t>SUBPART 42.15 — CONTRACTOR PERFORMANCE INFORMATION</w:t>
        </w:r>
      </w:hyperlink>
    </w:p>
    <w:p w14:paraId="39CE6777" w14:textId="77777777" w:rsidR="007A7B86" w:rsidRDefault="00413DF2">
      <w:pPr>
        <w:pStyle w:val="TOC3"/>
        <w:tabs>
          <w:tab w:val="right" w:leader="dot" w:pos="10250"/>
        </w:tabs>
        <w:rPr>
          <w:rFonts w:asciiTheme="minorHAnsi" w:eastAsiaTheme="minorEastAsia" w:hAnsiTheme="minorHAnsi" w:cstheme="minorBidi"/>
          <w:noProof/>
          <w:sz w:val="22"/>
          <w:szCs w:val="22"/>
        </w:rPr>
      </w:pPr>
      <w:hyperlink w:anchor="_Toc41468131" w:history="1">
        <w:r w:rsidR="007A7B86" w:rsidRPr="00D60DC4">
          <w:rPr>
            <w:rStyle w:val="Hyperlink"/>
            <w:noProof/>
          </w:rPr>
          <w:t>42.1502</w:t>
        </w:r>
        <w:r w:rsidR="007A7B86" w:rsidRPr="00D60DC4">
          <w:rPr>
            <w:rStyle w:val="Hyperlink"/>
            <w:noProof/>
            <w:spacing w:val="59"/>
          </w:rPr>
          <w:t xml:space="preserve"> </w:t>
        </w:r>
        <w:r w:rsidR="007A7B86" w:rsidRPr="00D60DC4">
          <w:rPr>
            <w:rStyle w:val="Hyperlink"/>
            <w:noProof/>
          </w:rPr>
          <w:t>Policy.</w:t>
        </w:r>
      </w:hyperlink>
    </w:p>
    <w:p w14:paraId="3E642203" w14:textId="77777777" w:rsidR="007A7B86" w:rsidRDefault="00413DF2">
      <w:pPr>
        <w:pStyle w:val="TOC3"/>
        <w:tabs>
          <w:tab w:val="right" w:leader="dot" w:pos="10250"/>
        </w:tabs>
        <w:rPr>
          <w:rFonts w:asciiTheme="minorHAnsi" w:eastAsiaTheme="minorEastAsia" w:hAnsiTheme="minorHAnsi" w:cstheme="minorBidi"/>
          <w:noProof/>
          <w:sz w:val="22"/>
          <w:szCs w:val="22"/>
        </w:rPr>
      </w:pPr>
      <w:hyperlink w:anchor="_Toc41468132" w:history="1">
        <w:r w:rsidR="007A7B86" w:rsidRPr="00D60DC4">
          <w:rPr>
            <w:rStyle w:val="Hyperlink"/>
            <w:noProof/>
          </w:rPr>
          <w:t>42.1503</w:t>
        </w:r>
        <w:r w:rsidR="007A7B86" w:rsidRPr="00D60DC4">
          <w:rPr>
            <w:rStyle w:val="Hyperlink"/>
            <w:noProof/>
            <w:spacing w:val="-7"/>
          </w:rPr>
          <w:t xml:space="preserve"> </w:t>
        </w:r>
        <w:r w:rsidR="007A7B86" w:rsidRPr="00D60DC4">
          <w:rPr>
            <w:rStyle w:val="Hyperlink"/>
            <w:noProof/>
          </w:rPr>
          <w:t>Procedures.</w:t>
        </w:r>
      </w:hyperlink>
    </w:p>
    <w:p w14:paraId="2279A881" w14:textId="77777777" w:rsidR="001A4626" w:rsidRDefault="007A7B86" w:rsidP="001A4626">
      <w:pPr>
        <w:pStyle w:val="Heading2"/>
      </w:pPr>
      <w:r>
        <w:rPr>
          <w:bCs/>
          <w:color w:val="365F91"/>
          <w:sz w:val="28"/>
        </w:rPr>
        <w:fldChar w:fldCharType="end"/>
      </w:r>
    </w:p>
    <w:p w14:paraId="3042276B" w14:textId="77777777" w:rsidR="007A7B86" w:rsidRDefault="001A4626" w:rsidP="001A4626">
      <w:pPr>
        <w:pStyle w:val="Heading2"/>
      </w:pPr>
      <w:bookmarkStart w:id="0" w:name="SUBPART_42.15_—_CONTRACTOR_PERFORMANCE_I"/>
      <w:bookmarkStart w:id="1" w:name="_bookmark267"/>
      <w:bookmarkStart w:id="2" w:name="_Toc41468130"/>
      <w:bookmarkEnd w:id="0"/>
      <w:bookmarkEnd w:id="1"/>
      <w:r>
        <w:t>SUBPART 42.15 — CONTRACTOR PERFORMANCE INFORMATION</w:t>
      </w:r>
      <w:bookmarkEnd w:id="2"/>
    </w:p>
    <w:p w14:paraId="74EF0371" w14:textId="77777777" w:rsidR="007A7B86" w:rsidRDefault="001A4626" w:rsidP="001A4626">
      <w:pPr>
        <w:pStyle w:val="Heading3"/>
      </w:pPr>
      <w:bookmarkStart w:id="3" w:name="42.1502__Policy."/>
      <w:bookmarkStart w:id="4" w:name="_bookmark268"/>
      <w:bookmarkStart w:id="5" w:name="_Toc41468131"/>
      <w:bookmarkEnd w:id="3"/>
      <w:bookmarkEnd w:id="4"/>
      <w:r>
        <w:t>42.1502</w:t>
      </w:r>
      <w:r>
        <w:rPr>
          <w:spacing w:val="59"/>
        </w:rPr>
        <w:t xml:space="preserve"> </w:t>
      </w:r>
      <w:r>
        <w:t>Policy.</w:t>
      </w:r>
      <w:bookmarkEnd w:id="5"/>
    </w:p>
    <w:p w14:paraId="10640283" w14:textId="77777777" w:rsidR="007A7B86" w:rsidRDefault="001A4626" w:rsidP="001A4626">
      <w:pPr>
        <w:pStyle w:val="List1"/>
      </w:pPr>
      <w:r>
        <w:t>(a) CPARS Guidance and User Manual are available at</w:t>
      </w:r>
      <w:r>
        <w:rPr>
          <w:color w:val="0000FF"/>
        </w:rPr>
        <w:t xml:space="preserve"> </w:t>
      </w:r>
      <w:hyperlink r:id="rId11">
        <w:r>
          <w:rPr>
            <w:color w:val="0000FF"/>
            <w:u w:val="single" w:color="0000FF"/>
          </w:rPr>
          <w:t>https://www.cpars.gov/refmatl.htm</w:t>
        </w:r>
        <w:r>
          <w:t>.</w:t>
        </w:r>
      </w:hyperlink>
      <w:r>
        <w:t xml:space="preserve"> DISA CPARS Procedures is available at</w:t>
      </w:r>
      <w:hyperlink r:id="rId12">
        <w:r>
          <w:rPr>
            <w:color w:val="0000FF"/>
          </w:rPr>
          <w:t xml:space="preserve"> </w:t>
        </w:r>
        <w:r>
          <w:rPr>
            <w:color w:val="0000FF"/>
            <w:u w:val="single" w:color="0000FF"/>
          </w:rPr>
          <w:t>https://www.ditco.disa.mil/hq/deskbooks.asp</w:t>
        </w:r>
      </w:hyperlink>
      <w:r>
        <w:t>.</w:t>
      </w:r>
    </w:p>
    <w:p w14:paraId="67C103D3" w14:textId="77777777" w:rsidR="007A7B86" w:rsidRDefault="001A4626" w:rsidP="001A4626">
      <w:pPr>
        <w:pStyle w:val="Heading3"/>
      </w:pPr>
      <w:bookmarkStart w:id="6" w:name="42.1503_Procedures."/>
      <w:bookmarkStart w:id="7" w:name="_bookmark269"/>
      <w:bookmarkStart w:id="8" w:name="_Toc41468132"/>
      <w:bookmarkEnd w:id="6"/>
      <w:bookmarkEnd w:id="7"/>
      <w:r>
        <w:t>42.1503</w:t>
      </w:r>
      <w:r>
        <w:rPr>
          <w:spacing w:val="-7"/>
        </w:rPr>
        <w:t xml:space="preserve"> </w:t>
      </w:r>
      <w:r>
        <w:t>Procedures.</w:t>
      </w:r>
      <w:bookmarkEnd w:id="8"/>
    </w:p>
    <w:p w14:paraId="72BCA43E" w14:textId="77777777" w:rsidR="007A7B86" w:rsidRDefault="001A4626" w:rsidP="001A4626">
      <w:pPr>
        <w:pStyle w:val="List1"/>
      </w:pPr>
      <w:r>
        <w:t>(a)(1)(</w:t>
      </w:r>
      <w:proofErr w:type="spellStart"/>
      <w:r>
        <w:t>i</w:t>
      </w:r>
      <w:proofErr w:type="spellEnd"/>
      <w:r>
        <w:t>) Past performance assessments are a combined responsibility of the Assessing</w:t>
      </w:r>
      <w:r>
        <w:rPr>
          <w:spacing w:val="-24"/>
        </w:rPr>
        <w:t xml:space="preserve"> </w:t>
      </w:r>
      <w:r>
        <w:t>Official (AO) Assessing Official Representative (AOR), Reviewing Official (RO), and Contractor Representative (CR).</w:t>
      </w:r>
    </w:p>
    <w:p w14:paraId="49F5E29F" w14:textId="77777777" w:rsidR="001A4626" w:rsidRDefault="001A4626" w:rsidP="001A4626">
      <w:pPr>
        <w:pStyle w:val="List1"/>
      </w:pPr>
      <w:r>
        <w:t>(a)(1)(ii) The contracting officer shall be assigned as the AO. The RO is at least a level above the AO. The contracting officer and Focal Point (PSD Contract Specialist) appoint AORs (Contracting Officer’s Representative (COR) or Program Office Representatives) to assist the AO with writing the evaluation. If the AOR is the COR, then the AOR designation shall be included in the COR appointment letter.</w:t>
      </w:r>
    </w:p>
    <w:p w14:paraId="7903D097" w14:textId="77777777" w:rsidR="001A4626" w:rsidRDefault="001A4626" w:rsidP="001A4626">
      <w:r>
        <w:br w:type="page"/>
      </w:r>
    </w:p>
    <w:sectPr w:rsidR="001A4626">
      <w:footerReference w:type="default" r:id="rId13"/>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260A7" w14:textId="77777777" w:rsidR="00413DF2" w:rsidRDefault="00413DF2">
      <w:r>
        <w:separator/>
      </w:r>
    </w:p>
  </w:endnote>
  <w:endnote w:type="continuationSeparator" w:id="0">
    <w:p w14:paraId="7D333962" w14:textId="77777777" w:rsidR="00413DF2" w:rsidRDefault="00413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04524" w14:textId="6C1385BD" w:rsidR="009D1BA8" w:rsidRDefault="009D1BA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A18AC" w14:textId="77777777" w:rsidR="00413DF2" w:rsidRDefault="00413DF2">
      <w:r>
        <w:separator/>
      </w:r>
    </w:p>
  </w:footnote>
  <w:footnote w:type="continuationSeparator" w:id="0">
    <w:p w14:paraId="400401D8" w14:textId="77777777" w:rsidR="00413DF2" w:rsidRDefault="00413D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626"/>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13DF2"/>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55732"/>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A7B86"/>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6BC0E"/>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tco.disa.mil/hq/deskbooks.as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pars.gov/refmatl.ht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Props1.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3.xml><?xml version="1.0" encoding="utf-8"?>
<ds:datastoreItem xmlns:ds="http://schemas.openxmlformats.org/officeDocument/2006/customXml" ds:itemID="{05C8E365-24FB-4AF4-844B-5ADBDB0162FE}">
  <ds:schemaRefs>
    <ds:schemaRef ds:uri="http://schemas.openxmlformats.org/officeDocument/2006/bibliography"/>
  </ds:schemaRefs>
</ds:datastoreItem>
</file>

<file path=customXml/itemProps4.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Steve Gebremariam</cp:lastModifiedBy>
  <cp:revision>3</cp:revision>
  <cp:lastPrinted>2019-04-09T15:31:00Z</cp:lastPrinted>
  <dcterms:created xsi:type="dcterms:W3CDTF">2020-05-27T14:31:00Z</dcterms:created>
  <dcterms:modified xsi:type="dcterms:W3CDTF">2020-05-28T15:48:00Z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