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87A69" w14:textId="77777777" w:rsidR="00C45FD0" w:rsidRDefault="00C45FD0" w:rsidP="0004288F">
      <w:pPr>
        <w:pStyle w:val="Heading1"/>
      </w:pPr>
      <w:r>
        <w:t>PART 50 -- EXTRAORDINARY CONTRACTUAL ACTIONS AND THE SAFETY ACT</w:t>
      </w:r>
    </w:p>
    <w:p w14:paraId="01FCE0A5" w14:textId="77777777" w:rsidR="00C45FD0" w:rsidRDefault="00C45FD0" w:rsidP="0004288F">
      <w:pPr>
        <w:pStyle w:val="Heading1"/>
      </w:pPr>
      <w:r>
        <w:t>TABLE OF CONTENTS</w:t>
      </w:r>
    </w:p>
    <w:p w14:paraId="5D42CCE4" w14:textId="77777777" w:rsidR="00C45FD0" w:rsidRDefault="00C45FD0">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1468167" w:history="1">
        <w:r w:rsidRPr="000232BC">
          <w:rPr>
            <w:rStyle w:val="Hyperlink"/>
            <w:noProof/>
          </w:rPr>
          <w:t>SUBPART 50.1 EXTRAORDINARY CONTRACTUAL ACTIONS</w:t>
        </w:r>
      </w:hyperlink>
    </w:p>
    <w:p w14:paraId="66BB3473" w14:textId="77777777" w:rsidR="00C45FD0" w:rsidRDefault="001A4F5D">
      <w:pPr>
        <w:pStyle w:val="TOC3"/>
        <w:tabs>
          <w:tab w:val="right" w:leader="dot" w:pos="10250"/>
        </w:tabs>
        <w:rPr>
          <w:rFonts w:asciiTheme="minorHAnsi" w:eastAsiaTheme="minorEastAsia" w:hAnsiTheme="minorHAnsi" w:cstheme="minorBidi"/>
          <w:noProof/>
          <w:sz w:val="22"/>
          <w:szCs w:val="22"/>
        </w:rPr>
      </w:pPr>
      <w:hyperlink w:anchor="_Toc41468168" w:history="1">
        <w:r w:rsidR="00C45FD0" w:rsidRPr="000232BC">
          <w:rPr>
            <w:rStyle w:val="Hyperlink"/>
            <w:noProof/>
          </w:rPr>
          <w:t>50.102 Delegation of and limitations on exercise of authority.</w:t>
        </w:r>
      </w:hyperlink>
    </w:p>
    <w:p w14:paraId="36D806A8" w14:textId="77777777" w:rsidR="00C45FD0" w:rsidRDefault="001A4F5D">
      <w:pPr>
        <w:pStyle w:val="TOC4"/>
        <w:tabs>
          <w:tab w:val="right" w:leader="dot" w:pos="10250"/>
        </w:tabs>
        <w:rPr>
          <w:rFonts w:asciiTheme="minorHAnsi" w:hAnsiTheme="minorHAnsi" w:cstheme="minorBidi"/>
          <w:noProof/>
          <w:sz w:val="22"/>
          <w:szCs w:val="22"/>
        </w:rPr>
      </w:pPr>
      <w:hyperlink w:anchor="_Toc41468169" w:history="1">
        <w:r w:rsidR="00C45FD0" w:rsidRPr="000232BC">
          <w:rPr>
            <w:rStyle w:val="Hyperlink"/>
            <w:noProof/>
          </w:rPr>
          <w:t>50.102-2 Contract adjustment boards.</w:t>
        </w:r>
      </w:hyperlink>
    </w:p>
    <w:p w14:paraId="18841D92" w14:textId="77777777" w:rsidR="0004288F" w:rsidRDefault="00C45FD0" w:rsidP="0004288F">
      <w:pPr>
        <w:pStyle w:val="BodyText"/>
        <w:spacing w:before="6"/>
        <w:rPr>
          <w:b/>
          <w:sz w:val="25"/>
        </w:rPr>
      </w:pPr>
      <w:r>
        <w:rPr>
          <w:b/>
          <w:bCs/>
          <w:color w:val="365F91"/>
          <w:sz w:val="28"/>
          <w:szCs w:val="28"/>
        </w:rPr>
        <w:fldChar w:fldCharType="end"/>
      </w:r>
    </w:p>
    <w:p w14:paraId="1F6F28E8" w14:textId="77777777" w:rsidR="00C45FD0" w:rsidRDefault="0004288F" w:rsidP="0004288F">
      <w:pPr>
        <w:pStyle w:val="Heading3"/>
        <w:ind w:left="1652"/>
      </w:pPr>
      <w:bookmarkStart w:id="0" w:name="SUBPART_50.1__EXTRAORDINARY_CONTRACTUAL_"/>
      <w:bookmarkStart w:id="1" w:name="_bookmark306"/>
      <w:bookmarkStart w:id="2" w:name="_Toc41468167"/>
      <w:bookmarkEnd w:id="0"/>
      <w:bookmarkEnd w:id="1"/>
      <w:r>
        <w:t>SUBPART 50.1 EXTRAORDINARY CONTRACTUAL ACTIONS</w:t>
      </w:r>
      <w:bookmarkEnd w:id="2"/>
    </w:p>
    <w:p w14:paraId="06810EF9" w14:textId="77777777" w:rsidR="00C45FD0" w:rsidRDefault="0004288F" w:rsidP="0004288F">
      <w:pPr>
        <w:pStyle w:val="Heading3"/>
      </w:pPr>
      <w:bookmarkStart w:id="3" w:name="50.102__Delegation_of_and_limitations_on"/>
      <w:bookmarkStart w:id="4" w:name="_bookmark307"/>
      <w:bookmarkStart w:id="5" w:name="_Toc41468168"/>
      <w:bookmarkEnd w:id="3"/>
      <w:bookmarkEnd w:id="4"/>
      <w:r>
        <w:t>50.102 Delegation of and limitations on exercise of authority.</w:t>
      </w:r>
      <w:bookmarkEnd w:id="5"/>
    </w:p>
    <w:p w14:paraId="20280CE6" w14:textId="77777777" w:rsidR="0004288F" w:rsidRDefault="0004288F" w:rsidP="0004288F">
      <w:pPr>
        <w:pStyle w:val="Heading4"/>
      </w:pPr>
      <w:bookmarkStart w:id="6" w:name="50.102-2__Contract_adjustment_boards."/>
      <w:bookmarkStart w:id="7" w:name="_bookmark308"/>
      <w:bookmarkStart w:id="8" w:name="_Toc41468169"/>
      <w:bookmarkEnd w:id="6"/>
      <w:bookmarkEnd w:id="7"/>
      <w:r>
        <w:t>50.102-2 Contract adjustment boards.</w:t>
      </w:r>
      <w:bookmarkEnd w:id="8"/>
    </w:p>
    <w:p w14:paraId="3B838E00" w14:textId="77777777" w:rsidR="0004288F" w:rsidRDefault="0004288F" w:rsidP="0004288F">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40EB638D" w14:textId="77777777" w:rsidR="0004288F" w:rsidRDefault="0004288F" w:rsidP="0004288F">
      <w:pPr>
        <w:pStyle w:val="BodyText"/>
        <w:tabs>
          <w:tab w:val="left" w:pos="5420"/>
        </w:tabs>
        <w:spacing w:line="218" w:lineRule="exact"/>
        <w:ind w:left="460"/>
      </w:pPr>
      <w:r>
        <w:t>HCA</w:t>
      </w:r>
      <w:r>
        <w:tab/>
        <w:t>Vice Chairperson and</w:t>
      </w:r>
      <w:r>
        <w:rPr>
          <w:spacing w:val="-2"/>
        </w:rPr>
        <w:t xml:space="preserve"> </w:t>
      </w:r>
      <w:r>
        <w:t>Member</w:t>
      </w:r>
    </w:p>
    <w:p w14:paraId="2156F1FD" w14:textId="77777777" w:rsidR="00C45FD0" w:rsidRDefault="0004288F" w:rsidP="0004288F">
      <w:pPr>
        <w:pStyle w:val="BodyText"/>
        <w:tabs>
          <w:tab w:val="left" w:pos="5420"/>
        </w:tabs>
        <w:ind w:left="460"/>
      </w:pPr>
      <w:r>
        <w:t>General</w:t>
      </w:r>
      <w:r>
        <w:rPr>
          <w:spacing w:val="-2"/>
        </w:rPr>
        <w:t xml:space="preserve"> </w:t>
      </w:r>
      <w:r>
        <w:t>Counsel</w:t>
      </w:r>
      <w:r>
        <w:tab/>
        <w:t>Member</w:t>
      </w:r>
    </w:p>
    <w:p w14:paraId="1F8E419E" w14:textId="77777777" w:rsidR="0004288F" w:rsidRDefault="0004288F" w:rsidP="0004288F">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2F78018C" w14:textId="77777777" w:rsidR="0004288F" w:rsidRDefault="0004288F" w:rsidP="0004288F">
      <w:r>
        <w:br w:type="page"/>
      </w:r>
    </w:p>
    <w:sectPr w:rsidR="0004288F">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2980" w14:textId="77777777" w:rsidR="001A4F5D" w:rsidRDefault="001A4F5D">
      <w:r>
        <w:separator/>
      </w:r>
    </w:p>
  </w:endnote>
  <w:endnote w:type="continuationSeparator" w:id="0">
    <w:p w14:paraId="4578F23C" w14:textId="77777777" w:rsidR="001A4F5D" w:rsidRDefault="001A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6E59" w14:textId="2F93B34E"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E03E5" w14:textId="77777777" w:rsidR="001A4F5D" w:rsidRDefault="001A4F5D">
      <w:r>
        <w:separator/>
      </w:r>
    </w:p>
  </w:footnote>
  <w:footnote w:type="continuationSeparator" w:id="0">
    <w:p w14:paraId="510D292A" w14:textId="77777777" w:rsidR="001A4F5D" w:rsidRDefault="001A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288F"/>
    <w:rsid w:val="00045042"/>
    <w:rsid w:val="00046B47"/>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4F5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5FD0"/>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9CE1"/>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B9EFF-90D8-47F8-8ED9-3F5CD6ADCE64}">
  <ds:schemaRefs>
    <ds:schemaRef ds:uri="http://schemas.openxmlformats.org/officeDocument/2006/bibliography"/>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