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6F9F" w:rsidRDefault="00D66F9F" w:rsidP="00F86927">
      <w:pPr>
        <w:pStyle w:val="Heading1"/>
      </w:pPr>
      <w:r>
        <w:t>PART 12 -- ACQUISITION OF COMMERCIAL ITEMS</w:t>
      </w:r>
    </w:p>
    <w:p w:rsidR="00D66F9F" w:rsidRDefault="00D66F9F" w:rsidP="00F86927">
      <w:pPr>
        <w:pStyle w:val="Heading1"/>
      </w:pPr>
      <w:r>
        <w:t>TABLE OF CONTENTS</w:t>
      </w:r>
    </w:p>
    <w:p w:rsidR="00D66F9F" w:rsidRDefault="00D66F9F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5095853" w:history="1">
        <w:r w:rsidRPr="00B85C36">
          <w:rPr>
            <w:rStyle w:val="Hyperlink"/>
            <w:noProof/>
          </w:rPr>
          <w:t>SUBPART 12.4 – UNIQUE REQUIREMENTS REGARDING TERMS AND CONDITIONS FOR COMMERCIAL ITEMS</w:t>
        </w:r>
      </w:hyperlink>
    </w:p>
    <w:p w:rsidR="00D66F9F" w:rsidRDefault="00D66F9F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854" w:history="1">
        <w:r w:rsidRPr="00B85C36">
          <w:rPr>
            <w:rStyle w:val="Hyperlink"/>
            <w:noProof/>
          </w:rPr>
          <w:t>12.403</w:t>
        </w:r>
        <w:r w:rsidRPr="00B85C36">
          <w:rPr>
            <w:rStyle w:val="Hyperlink"/>
            <w:noProof/>
            <w:spacing w:val="59"/>
          </w:rPr>
          <w:t xml:space="preserve"> </w:t>
        </w:r>
        <w:r w:rsidRPr="00B85C36">
          <w:rPr>
            <w:rStyle w:val="Hyperlink"/>
            <w:noProof/>
          </w:rPr>
          <w:t>Termination.</w:t>
        </w:r>
      </w:hyperlink>
    </w:p>
    <w:p w:rsidR="00F86927" w:rsidRDefault="00D66F9F" w:rsidP="00F86927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D66F9F" w:rsidRDefault="00F86927" w:rsidP="00F86927">
      <w:pPr>
        <w:pStyle w:val="Heading2"/>
      </w:pPr>
      <w:bookmarkStart w:id="0" w:name="SUBPART_12.4_–_UNIQUE_REQUIREMENTS_REGAR"/>
      <w:bookmarkStart w:id="1" w:name="_bookmark133"/>
      <w:bookmarkStart w:id="2" w:name="_Toc45095853"/>
      <w:bookmarkEnd w:id="0"/>
      <w:bookmarkEnd w:id="1"/>
      <w:r>
        <w:t>SUBPART 12.4 – UNIQUE REQUIREMENTS REGARDING TERMS AND CONDITIONS FOR COMMERCIAL ITEMS</w:t>
      </w:r>
      <w:bookmarkEnd w:id="2"/>
    </w:p>
    <w:p w:rsidR="00D66F9F" w:rsidRDefault="00F86927" w:rsidP="00F86927">
      <w:pPr>
        <w:pStyle w:val="Heading3"/>
      </w:pPr>
      <w:bookmarkStart w:id="3" w:name="12.403__Termination."/>
      <w:bookmarkStart w:id="4" w:name="_bookmark134"/>
      <w:bookmarkStart w:id="5" w:name="_Toc45095854"/>
      <w:bookmarkEnd w:id="3"/>
      <w:bookmarkEnd w:id="4"/>
      <w:r>
        <w:t>12.403</w:t>
      </w:r>
      <w:r>
        <w:rPr>
          <w:spacing w:val="59"/>
        </w:rPr>
        <w:t xml:space="preserve"> </w:t>
      </w:r>
      <w:r>
        <w:t>Termination.</w:t>
      </w:r>
      <w:bookmarkEnd w:id="5"/>
    </w:p>
    <w:p w:rsidR="00F86927" w:rsidRDefault="00F86927" w:rsidP="00F86927">
      <w:pPr>
        <w:pStyle w:val="List1"/>
      </w:pPr>
      <w:r>
        <w:t xml:space="preserve">(b) </w:t>
      </w:r>
      <w:r>
        <w:rPr>
          <w:i/>
        </w:rPr>
        <w:t xml:space="preserve">Policy.  </w:t>
      </w:r>
      <w:r>
        <w:t>Only contracting officers may terminate a contract for convenience or for cause. Prior to release of the modification to terminate, contracting officers must coordinate termination notices with local legal counsel and, if the contractor is a small business concern, with the Office of Small Business Programs (OSBP) Specialist. Additionally, an e-mail notification must be provided to the HCO at least two business days prior to release of the modification to terminate the</w:t>
      </w:r>
      <w:r>
        <w:rPr>
          <w:spacing w:val="-2"/>
        </w:rPr>
        <w:t xml:space="preserve"> </w:t>
      </w:r>
      <w:r>
        <w:t>contract.</w:t>
      </w:r>
    </w:p>
    <w:p w:rsidR="00F86927" w:rsidRDefault="00F86927" w:rsidP="00F86927">
      <w:r>
        <w:br w:type="page"/>
      </w:r>
    </w:p>
    <w:sectPr w:rsidR="00F86927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6927" w:rsidRDefault="00F86927">
      <w:r>
        <w:separator/>
      </w:r>
    </w:p>
  </w:endnote>
  <w:endnote w:type="continuationSeparator" w:id="0">
    <w:p w:rsidR="00F86927" w:rsidRDefault="00F86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6927" w:rsidRDefault="00F86927">
      <w:r>
        <w:separator/>
      </w:r>
    </w:p>
  </w:footnote>
  <w:footnote w:type="continuationSeparator" w:id="0">
    <w:p w:rsidR="00F86927" w:rsidRDefault="00F86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66F9F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86927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