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664" w:rsidRDefault="00F13664" w:rsidP="00CA439C">
      <w:pPr>
        <w:pStyle w:val="Heading1"/>
      </w:pPr>
      <w:r>
        <w:t>PART 16 -- TYPES OF CONTRACTS</w:t>
      </w:r>
    </w:p>
    <w:p w:rsidR="00F13664" w:rsidRDefault="00F13664" w:rsidP="00CA439C">
      <w:pPr>
        <w:pStyle w:val="Heading1"/>
      </w:pPr>
      <w:r>
        <w:t>TABLE OF CONTENTS</w:t>
      </w:r>
    </w:p>
    <w:p w:rsidR="00F13664" w:rsidRDefault="00F13664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5095885" w:history="1">
        <w:r w:rsidRPr="000F0C22">
          <w:rPr>
            <w:rStyle w:val="Hyperlink"/>
            <w:noProof/>
          </w:rPr>
          <w:t>SUBPART 16.5 -- INDEFINITE-DELIVERY CONTRACTS</w:t>
        </w:r>
      </w:hyperlink>
    </w:p>
    <w:p w:rsidR="00F13664" w:rsidRDefault="00F13664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95886" w:history="1">
        <w:r w:rsidRPr="000F0C22">
          <w:rPr>
            <w:rStyle w:val="Hyperlink"/>
            <w:noProof/>
          </w:rPr>
          <w:t>16.504 Indefinite-quantity contracts.</w:t>
        </w:r>
      </w:hyperlink>
    </w:p>
    <w:p w:rsidR="00F13664" w:rsidRDefault="00F13664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95887" w:history="1">
        <w:r w:rsidRPr="000F0C22">
          <w:rPr>
            <w:rStyle w:val="Hyperlink"/>
            <w:noProof/>
          </w:rPr>
          <w:t>16.505</w:t>
        </w:r>
        <w:r w:rsidRPr="000F0C22">
          <w:rPr>
            <w:rStyle w:val="Hyperlink"/>
            <w:noProof/>
            <w:spacing w:val="59"/>
          </w:rPr>
          <w:t xml:space="preserve"> </w:t>
        </w:r>
        <w:r w:rsidRPr="000F0C22">
          <w:rPr>
            <w:rStyle w:val="Hyperlink"/>
            <w:noProof/>
          </w:rPr>
          <w:t>Ordering.</w:t>
        </w:r>
      </w:hyperlink>
    </w:p>
    <w:p w:rsidR="00CA439C" w:rsidRDefault="00F13664" w:rsidP="00CA439C">
      <w:pPr>
        <w:pStyle w:val="Heading2"/>
      </w:pPr>
      <w:r>
        <w:rPr>
          <w:bCs/>
          <w:color w:val="365F91"/>
          <w:sz w:val="28"/>
        </w:rPr>
        <w:fldChar w:fldCharType="end"/>
      </w:r>
    </w:p>
    <w:p w:rsidR="00F13664" w:rsidRDefault="00CA439C" w:rsidP="00CA439C">
      <w:pPr>
        <w:pStyle w:val="Heading2"/>
      </w:pPr>
      <w:bookmarkStart w:id="0" w:name="SUBPART_16.5_--_INDEFINITE-DELIVERY_CONT"/>
      <w:bookmarkStart w:id="1" w:name="_bookmark168"/>
      <w:bookmarkStart w:id="2" w:name="_Toc45095885"/>
      <w:bookmarkEnd w:id="0"/>
      <w:bookmarkEnd w:id="1"/>
      <w:r>
        <w:t>SUBPART 16.5 -- INDEFINITE-DELIVERY CONTRACTS</w:t>
      </w:r>
      <w:bookmarkEnd w:id="2"/>
    </w:p>
    <w:p w:rsidR="00F13664" w:rsidRDefault="00CA439C" w:rsidP="00CA439C">
      <w:pPr>
        <w:pStyle w:val="Heading3"/>
      </w:pPr>
      <w:bookmarkStart w:id="3" w:name="16.504__Indefinite-quantity_contracts."/>
      <w:bookmarkStart w:id="4" w:name="_bookmark169"/>
      <w:bookmarkStart w:id="5" w:name="_Toc45095886"/>
      <w:bookmarkEnd w:id="3"/>
      <w:bookmarkEnd w:id="4"/>
      <w:r>
        <w:t>16.504 Indefinite-quantity contracts.</w:t>
      </w:r>
      <w:bookmarkEnd w:id="5"/>
    </w:p>
    <w:p w:rsidR="00F13664" w:rsidRDefault="00CA439C" w:rsidP="00CA439C">
      <w:pPr>
        <w:pStyle w:val="List1"/>
      </w:pPr>
      <w:r w:rsidRPr="005968CA">
        <w:rPr>
          <w:szCs w:val="24"/>
        </w:rPr>
        <w:t>(c)(1)(ii)(D)(</w:t>
      </w:r>
      <w:r w:rsidRPr="005968CA">
        <w:rPr>
          <w:i/>
          <w:szCs w:val="24"/>
        </w:rPr>
        <w:t>1</w:t>
      </w:r>
      <w:r w:rsidRPr="005968CA">
        <w:rPr>
          <w:szCs w:val="24"/>
        </w:rPr>
        <w:t xml:space="preserve">)  </w:t>
      </w:r>
      <w:r w:rsidRPr="005968CA">
        <w:rPr>
          <w:color w:val="000000"/>
          <w:szCs w:val="24"/>
          <w:lang w:val="en"/>
        </w:rPr>
        <w:t>No task or delivery order contract in an amount estimated to exceed $112 million (including all options) may be awarded to a single source unless approved by the HCA.</w:t>
      </w:r>
    </w:p>
    <w:p w:rsidR="00F13664" w:rsidRDefault="00CA439C" w:rsidP="00CA439C">
      <w:pPr>
        <w:pStyle w:val="List1"/>
      </w:pPr>
      <w:r>
        <w:t>(S-90) Funding for the minimum guarantee shall be obligated at the time of contract award via the first order. (See DARS 7.105(b)(6))</w:t>
      </w:r>
    </w:p>
    <w:p w:rsidR="00F13664" w:rsidRDefault="00CA439C" w:rsidP="00CA439C">
      <w:pPr>
        <w:pStyle w:val="Heading3"/>
      </w:pPr>
      <w:bookmarkStart w:id="6" w:name="16.505__Ordering."/>
      <w:bookmarkStart w:id="7" w:name="_bookmark170"/>
      <w:bookmarkStart w:id="8" w:name="_Toc45095887"/>
      <w:bookmarkEnd w:id="6"/>
      <w:bookmarkEnd w:id="7"/>
      <w:r>
        <w:t>16.505</w:t>
      </w:r>
      <w:r>
        <w:rPr>
          <w:spacing w:val="59"/>
        </w:rPr>
        <w:t xml:space="preserve"> </w:t>
      </w:r>
      <w:r>
        <w:t>Ordering.</w:t>
      </w:r>
      <w:bookmarkEnd w:id="8"/>
    </w:p>
    <w:p w:rsidR="00F13664" w:rsidRDefault="00CA439C" w:rsidP="00CA439C">
      <w:pPr>
        <w:pStyle w:val="List1"/>
      </w:pPr>
      <w:r>
        <w:t xml:space="preserve">(b)(6) </w:t>
      </w:r>
      <w:r>
        <w:rPr>
          <w:i/>
        </w:rPr>
        <w:t>Postaward Notices and Debriefing of Awardees for Orders Exceeding $5.5 million</w:t>
      </w:r>
      <w:r>
        <w:t xml:space="preserve">. The Initial Letter to Unsuccessful Offerors and Debriefing Letter to Unsuccessful Offerors, located in the </w:t>
      </w:r>
      <w:hyperlink r:id="rId11" w:history="1">
        <w:r w:rsidRPr="0058550D">
          <w:rPr>
            <w:rStyle w:val="Hyperlink"/>
            <w:szCs w:val="24"/>
            <w:u w:color="0000FF"/>
          </w:rPr>
          <w:t>DARS PGI</w:t>
        </w:r>
      </w:hyperlink>
      <w:r w:rsidRPr="00E111BB">
        <w:rPr>
          <w:rStyle w:val="Hyperlink"/>
          <w:color w:val="auto"/>
          <w:szCs w:val="24"/>
          <w:u w:val="none"/>
        </w:rPr>
        <w:t xml:space="preserve">, </w:t>
      </w:r>
      <w:r>
        <w:t>shall be used to notify unsuccessful awardees when the total price of a task or delivery order exceeds $5.5 million.</w:t>
      </w:r>
    </w:p>
    <w:p w:rsidR="00CA439C" w:rsidRDefault="00CA439C" w:rsidP="00CA439C">
      <w:pPr>
        <w:pStyle w:val="List1"/>
      </w:pPr>
      <w:r>
        <w:t xml:space="preserve">(b)(8) </w:t>
      </w:r>
      <w:r>
        <w:rPr>
          <w:i/>
        </w:rPr>
        <w:t>Task-order and delivery-order ombudsman</w:t>
      </w:r>
      <w:r>
        <w:t>. The PSD Technical Director is designated as the Agency Ombudsman for task and delivery orders issued against multiple award contracts.</w:t>
      </w:r>
    </w:p>
    <w:p w:rsidR="00CA439C" w:rsidRDefault="00CA439C" w:rsidP="00CA439C">
      <w:pPr>
        <w:spacing w:line="278" w:lineRule="auto"/>
        <w:rPr>
          <w:sz w:val="24"/>
        </w:rPr>
      </w:pPr>
      <w:r>
        <w:br w:type="page"/>
      </w:r>
    </w:p>
    <w:sectPr w:rsidR="00CA439C">
      <w:footerReference w:type="default" r:id="rId12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439C" w:rsidRDefault="00CA439C">
      <w:r>
        <w:separator/>
      </w:r>
    </w:p>
  </w:endnote>
  <w:endnote w:type="continuationSeparator" w:id="0">
    <w:p w:rsidR="00CA439C" w:rsidRDefault="00CA4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439C" w:rsidRDefault="00CA439C">
      <w:r>
        <w:separator/>
      </w:r>
    </w:p>
  </w:footnote>
  <w:footnote w:type="continuationSeparator" w:id="0">
    <w:p w:rsidR="00CA439C" w:rsidRDefault="00CA4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39C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3664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sa.deps.mil/org/PL2/Pages/DITCORefs.asp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