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0F7D" w:rsidRDefault="000C0F7D" w:rsidP="00632353">
      <w:pPr>
        <w:pStyle w:val="Heading1"/>
      </w:pPr>
      <w:r>
        <w:t>PART 17 -- SPECIAL CONTRACTING METHODS</w:t>
      </w:r>
    </w:p>
    <w:p w:rsidR="000C0F7D" w:rsidRDefault="000C0F7D" w:rsidP="00632353">
      <w:pPr>
        <w:pStyle w:val="Heading1"/>
      </w:pPr>
      <w:r>
        <w:t>TABLE OF CONTENTS</w:t>
      </w:r>
    </w:p>
    <w:p w:rsidR="000C0F7D" w:rsidRDefault="000C0F7D">
      <w:pPr>
        <w:pStyle w:val="TOC3"/>
        <w:tabs>
          <w:tab w:val="right" w:leader="dot" w:pos="10250"/>
        </w:tabs>
        <w:rPr>
          <w:rFonts w:asciiTheme="minorHAnsi" w:eastAsiaTheme="minorEastAsia" w:hAnsiTheme="minorHAnsi" w:cstheme="minorBidi"/>
          <w:noProof/>
          <w:sz w:val="22"/>
          <w:szCs w:val="22"/>
        </w:rPr>
      </w:pPr>
      <w:r>
        <w:rPr>
          <w:color w:val="365F91"/>
          <w:sz w:val="28"/>
          <w:szCs w:val="28"/>
        </w:rPr>
        <w:fldChar w:fldCharType="begin"/>
      </w:r>
      <w:r>
        <w:rPr>
          <w:color w:val="365F91"/>
          <w:sz w:val="28"/>
          <w:szCs w:val="28"/>
        </w:rPr>
        <w:instrText xml:space="preserve"> TOC \o "2-4" \n \h </w:instrText>
      </w:r>
      <w:r>
        <w:rPr>
          <w:color w:val="365F91"/>
          <w:sz w:val="28"/>
          <w:szCs w:val="28"/>
        </w:rPr>
        <w:fldChar w:fldCharType="separate"/>
      </w:r>
      <w:hyperlink w:anchor="_Toc45095888" w:history="1">
        <w:r w:rsidRPr="00A925EE">
          <w:rPr>
            <w:rStyle w:val="Hyperlink"/>
            <w:noProof/>
          </w:rPr>
          <w:t>17.000 Definitions.</w:t>
        </w:r>
      </w:hyperlink>
    </w:p>
    <w:p w:rsidR="000C0F7D" w:rsidRDefault="000C0F7D">
      <w:pPr>
        <w:pStyle w:val="TOC2"/>
        <w:tabs>
          <w:tab w:val="right" w:leader="dot" w:pos="10250"/>
        </w:tabs>
        <w:rPr>
          <w:rFonts w:asciiTheme="minorHAnsi" w:eastAsiaTheme="minorEastAsia" w:hAnsiTheme="minorHAnsi" w:cstheme="minorBidi"/>
          <w:noProof/>
          <w:sz w:val="22"/>
          <w:szCs w:val="22"/>
        </w:rPr>
      </w:pPr>
      <w:hyperlink w:anchor="_Toc45095889" w:history="1">
        <w:r w:rsidRPr="00A925EE">
          <w:rPr>
            <w:rStyle w:val="Hyperlink"/>
            <w:noProof/>
          </w:rPr>
          <w:t>SUBPART 17.1 -- MULTI-YEAR CONTRACTS</w:t>
        </w:r>
      </w:hyperlink>
    </w:p>
    <w:p w:rsidR="000C0F7D" w:rsidRDefault="000C0F7D">
      <w:pPr>
        <w:pStyle w:val="TOC3"/>
        <w:tabs>
          <w:tab w:val="right" w:leader="dot" w:pos="10250"/>
        </w:tabs>
        <w:rPr>
          <w:rFonts w:asciiTheme="minorHAnsi" w:eastAsiaTheme="minorEastAsia" w:hAnsiTheme="minorHAnsi" w:cstheme="minorBidi"/>
          <w:noProof/>
          <w:sz w:val="22"/>
          <w:szCs w:val="22"/>
        </w:rPr>
      </w:pPr>
      <w:hyperlink w:anchor="_Toc45095890" w:history="1">
        <w:r w:rsidRPr="00A925EE">
          <w:rPr>
            <w:rStyle w:val="Hyperlink"/>
            <w:noProof/>
          </w:rPr>
          <w:t>17.104</w:t>
        </w:r>
        <w:r w:rsidRPr="00A925EE">
          <w:rPr>
            <w:rStyle w:val="Hyperlink"/>
            <w:noProof/>
            <w:spacing w:val="59"/>
          </w:rPr>
          <w:t xml:space="preserve"> </w:t>
        </w:r>
        <w:r w:rsidRPr="00A925EE">
          <w:rPr>
            <w:rStyle w:val="Hyperlink"/>
            <w:noProof/>
          </w:rPr>
          <w:t>General.</w:t>
        </w:r>
      </w:hyperlink>
    </w:p>
    <w:p w:rsidR="000C0F7D" w:rsidRDefault="000C0F7D">
      <w:pPr>
        <w:pStyle w:val="TOC3"/>
        <w:tabs>
          <w:tab w:val="right" w:leader="dot" w:pos="10250"/>
        </w:tabs>
        <w:rPr>
          <w:rFonts w:asciiTheme="minorHAnsi" w:eastAsiaTheme="minorEastAsia" w:hAnsiTheme="minorHAnsi" w:cstheme="minorBidi"/>
          <w:noProof/>
          <w:sz w:val="22"/>
          <w:szCs w:val="22"/>
        </w:rPr>
      </w:pPr>
      <w:hyperlink w:anchor="_Toc45095891" w:history="1">
        <w:r w:rsidRPr="00A925EE">
          <w:rPr>
            <w:rStyle w:val="Hyperlink"/>
            <w:noProof/>
          </w:rPr>
          <w:t>17.106</w:t>
        </w:r>
        <w:r w:rsidRPr="00A925EE">
          <w:rPr>
            <w:rStyle w:val="Hyperlink"/>
            <w:noProof/>
            <w:spacing w:val="59"/>
          </w:rPr>
          <w:t xml:space="preserve"> </w:t>
        </w:r>
        <w:r w:rsidRPr="00A925EE">
          <w:rPr>
            <w:rStyle w:val="Hyperlink"/>
            <w:noProof/>
          </w:rPr>
          <w:t>Procedures.</w:t>
        </w:r>
      </w:hyperlink>
    </w:p>
    <w:p w:rsidR="000C0F7D" w:rsidRDefault="000C0F7D">
      <w:pPr>
        <w:pStyle w:val="TOC4"/>
        <w:tabs>
          <w:tab w:val="right" w:leader="dot" w:pos="10250"/>
        </w:tabs>
        <w:rPr>
          <w:rFonts w:asciiTheme="minorHAnsi" w:hAnsiTheme="minorHAnsi" w:cstheme="minorBidi"/>
          <w:noProof/>
          <w:sz w:val="22"/>
          <w:szCs w:val="22"/>
        </w:rPr>
      </w:pPr>
      <w:hyperlink w:anchor="_Toc45095892" w:history="1">
        <w:r w:rsidRPr="00A925EE">
          <w:rPr>
            <w:rStyle w:val="Hyperlink"/>
            <w:noProof/>
          </w:rPr>
          <w:t>17.106-3 Special procedures applicable to DoD, NASA, and the Coast Guard.</w:t>
        </w:r>
      </w:hyperlink>
    </w:p>
    <w:p w:rsidR="000C0F7D" w:rsidRDefault="000C0F7D">
      <w:pPr>
        <w:pStyle w:val="TOC2"/>
        <w:tabs>
          <w:tab w:val="right" w:leader="dot" w:pos="10250"/>
        </w:tabs>
        <w:rPr>
          <w:rFonts w:asciiTheme="minorHAnsi" w:eastAsiaTheme="minorEastAsia" w:hAnsiTheme="minorHAnsi" w:cstheme="minorBidi"/>
          <w:noProof/>
          <w:sz w:val="22"/>
          <w:szCs w:val="22"/>
        </w:rPr>
      </w:pPr>
      <w:hyperlink w:anchor="_Toc45095893" w:history="1">
        <w:r w:rsidRPr="00A925EE">
          <w:rPr>
            <w:rStyle w:val="Hyperlink"/>
            <w:noProof/>
          </w:rPr>
          <w:t>SUBPART 17.2 — OPTIONS</w:t>
        </w:r>
      </w:hyperlink>
    </w:p>
    <w:p w:rsidR="000C0F7D" w:rsidRDefault="000C0F7D">
      <w:pPr>
        <w:pStyle w:val="TOC3"/>
        <w:tabs>
          <w:tab w:val="right" w:leader="dot" w:pos="10250"/>
        </w:tabs>
        <w:rPr>
          <w:rFonts w:asciiTheme="minorHAnsi" w:eastAsiaTheme="minorEastAsia" w:hAnsiTheme="minorHAnsi" w:cstheme="minorBidi"/>
          <w:noProof/>
          <w:sz w:val="22"/>
          <w:szCs w:val="22"/>
        </w:rPr>
      </w:pPr>
      <w:hyperlink w:anchor="_Toc45095894" w:history="1">
        <w:r w:rsidRPr="00A925EE">
          <w:rPr>
            <w:rStyle w:val="Hyperlink"/>
            <w:noProof/>
          </w:rPr>
          <w:t>17.202 Use of options.</w:t>
        </w:r>
      </w:hyperlink>
    </w:p>
    <w:p w:rsidR="000C0F7D" w:rsidRDefault="000C0F7D">
      <w:pPr>
        <w:pStyle w:val="TOC4"/>
        <w:tabs>
          <w:tab w:val="right" w:leader="dot" w:pos="10250"/>
        </w:tabs>
        <w:rPr>
          <w:rFonts w:asciiTheme="minorHAnsi" w:hAnsiTheme="minorHAnsi" w:cstheme="minorBidi"/>
          <w:noProof/>
          <w:sz w:val="22"/>
          <w:szCs w:val="22"/>
        </w:rPr>
      </w:pPr>
      <w:hyperlink w:anchor="_Toc45095895" w:history="1">
        <w:r w:rsidRPr="00A925EE">
          <w:rPr>
            <w:rStyle w:val="Hyperlink"/>
            <w:noProof/>
          </w:rPr>
          <w:t>17.202-90 Use of surge options.</w:t>
        </w:r>
      </w:hyperlink>
    </w:p>
    <w:p w:rsidR="000C0F7D" w:rsidRDefault="000C0F7D">
      <w:pPr>
        <w:pStyle w:val="TOC3"/>
        <w:tabs>
          <w:tab w:val="right" w:leader="dot" w:pos="10250"/>
        </w:tabs>
        <w:rPr>
          <w:rFonts w:asciiTheme="minorHAnsi" w:eastAsiaTheme="minorEastAsia" w:hAnsiTheme="minorHAnsi" w:cstheme="minorBidi"/>
          <w:noProof/>
          <w:sz w:val="22"/>
          <w:szCs w:val="22"/>
        </w:rPr>
      </w:pPr>
      <w:hyperlink w:anchor="_Toc45095896" w:history="1">
        <w:r w:rsidRPr="00A925EE">
          <w:rPr>
            <w:rStyle w:val="Hyperlink"/>
            <w:noProof/>
          </w:rPr>
          <w:t>17.206</w:t>
        </w:r>
        <w:r w:rsidRPr="00A925EE">
          <w:rPr>
            <w:rStyle w:val="Hyperlink"/>
            <w:noProof/>
            <w:spacing w:val="59"/>
          </w:rPr>
          <w:t xml:space="preserve"> </w:t>
        </w:r>
        <w:r w:rsidRPr="00A925EE">
          <w:rPr>
            <w:rStyle w:val="Hyperlink"/>
            <w:noProof/>
          </w:rPr>
          <w:t>Evaluation.</w:t>
        </w:r>
      </w:hyperlink>
    </w:p>
    <w:p w:rsidR="000C0F7D" w:rsidRDefault="000C0F7D">
      <w:pPr>
        <w:pStyle w:val="TOC3"/>
        <w:tabs>
          <w:tab w:val="right" w:leader="dot" w:pos="10250"/>
        </w:tabs>
        <w:rPr>
          <w:rFonts w:asciiTheme="minorHAnsi" w:eastAsiaTheme="minorEastAsia" w:hAnsiTheme="minorHAnsi" w:cstheme="minorBidi"/>
          <w:noProof/>
          <w:sz w:val="22"/>
          <w:szCs w:val="22"/>
        </w:rPr>
      </w:pPr>
      <w:hyperlink w:anchor="_Toc45095897" w:history="1">
        <w:r w:rsidRPr="00A925EE">
          <w:rPr>
            <w:rStyle w:val="Hyperlink"/>
            <w:noProof/>
          </w:rPr>
          <w:t>17.207 Exercise of options.</w:t>
        </w:r>
      </w:hyperlink>
    </w:p>
    <w:p w:rsidR="000C0F7D" w:rsidRDefault="000C0F7D">
      <w:pPr>
        <w:pStyle w:val="TOC2"/>
        <w:tabs>
          <w:tab w:val="right" w:leader="dot" w:pos="10250"/>
        </w:tabs>
        <w:rPr>
          <w:rFonts w:asciiTheme="minorHAnsi" w:eastAsiaTheme="minorEastAsia" w:hAnsiTheme="minorHAnsi" w:cstheme="minorBidi"/>
          <w:noProof/>
          <w:sz w:val="22"/>
          <w:szCs w:val="22"/>
        </w:rPr>
      </w:pPr>
      <w:hyperlink w:anchor="_Toc45095898" w:history="1">
        <w:r w:rsidRPr="00A925EE">
          <w:rPr>
            <w:rStyle w:val="Hyperlink"/>
            <w:noProof/>
          </w:rPr>
          <w:t>SUBPART 17.5 — INTERAGENCY ACQUISITIONS</w:t>
        </w:r>
      </w:hyperlink>
    </w:p>
    <w:p w:rsidR="000C0F7D" w:rsidRDefault="000C0F7D">
      <w:pPr>
        <w:pStyle w:val="TOC3"/>
        <w:tabs>
          <w:tab w:val="right" w:leader="dot" w:pos="10250"/>
        </w:tabs>
        <w:rPr>
          <w:rFonts w:asciiTheme="minorHAnsi" w:eastAsiaTheme="minorEastAsia" w:hAnsiTheme="minorHAnsi" w:cstheme="minorBidi"/>
          <w:noProof/>
          <w:sz w:val="22"/>
          <w:szCs w:val="22"/>
        </w:rPr>
      </w:pPr>
      <w:hyperlink w:anchor="_Toc45095899" w:history="1">
        <w:r w:rsidRPr="00A925EE">
          <w:rPr>
            <w:rStyle w:val="Hyperlink"/>
            <w:noProof/>
          </w:rPr>
          <w:t>17.500 Scope of subpart.</w:t>
        </w:r>
      </w:hyperlink>
    </w:p>
    <w:p w:rsidR="000C0F7D" w:rsidRDefault="000C0F7D">
      <w:pPr>
        <w:pStyle w:val="TOC3"/>
        <w:tabs>
          <w:tab w:val="right" w:leader="dot" w:pos="10250"/>
        </w:tabs>
        <w:rPr>
          <w:rFonts w:asciiTheme="minorHAnsi" w:eastAsiaTheme="minorEastAsia" w:hAnsiTheme="minorHAnsi" w:cstheme="minorBidi"/>
          <w:noProof/>
          <w:sz w:val="22"/>
          <w:szCs w:val="22"/>
        </w:rPr>
      </w:pPr>
      <w:hyperlink w:anchor="_Toc45095900" w:history="1">
        <w:r w:rsidRPr="00A925EE">
          <w:rPr>
            <w:rStyle w:val="Hyperlink"/>
            <w:noProof/>
          </w:rPr>
          <w:t>17.501</w:t>
        </w:r>
        <w:r w:rsidRPr="00A925EE">
          <w:rPr>
            <w:rStyle w:val="Hyperlink"/>
            <w:noProof/>
            <w:spacing w:val="59"/>
          </w:rPr>
          <w:t xml:space="preserve"> </w:t>
        </w:r>
        <w:r w:rsidRPr="00A925EE">
          <w:rPr>
            <w:rStyle w:val="Hyperlink"/>
            <w:noProof/>
          </w:rPr>
          <w:t>General.</w:t>
        </w:r>
      </w:hyperlink>
    </w:p>
    <w:p w:rsidR="000C0F7D" w:rsidRDefault="000C0F7D">
      <w:pPr>
        <w:pStyle w:val="TOC3"/>
        <w:tabs>
          <w:tab w:val="right" w:leader="dot" w:pos="10250"/>
        </w:tabs>
        <w:rPr>
          <w:rFonts w:asciiTheme="minorHAnsi" w:eastAsiaTheme="minorEastAsia" w:hAnsiTheme="minorHAnsi" w:cstheme="minorBidi"/>
          <w:noProof/>
          <w:sz w:val="22"/>
          <w:szCs w:val="22"/>
        </w:rPr>
      </w:pPr>
      <w:hyperlink w:anchor="_Toc45095901" w:history="1">
        <w:r w:rsidRPr="00A925EE">
          <w:rPr>
            <w:rStyle w:val="Hyperlink"/>
            <w:noProof/>
          </w:rPr>
          <w:t>17.502</w:t>
        </w:r>
        <w:r w:rsidRPr="00A925EE">
          <w:rPr>
            <w:rStyle w:val="Hyperlink"/>
            <w:noProof/>
            <w:spacing w:val="59"/>
          </w:rPr>
          <w:t xml:space="preserve"> </w:t>
        </w:r>
        <w:r w:rsidRPr="00A925EE">
          <w:rPr>
            <w:rStyle w:val="Hyperlink"/>
            <w:noProof/>
          </w:rPr>
          <w:t>Procedures.</w:t>
        </w:r>
      </w:hyperlink>
    </w:p>
    <w:p w:rsidR="000C0F7D" w:rsidRDefault="000C0F7D">
      <w:pPr>
        <w:pStyle w:val="TOC4"/>
        <w:tabs>
          <w:tab w:val="right" w:leader="dot" w:pos="10250"/>
        </w:tabs>
        <w:rPr>
          <w:rFonts w:asciiTheme="minorHAnsi" w:hAnsiTheme="minorHAnsi" w:cstheme="minorBidi"/>
          <w:noProof/>
          <w:sz w:val="22"/>
          <w:szCs w:val="22"/>
        </w:rPr>
      </w:pPr>
      <w:hyperlink w:anchor="_Toc45095902" w:history="1">
        <w:r w:rsidRPr="00A925EE">
          <w:rPr>
            <w:rStyle w:val="Hyperlink"/>
            <w:noProof/>
          </w:rPr>
          <w:t>17.502-1</w:t>
        </w:r>
        <w:r w:rsidRPr="00A925EE">
          <w:rPr>
            <w:rStyle w:val="Hyperlink"/>
            <w:noProof/>
            <w:spacing w:val="59"/>
          </w:rPr>
          <w:t xml:space="preserve"> </w:t>
        </w:r>
        <w:r w:rsidRPr="00A925EE">
          <w:rPr>
            <w:rStyle w:val="Hyperlink"/>
            <w:noProof/>
          </w:rPr>
          <w:t>General.</w:t>
        </w:r>
      </w:hyperlink>
    </w:p>
    <w:p w:rsidR="000C0F7D" w:rsidRDefault="000C0F7D">
      <w:pPr>
        <w:pStyle w:val="TOC3"/>
        <w:tabs>
          <w:tab w:val="right" w:leader="dot" w:pos="10250"/>
        </w:tabs>
        <w:rPr>
          <w:rFonts w:asciiTheme="minorHAnsi" w:eastAsiaTheme="minorEastAsia" w:hAnsiTheme="minorHAnsi" w:cstheme="minorBidi"/>
          <w:noProof/>
          <w:sz w:val="22"/>
          <w:szCs w:val="22"/>
        </w:rPr>
      </w:pPr>
      <w:hyperlink w:anchor="_Toc45095903" w:history="1">
        <w:r w:rsidRPr="00A925EE">
          <w:rPr>
            <w:rStyle w:val="Hyperlink"/>
            <w:noProof/>
          </w:rPr>
          <w:t>17.503 Ordering Procedures.</w:t>
        </w:r>
      </w:hyperlink>
    </w:p>
    <w:p w:rsidR="000C0F7D" w:rsidRDefault="000C0F7D">
      <w:pPr>
        <w:pStyle w:val="TOC3"/>
        <w:tabs>
          <w:tab w:val="right" w:leader="dot" w:pos="10250"/>
        </w:tabs>
        <w:rPr>
          <w:rFonts w:asciiTheme="minorHAnsi" w:eastAsiaTheme="minorEastAsia" w:hAnsiTheme="minorHAnsi" w:cstheme="minorBidi"/>
          <w:noProof/>
          <w:sz w:val="22"/>
          <w:szCs w:val="22"/>
        </w:rPr>
      </w:pPr>
      <w:hyperlink w:anchor="_Toc45095904" w:history="1">
        <w:r w:rsidRPr="00A925EE">
          <w:rPr>
            <w:rStyle w:val="Hyperlink"/>
            <w:noProof/>
          </w:rPr>
          <w:t>217.770</w:t>
        </w:r>
        <w:r w:rsidRPr="00A925EE">
          <w:rPr>
            <w:rStyle w:val="Hyperlink"/>
            <w:noProof/>
            <w:spacing w:val="59"/>
          </w:rPr>
          <w:t xml:space="preserve"> </w:t>
        </w:r>
        <w:r w:rsidRPr="00A925EE">
          <w:rPr>
            <w:rStyle w:val="Hyperlink"/>
            <w:noProof/>
          </w:rPr>
          <w:t>Procedures.</w:t>
        </w:r>
      </w:hyperlink>
    </w:p>
    <w:p w:rsidR="000C0F7D" w:rsidRDefault="000C0F7D">
      <w:pPr>
        <w:pStyle w:val="TOC2"/>
        <w:tabs>
          <w:tab w:val="right" w:leader="dot" w:pos="10250"/>
        </w:tabs>
        <w:rPr>
          <w:rFonts w:asciiTheme="minorHAnsi" w:eastAsiaTheme="minorEastAsia" w:hAnsiTheme="minorHAnsi" w:cstheme="minorBidi"/>
          <w:noProof/>
          <w:sz w:val="22"/>
          <w:szCs w:val="22"/>
        </w:rPr>
      </w:pPr>
      <w:hyperlink w:anchor="_Toc45095905" w:history="1">
        <w:r w:rsidRPr="00A925EE">
          <w:rPr>
            <w:rStyle w:val="Hyperlink"/>
            <w:noProof/>
          </w:rPr>
          <w:t>SUBPART 217.74--UNDEFINITIZED CONTRACT ACTIONS</w:t>
        </w:r>
      </w:hyperlink>
    </w:p>
    <w:p w:rsidR="000C0F7D" w:rsidRDefault="000C0F7D">
      <w:pPr>
        <w:pStyle w:val="TOC3"/>
        <w:tabs>
          <w:tab w:val="right" w:leader="dot" w:pos="10250"/>
        </w:tabs>
        <w:rPr>
          <w:rFonts w:asciiTheme="minorHAnsi" w:eastAsiaTheme="minorEastAsia" w:hAnsiTheme="minorHAnsi" w:cstheme="minorBidi"/>
          <w:noProof/>
          <w:sz w:val="22"/>
          <w:szCs w:val="22"/>
        </w:rPr>
      </w:pPr>
      <w:hyperlink w:anchor="_Toc45095906" w:history="1">
        <w:r w:rsidRPr="00A925EE">
          <w:rPr>
            <w:rStyle w:val="Hyperlink"/>
            <w:noProof/>
          </w:rPr>
          <w:t>217.7402</w:t>
        </w:r>
        <w:r w:rsidRPr="00A925EE">
          <w:rPr>
            <w:rStyle w:val="Hyperlink"/>
            <w:noProof/>
            <w:spacing w:val="59"/>
          </w:rPr>
          <w:t xml:space="preserve"> </w:t>
        </w:r>
        <w:r w:rsidRPr="00A925EE">
          <w:rPr>
            <w:rStyle w:val="Hyperlink"/>
            <w:noProof/>
          </w:rPr>
          <w:t>Exceptions.</w:t>
        </w:r>
      </w:hyperlink>
    </w:p>
    <w:p w:rsidR="000C0F7D" w:rsidRDefault="000C0F7D">
      <w:pPr>
        <w:pStyle w:val="TOC3"/>
        <w:tabs>
          <w:tab w:val="right" w:leader="dot" w:pos="10250"/>
        </w:tabs>
        <w:rPr>
          <w:rFonts w:asciiTheme="minorHAnsi" w:eastAsiaTheme="minorEastAsia" w:hAnsiTheme="minorHAnsi" w:cstheme="minorBidi"/>
          <w:noProof/>
          <w:sz w:val="22"/>
          <w:szCs w:val="22"/>
        </w:rPr>
      </w:pPr>
      <w:hyperlink w:anchor="_Toc45095907" w:history="1">
        <w:r w:rsidRPr="00A925EE">
          <w:rPr>
            <w:rStyle w:val="Hyperlink"/>
            <w:noProof/>
          </w:rPr>
          <w:t>217.7404</w:t>
        </w:r>
        <w:r w:rsidRPr="00A925EE">
          <w:rPr>
            <w:rStyle w:val="Hyperlink"/>
            <w:noProof/>
            <w:spacing w:val="59"/>
          </w:rPr>
          <w:t xml:space="preserve"> </w:t>
        </w:r>
        <w:r w:rsidRPr="00A925EE">
          <w:rPr>
            <w:rStyle w:val="Hyperlink"/>
            <w:noProof/>
          </w:rPr>
          <w:t>Limitations.</w:t>
        </w:r>
      </w:hyperlink>
    </w:p>
    <w:p w:rsidR="000C0F7D" w:rsidRDefault="000C0F7D">
      <w:pPr>
        <w:pStyle w:val="TOC4"/>
        <w:tabs>
          <w:tab w:val="right" w:leader="dot" w:pos="10250"/>
        </w:tabs>
        <w:rPr>
          <w:rFonts w:asciiTheme="minorHAnsi" w:hAnsiTheme="minorHAnsi" w:cstheme="minorBidi"/>
          <w:noProof/>
          <w:sz w:val="22"/>
          <w:szCs w:val="22"/>
        </w:rPr>
      </w:pPr>
      <w:hyperlink w:anchor="_Toc45095908" w:history="1">
        <w:r w:rsidRPr="00A925EE">
          <w:rPr>
            <w:rStyle w:val="Hyperlink"/>
            <w:noProof/>
          </w:rPr>
          <w:t>217.7404-1</w:t>
        </w:r>
        <w:r w:rsidRPr="00A925EE">
          <w:rPr>
            <w:rStyle w:val="Hyperlink"/>
            <w:noProof/>
            <w:spacing w:val="59"/>
          </w:rPr>
          <w:t xml:space="preserve"> </w:t>
        </w:r>
        <w:r w:rsidRPr="00A925EE">
          <w:rPr>
            <w:rStyle w:val="Hyperlink"/>
            <w:noProof/>
          </w:rPr>
          <w:t>Authorization.</w:t>
        </w:r>
      </w:hyperlink>
    </w:p>
    <w:p w:rsidR="000C0F7D" w:rsidRDefault="000C0F7D">
      <w:pPr>
        <w:pStyle w:val="TOC3"/>
        <w:tabs>
          <w:tab w:val="right" w:leader="dot" w:pos="10250"/>
        </w:tabs>
        <w:rPr>
          <w:rFonts w:asciiTheme="minorHAnsi" w:eastAsiaTheme="minorEastAsia" w:hAnsiTheme="minorHAnsi" w:cstheme="minorBidi"/>
          <w:noProof/>
          <w:sz w:val="22"/>
          <w:szCs w:val="22"/>
        </w:rPr>
      </w:pPr>
      <w:hyperlink w:anchor="_Toc45095909" w:history="1">
        <w:r w:rsidRPr="00A925EE">
          <w:rPr>
            <w:rStyle w:val="Hyperlink"/>
            <w:noProof/>
          </w:rPr>
          <w:t>217.7405 Plans and reports.</w:t>
        </w:r>
      </w:hyperlink>
    </w:p>
    <w:p w:rsidR="000C0F7D" w:rsidRDefault="000C0F7D">
      <w:pPr>
        <w:pStyle w:val="TOC2"/>
        <w:tabs>
          <w:tab w:val="right" w:leader="dot" w:pos="10250"/>
        </w:tabs>
        <w:rPr>
          <w:rFonts w:asciiTheme="minorHAnsi" w:eastAsiaTheme="minorEastAsia" w:hAnsiTheme="minorHAnsi" w:cstheme="minorBidi"/>
          <w:noProof/>
          <w:sz w:val="22"/>
          <w:szCs w:val="22"/>
        </w:rPr>
      </w:pPr>
      <w:hyperlink w:anchor="_Toc45095910" w:history="1">
        <w:r w:rsidRPr="00A925EE">
          <w:rPr>
            <w:rStyle w:val="Hyperlink"/>
            <w:noProof/>
          </w:rPr>
          <w:t>SUBPART 17.91 — PRODUCT LOAN AGREEMENTS</w:t>
        </w:r>
      </w:hyperlink>
    </w:p>
    <w:p w:rsidR="000C0F7D" w:rsidRDefault="000C0F7D">
      <w:pPr>
        <w:pStyle w:val="TOC3"/>
        <w:tabs>
          <w:tab w:val="right" w:leader="dot" w:pos="10250"/>
        </w:tabs>
        <w:rPr>
          <w:rFonts w:asciiTheme="minorHAnsi" w:eastAsiaTheme="minorEastAsia" w:hAnsiTheme="minorHAnsi" w:cstheme="minorBidi"/>
          <w:noProof/>
          <w:sz w:val="22"/>
          <w:szCs w:val="22"/>
        </w:rPr>
      </w:pPr>
      <w:hyperlink w:anchor="_Toc45095911" w:history="1">
        <w:r w:rsidRPr="00A925EE">
          <w:rPr>
            <w:rStyle w:val="Hyperlink"/>
            <w:noProof/>
          </w:rPr>
          <w:t>17.9100</w:t>
        </w:r>
        <w:r w:rsidRPr="00A925EE">
          <w:rPr>
            <w:rStyle w:val="Hyperlink"/>
            <w:noProof/>
            <w:spacing w:val="59"/>
          </w:rPr>
          <w:t xml:space="preserve"> </w:t>
        </w:r>
        <w:r w:rsidRPr="00A925EE">
          <w:rPr>
            <w:rStyle w:val="Hyperlink"/>
            <w:noProof/>
          </w:rPr>
          <w:t>General.</w:t>
        </w:r>
      </w:hyperlink>
    </w:p>
    <w:p w:rsidR="000C0F7D" w:rsidRDefault="000C0F7D">
      <w:pPr>
        <w:pStyle w:val="TOC3"/>
        <w:tabs>
          <w:tab w:val="right" w:leader="dot" w:pos="10250"/>
        </w:tabs>
        <w:rPr>
          <w:rFonts w:asciiTheme="minorHAnsi" w:eastAsiaTheme="minorEastAsia" w:hAnsiTheme="minorHAnsi" w:cstheme="minorBidi"/>
          <w:noProof/>
          <w:sz w:val="22"/>
          <w:szCs w:val="22"/>
        </w:rPr>
      </w:pPr>
      <w:hyperlink w:anchor="_Toc45095912" w:history="1">
        <w:r w:rsidRPr="00A925EE">
          <w:rPr>
            <w:rStyle w:val="Hyperlink"/>
            <w:noProof/>
          </w:rPr>
          <w:t>17.9101</w:t>
        </w:r>
        <w:r w:rsidRPr="00A925EE">
          <w:rPr>
            <w:rStyle w:val="Hyperlink"/>
            <w:noProof/>
            <w:spacing w:val="59"/>
          </w:rPr>
          <w:t xml:space="preserve"> </w:t>
        </w:r>
        <w:r w:rsidRPr="00A925EE">
          <w:rPr>
            <w:rStyle w:val="Hyperlink"/>
            <w:noProof/>
          </w:rPr>
          <w:t>Policy.</w:t>
        </w:r>
      </w:hyperlink>
    </w:p>
    <w:p w:rsidR="00632353" w:rsidRDefault="000C0F7D" w:rsidP="00632353">
      <w:pPr>
        <w:pStyle w:val="Heading3"/>
      </w:pPr>
      <w:r>
        <w:rPr>
          <w:color w:val="365F91"/>
          <w:sz w:val="28"/>
          <w:szCs w:val="28"/>
        </w:rPr>
        <w:fldChar w:fldCharType="end"/>
      </w:r>
    </w:p>
    <w:p w:rsidR="000C0F7D" w:rsidRDefault="00632353" w:rsidP="00632353">
      <w:pPr>
        <w:pStyle w:val="Heading3"/>
      </w:pPr>
      <w:bookmarkStart w:id="0" w:name="17.000_Definitions."/>
      <w:bookmarkStart w:id="1" w:name="_bookmark172"/>
      <w:bookmarkStart w:id="2" w:name="_Toc45095888"/>
      <w:bookmarkEnd w:id="0"/>
      <w:bookmarkEnd w:id="1"/>
      <w:r>
        <w:t>17.000 Definitions.</w:t>
      </w:r>
      <w:bookmarkEnd w:id="2"/>
    </w:p>
    <w:p w:rsidR="000C0F7D" w:rsidRDefault="00632353" w:rsidP="00632353">
      <w:pPr>
        <w:pStyle w:val="PlainText"/>
        <w:ind w:left="460"/>
        <w:rPr>
          <w:rFonts w:ascii="Times New Roman" w:hAnsi="Times New Roman" w:cs="Times New Roman"/>
          <w:sz w:val="24"/>
          <w:szCs w:val="24"/>
        </w:rPr>
      </w:pPr>
      <w:r w:rsidRPr="00B87F0F">
        <w:rPr>
          <w:rFonts w:ascii="Times New Roman" w:hAnsi="Times New Roman" w:cs="Times New Roman"/>
          <w:i/>
          <w:sz w:val="24"/>
          <w:szCs w:val="24"/>
        </w:rPr>
        <w:lastRenderedPageBreak/>
        <w:t xml:space="preserve">Bridge Contract </w:t>
      </w:r>
      <w:r w:rsidRPr="00B87F0F">
        <w:rPr>
          <w:rFonts w:ascii="Times New Roman" w:hAnsi="Times New Roman" w:cs="Times New Roman"/>
          <w:sz w:val="24"/>
          <w:szCs w:val="24"/>
        </w:rPr>
        <w:t>is a short-term sole-source contract awarded generally to the incumbent contractor to continue critical services when a follow-on competitive contract action could not</w:t>
      </w:r>
      <w:r w:rsidRPr="00B87F0F">
        <w:rPr>
          <w:rFonts w:ascii="Times New Roman" w:hAnsi="Times New Roman" w:cs="Times New Roman"/>
          <w:spacing w:val="-21"/>
          <w:sz w:val="24"/>
          <w:szCs w:val="24"/>
        </w:rPr>
        <w:t xml:space="preserve"> </w:t>
      </w:r>
      <w:r w:rsidRPr="00B87F0F">
        <w:rPr>
          <w:rFonts w:ascii="Times New Roman" w:hAnsi="Times New Roman" w:cs="Times New Roman"/>
          <w:sz w:val="24"/>
          <w:szCs w:val="24"/>
        </w:rPr>
        <w:t xml:space="preserve">be completed in a timely manner.  It provides needed services until the program and contracting offices can establish a new competitive contract.  The SPE Bridge Decision Briefing, located in </w:t>
      </w:r>
      <w:hyperlink r:id="rId11" w:history="1"/>
      <w:hyperlink r:id="rId12" w:history="1">
        <w:r w:rsidRPr="007364E0">
          <w:rPr>
            <w:rStyle w:val="Hyperlink"/>
            <w:rFonts w:ascii="Times New Roman" w:hAnsi="Times New Roman" w:cs="Times New Roman"/>
            <w:sz w:val="24"/>
            <w:szCs w:val="24"/>
          </w:rPr>
          <w:t>DARS PGI</w:t>
        </w:r>
      </w:hyperlink>
      <w:r w:rsidRPr="00B87F0F">
        <w:rPr>
          <w:rFonts w:ascii="Times New Roman" w:hAnsi="Times New Roman" w:cs="Times New Roman"/>
          <w:color w:val="0000FF"/>
          <w:sz w:val="24"/>
          <w:szCs w:val="24"/>
          <w:u w:val="single" w:color="0000FF"/>
        </w:rPr>
        <w:t xml:space="preserve"> </w:t>
      </w:r>
      <w:r w:rsidRPr="007364E0">
        <w:rPr>
          <w:rFonts w:ascii="Times New Roman" w:hAnsi="Times New Roman" w:cs="Times New Roman"/>
          <w:sz w:val="24"/>
          <w:szCs w:val="24"/>
        </w:rPr>
        <w:t xml:space="preserve">17.000, </w:t>
      </w:r>
      <w:r w:rsidRPr="00B87F0F">
        <w:rPr>
          <w:rFonts w:ascii="Times New Roman" w:hAnsi="Times New Roman" w:cs="Times New Roman"/>
          <w:sz w:val="24"/>
          <w:szCs w:val="24"/>
        </w:rPr>
        <w:t xml:space="preserve">is not required for non-DISA contract actions nor is it required for bridge contracts made necessary by GAO or Agency-level protests.  Although a bridge may not require a decision brief, it still must be added onto the Bridge Chart at: </w:t>
      </w:r>
      <w:hyperlink r:id="rId13" w:history="1">
        <w:r w:rsidRPr="00D53111">
          <w:rPr>
            <w:rStyle w:val="Hyperlink"/>
            <w:rFonts w:ascii="Times New Roman" w:hAnsi="Times New Roman" w:cs="Times New Roman"/>
            <w:sz w:val="24"/>
            <w:szCs w:val="24"/>
          </w:rPr>
          <w:t>https://disa.deps.mil/org/PL2/Lists/BridgeChart/AllItems.aspx</w:t>
        </w:r>
      </w:hyperlink>
      <w:r w:rsidRPr="00B87F0F">
        <w:rPr>
          <w:rFonts w:ascii="Times New Roman" w:hAnsi="Times New Roman" w:cs="Times New Roman"/>
          <w:sz w:val="24"/>
          <w:szCs w:val="24"/>
        </w:rPr>
        <w:t>.</w:t>
      </w:r>
    </w:p>
    <w:p w:rsidR="00632353" w:rsidRDefault="00632353" w:rsidP="00632353">
      <w:pPr>
        <w:pStyle w:val="Heading2"/>
      </w:pPr>
    </w:p>
    <w:p w:rsidR="000C0F7D" w:rsidRDefault="00632353" w:rsidP="00632353">
      <w:pPr>
        <w:pStyle w:val="Heading2"/>
      </w:pPr>
      <w:bookmarkStart w:id="3" w:name="SUBPART_17.1_--_MULTI-YEAR_CONTRACTS"/>
      <w:bookmarkStart w:id="4" w:name="_bookmark173"/>
      <w:bookmarkStart w:id="5" w:name="_Toc45095889"/>
      <w:bookmarkEnd w:id="3"/>
      <w:bookmarkEnd w:id="4"/>
      <w:r>
        <w:t>SUBPART 17.1 -- MULTI-YEAR CONTRACTS</w:t>
      </w:r>
      <w:bookmarkEnd w:id="5"/>
    </w:p>
    <w:p w:rsidR="000C0F7D" w:rsidRDefault="00632353" w:rsidP="00632353">
      <w:pPr>
        <w:pStyle w:val="Heading3"/>
      </w:pPr>
      <w:bookmarkStart w:id="6" w:name="17.104__General."/>
      <w:bookmarkStart w:id="7" w:name="_bookmark174"/>
      <w:bookmarkStart w:id="8" w:name="_Toc45095890"/>
      <w:bookmarkEnd w:id="6"/>
      <w:bookmarkEnd w:id="7"/>
      <w:r>
        <w:t>17.104</w:t>
      </w:r>
      <w:r>
        <w:rPr>
          <w:spacing w:val="59"/>
        </w:rPr>
        <w:t xml:space="preserve"> </w:t>
      </w:r>
      <w:r>
        <w:t>General.</w:t>
      </w:r>
      <w:bookmarkEnd w:id="8"/>
    </w:p>
    <w:p w:rsidR="000C0F7D" w:rsidRDefault="00632353" w:rsidP="00632353">
      <w:pPr>
        <w:pStyle w:val="List1"/>
      </w:pPr>
      <w:r>
        <w:t>(b) For multi-year contracts, the HCA may authorize modification of the requirements of this subpart and the clause at FAR 52.217-2, Cancellation Under Multi-year Contracts.</w:t>
      </w:r>
    </w:p>
    <w:p w:rsidR="000C0F7D" w:rsidRDefault="00632353" w:rsidP="00632353">
      <w:pPr>
        <w:pStyle w:val="Heading3"/>
      </w:pPr>
      <w:bookmarkStart w:id="9" w:name="17.106__Procedures."/>
      <w:bookmarkStart w:id="10" w:name="_bookmark175"/>
      <w:bookmarkStart w:id="11" w:name="_Toc45095891"/>
      <w:bookmarkEnd w:id="9"/>
      <w:bookmarkEnd w:id="10"/>
      <w:r>
        <w:t>17.106</w:t>
      </w:r>
      <w:r>
        <w:rPr>
          <w:spacing w:val="59"/>
        </w:rPr>
        <w:t xml:space="preserve"> </w:t>
      </w:r>
      <w:r>
        <w:t>Procedures.</w:t>
      </w:r>
      <w:bookmarkEnd w:id="11"/>
    </w:p>
    <w:p w:rsidR="000C0F7D" w:rsidRDefault="00632353" w:rsidP="00632353">
      <w:pPr>
        <w:pStyle w:val="Heading4"/>
      </w:pPr>
      <w:bookmarkStart w:id="12" w:name="17.106-3__Special_procedures_applicable_"/>
      <w:bookmarkStart w:id="13" w:name="_bookmark176"/>
      <w:bookmarkStart w:id="14" w:name="_Toc45095892"/>
      <w:bookmarkEnd w:id="12"/>
      <w:bookmarkEnd w:id="13"/>
      <w:r>
        <w:t>17.106-3 Special procedures applicable to DoD, NASA, and the Coast Guard.</w:t>
      </w:r>
      <w:bookmarkEnd w:id="14"/>
    </w:p>
    <w:p w:rsidR="000C0F7D" w:rsidRDefault="00632353" w:rsidP="00632353">
      <w:pPr>
        <w:pStyle w:val="List1"/>
      </w:pPr>
      <w:r>
        <w:t>(e) The authority to authorize recurring costs in cancellation ceilings for multi-year contracts is delegated to the HCA.</w:t>
      </w:r>
    </w:p>
    <w:p w:rsidR="000C0F7D" w:rsidRDefault="00632353" w:rsidP="00632353">
      <w:pPr>
        <w:pStyle w:val="Heading2"/>
      </w:pPr>
      <w:bookmarkStart w:id="15" w:name="SUBPART_17.2_—_OPTIONS"/>
      <w:bookmarkStart w:id="16" w:name="_bookmark177"/>
      <w:bookmarkStart w:id="17" w:name="_Toc45095893"/>
      <w:bookmarkEnd w:id="15"/>
      <w:bookmarkEnd w:id="16"/>
      <w:r>
        <w:t>SUBPART 17.2 — OPTIONS</w:t>
      </w:r>
      <w:bookmarkEnd w:id="17"/>
    </w:p>
    <w:p w:rsidR="000C0F7D" w:rsidRDefault="00632353" w:rsidP="00632353">
      <w:pPr>
        <w:pStyle w:val="Heading3"/>
      </w:pPr>
      <w:bookmarkStart w:id="18" w:name="17.202__Use_of_options."/>
      <w:bookmarkStart w:id="19" w:name="_bookmark178"/>
      <w:bookmarkStart w:id="20" w:name="_Toc45095894"/>
      <w:bookmarkEnd w:id="18"/>
      <w:bookmarkEnd w:id="19"/>
      <w:r>
        <w:t>17.202 Use of options.</w:t>
      </w:r>
      <w:bookmarkEnd w:id="20"/>
    </w:p>
    <w:p w:rsidR="000C0F7D" w:rsidRDefault="00632353" w:rsidP="00632353">
      <w:pPr>
        <w:pStyle w:val="Heading4"/>
      </w:pPr>
      <w:bookmarkStart w:id="21" w:name="17.202-90__Use_of_surge_options."/>
      <w:bookmarkStart w:id="22" w:name="_bookmark179"/>
      <w:bookmarkStart w:id="23" w:name="_Toc45095895"/>
      <w:bookmarkEnd w:id="21"/>
      <w:bookmarkEnd w:id="22"/>
      <w:r>
        <w:t>17.202-90 Use of surge options.</w:t>
      </w:r>
      <w:bookmarkEnd w:id="23"/>
    </w:p>
    <w:p w:rsidR="000C0F7D" w:rsidRDefault="00632353" w:rsidP="00632353">
      <w:pPr>
        <w:pStyle w:val="List1"/>
      </w:pPr>
      <w:r>
        <w:rPr>
          <w:spacing w:val="-5"/>
          <w:w w:val="99"/>
          <w:szCs w:val="24"/>
        </w:rPr>
        <w:t>(a)</w:t>
      </w:r>
      <w:r>
        <w:rPr>
          <w:spacing w:val="-5"/>
          <w:w w:val="99"/>
          <w:szCs w:val="24"/>
        </w:rPr>
        <w:tab/>
      </w:r>
      <w:r w:rsidRPr="00456ABA">
        <w:t>Definition. Optional CLIN that can be exercised unilaterally for an increase in quantity of support for the task areas previously defined in the</w:t>
      </w:r>
      <w:r w:rsidRPr="00456ABA">
        <w:rPr>
          <w:spacing w:val="-6"/>
        </w:rPr>
        <w:t xml:space="preserve"> </w:t>
      </w:r>
      <w:r w:rsidRPr="00456ABA">
        <w:t>PWS/SOO/SOW.</w:t>
      </w:r>
    </w:p>
    <w:p w:rsidR="000C0F7D" w:rsidRDefault="00632353" w:rsidP="00632353">
      <w:pPr>
        <w:pStyle w:val="List1"/>
      </w:pPr>
      <w:r>
        <w:rPr>
          <w:spacing w:val="-5"/>
          <w:w w:val="99"/>
          <w:szCs w:val="24"/>
        </w:rPr>
        <w:t>(b)</w:t>
      </w:r>
      <w:r>
        <w:rPr>
          <w:spacing w:val="-5"/>
          <w:w w:val="99"/>
          <w:szCs w:val="24"/>
        </w:rPr>
        <w:tab/>
      </w:r>
      <w:r w:rsidRPr="00456ABA">
        <w:t>General.</w:t>
      </w:r>
    </w:p>
    <w:p w:rsidR="00632353" w:rsidRPr="00456ABA" w:rsidRDefault="00632353" w:rsidP="00632353">
      <w:pPr>
        <w:pStyle w:val="List2"/>
      </w:pPr>
      <w:r>
        <w:rPr>
          <w:spacing w:val="-4"/>
          <w:w w:val="99"/>
          <w:sz w:val="24"/>
          <w:szCs w:val="24"/>
        </w:rPr>
        <w:t>(1)</w:t>
      </w:r>
      <w:r>
        <w:rPr>
          <w:spacing w:val="-4"/>
          <w:w w:val="99"/>
          <w:sz w:val="24"/>
          <w:szCs w:val="24"/>
        </w:rPr>
        <w:tab/>
      </w:r>
      <w:r w:rsidRPr="00456ABA">
        <w:rPr>
          <w:sz w:val="24"/>
        </w:rPr>
        <w:t>When the surge option amount is equal to or greater than 50% of the total value of the non- surge CLINs, the contracting officer shall prepare a determination for the surge amount prior</w:t>
      </w:r>
      <w:r w:rsidRPr="00456ABA">
        <w:rPr>
          <w:spacing w:val="-21"/>
          <w:sz w:val="24"/>
        </w:rPr>
        <w:t xml:space="preserve"> </w:t>
      </w:r>
      <w:r w:rsidRPr="00456ABA">
        <w:rPr>
          <w:sz w:val="24"/>
        </w:rPr>
        <w:t>to</w:t>
      </w:r>
    </w:p>
    <w:p w:rsidR="000C0F7D" w:rsidRDefault="00632353" w:rsidP="00632353">
      <w:pPr>
        <w:rPr>
          <w:sz w:val="24"/>
        </w:rPr>
      </w:pPr>
      <w:r>
        <w:br w:type="page"/>
      </w:r>
      <w:r>
        <w:lastRenderedPageBreak/>
        <w:t>releasing the RFP or RFQ. The determination can be added to the Determination for Use of Options template.</w:t>
      </w:r>
    </w:p>
    <w:p w:rsidR="00632353" w:rsidRPr="00456ABA" w:rsidRDefault="00632353" w:rsidP="00632353">
      <w:pPr>
        <w:pStyle w:val="List3"/>
      </w:pPr>
      <w:r>
        <w:rPr>
          <w:spacing w:val="-3"/>
          <w:w w:val="99"/>
          <w:sz w:val="24"/>
          <w:szCs w:val="24"/>
        </w:rPr>
        <w:t>(i)</w:t>
      </w:r>
      <w:r>
        <w:rPr>
          <w:spacing w:val="-3"/>
          <w:w w:val="99"/>
          <w:sz w:val="24"/>
          <w:szCs w:val="24"/>
        </w:rPr>
        <w:tab/>
      </w:r>
      <w:r w:rsidRPr="00456ABA">
        <w:rPr>
          <w:sz w:val="24"/>
        </w:rPr>
        <w:t>Approval up to 50% is the contracting</w:t>
      </w:r>
      <w:r w:rsidRPr="00456ABA">
        <w:rPr>
          <w:spacing w:val="-6"/>
          <w:sz w:val="24"/>
        </w:rPr>
        <w:t xml:space="preserve"> </w:t>
      </w:r>
      <w:r w:rsidRPr="00456ABA">
        <w:rPr>
          <w:sz w:val="24"/>
        </w:rPr>
        <w:t>officer.</w:t>
      </w:r>
    </w:p>
    <w:p w:rsidR="000C0F7D" w:rsidRDefault="00632353" w:rsidP="00632353">
      <w:pPr>
        <w:pStyle w:val="List3"/>
      </w:pPr>
      <w:r>
        <w:rPr>
          <w:spacing w:val="-3"/>
          <w:w w:val="99"/>
          <w:sz w:val="24"/>
          <w:szCs w:val="24"/>
        </w:rPr>
        <w:t>(ii)</w:t>
      </w:r>
      <w:r>
        <w:rPr>
          <w:spacing w:val="-3"/>
          <w:w w:val="99"/>
          <w:sz w:val="24"/>
          <w:szCs w:val="24"/>
        </w:rPr>
        <w:tab/>
      </w:r>
      <w:r w:rsidRPr="00456ABA">
        <w:rPr>
          <w:sz w:val="24"/>
        </w:rPr>
        <w:t>Approval over 50% is the</w:t>
      </w:r>
      <w:r w:rsidRPr="00456ABA">
        <w:rPr>
          <w:spacing w:val="-4"/>
          <w:sz w:val="24"/>
        </w:rPr>
        <w:t xml:space="preserve"> </w:t>
      </w:r>
      <w:r w:rsidRPr="00456ABA">
        <w:rPr>
          <w:sz w:val="24"/>
        </w:rPr>
        <w:t>CoCO.</w:t>
      </w:r>
    </w:p>
    <w:p w:rsidR="000C0F7D" w:rsidRDefault="00632353" w:rsidP="00632353">
      <w:pPr>
        <w:pStyle w:val="List2"/>
      </w:pPr>
      <w:r w:rsidRPr="007F0231">
        <w:rPr>
          <w:spacing w:val="-4"/>
          <w:w w:val="99"/>
          <w:sz w:val="24"/>
          <w:szCs w:val="24"/>
        </w:rPr>
        <w:t>(2)</w:t>
      </w:r>
      <w:r w:rsidRPr="007F0231">
        <w:rPr>
          <w:spacing w:val="-4"/>
          <w:w w:val="99"/>
          <w:sz w:val="24"/>
          <w:szCs w:val="24"/>
        </w:rPr>
        <w:tab/>
      </w:r>
      <w:r w:rsidRPr="00456ABA">
        <w:rPr>
          <w:sz w:val="24"/>
        </w:rPr>
        <w:t>The surge CLIN shall be numbered as 9999 with a contract type of cost reimbursement not- to-exceed. The following language may be used as the description for CLIN</w:t>
      </w:r>
      <w:r w:rsidRPr="00456ABA">
        <w:rPr>
          <w:spacing w:val="-14"/>
          <w:sz w:val="24"/>
        </w:rPr>
        <w:t xml:space="preserve"> </w:t>
      </w:r>
      <w:r w:rsidRPr="00456ABA">
        <w:rPr>
          <w:sz w:val="24"/>
        </w:rPr>
        <w:t>9999:</w:t>
      </w:r>
    </w:p>
    <w:p w:rsidR="000C0F7D" w:rsidRDefault="00632353" w:rsidP="00632353">
      <w:pPr>
        <w:pStyle w:val="BodyText"/>
        <w:ind w:left="460" w:right="478"/>
      </w:pPr>
      <w:r>
        <w:t>“Optional surge support in accordance with DITCO Special Contract Requirement H</w:t>
      </w:r>
      <w:r w:rsidRPr="00CB5F47">
        <w:t>6 – OPTION TO EXERCISE SURGE SUPPORT.</w:t>
      </w:r>
      <w:r w:rsidRPr="00351C6F">
        <w:t>”</w:t>
      </w:r>
    </w:p>
    <w:p w:rsidR="000C0F7D" w:rsidRDefault="00632353" w:rsidP="00632353">
      <w:pPr>
        <w:pStyle w:val="List2"/>
      </w:pPr>
      <w:r>
        <w:rPr>
          <w:spacing w:val="-4"/>
          <w:w w:val="99"/>
          <w:sz w:val="24"/>
          <w:szCs w:val="24"/>
        </w:rPr>
        <w:t>(3)</w:t>
      </w:r>
      <w:r>
        <w:rPr>
          <w:spacing w:val="-4"/>
          <w:w w:val="99"/>
          <w:sz w:val="24"/>
          <w:szCs w:val="24"/>
        </w:rPr>
        <w:tab/>
      </w:r>
      <w:r w:rsidRPr="00456ABA">
        <w:rPr>
          <w:sz w:val="24"/>
        </w:rPr>
        <w:t>The surge option should be exercised unilaterally to the maximum extent possible;</w:t>
      </w:r>
      <w:r w:rsidRPr="00456ABA">
        <w:rPr>
          <w:spacing w:val="-19"/>
          <w:sz w:val="24"/>
        </w:rPr>
        <w:t xml:space="preserve"> </w:t>
      </w:r>
      <w:r w:rsidRPr="00456ABA">
        <w:rPr>
          <w:sz w:val="24"/>
        </w:rPr>
        <w:t>however, can be exercised bilaterally if negotiations are</w:t>
      </w:r>
      <w:r w:rsidRPr="00456ABA">
        <w:rPr>
          <w:spacing w:val="-7"/>
          <w:sz w:val="24"/>
        </w:rPr>
        <w:t xml:space="preserve"> </w:t>
      </w:r>
      <w:r w:rsidRPr="00456ABA">
        <w:rPr>
          <w:sz w:val="24"/>
        </w:rPr>
        <w:t>required.</w:t>
      </w:r>
    </w:p>
    <w:p w:rsidR="00632353" w:rsidRPr="00456ABA" w:rsidRDefault="00632353" w:rsidP="00632353">
      <w:pPr>
        <w:pStyle w:val="List2"/>
      </w:pPr>
      <w:r>
        <w:rPr>
          <w:spacing w:val="-4"/>
          <w:w w:val="99"/>
          <w:sz w:val="24"/>
          <w:szCs w:val="24"/>
        </w:rPr>
        <w:t>(4)</w:t>
      </w:r>
      <w:r>
        <w:rPr>
          <w:spacing w:val="-4"/>
          <w:w w:val="99"/>
          <w:sz w:val="24"/>
          <w:szCs w:val="24"/>
        </w:rPr>
        <w:tab/>
      </w:r>
      <w:r w:rsidRPr="00456ABA">
        <w:rPr>
          <w:sz w:val="24"/>
        </w:rPr>
        <w:t>The amount of any new CLIN or amount added to an existing CLIN that implements surge will be equal to the decrement of the not-to-exceed amount of CLIN 9999. Description for the surge CLIN should state “Surge of Task Area # with a period of performance</w:t>
      </w:r>
      <w:r w:rsidRPr="00456ABA">
        <w:rPr>
          <w:spacing w:val="-13"/>
          <w:sz w:val="24"/>
        </w:rPr>
        <w:t xml:space="preserve"> </w:t>
      </w:r>
      <w:r w:rsidRPr="00456ABA">
        <w:rPr>
          <w:sz w:val="24"/>
        </w:rPr>
        <w:t>from</w:t>
      </w:r>
    </w:p>
    <w:p w:rsidR="000C0F7D" w:rsidRDefault="00632353" w:rsidP="00632353">
      <w:pPr>
        <w:pStyle w:val="BodyText"/>
        <w:tabs>
          <w:tab w:val="left" w:pos="1419"/>
          <w:tab w:val="left" w:pos="2687"/>
        </w:tabs>
        <w:ind w:left="460"/>
      </w:pPr>
      <w:r>
        <w:rPr>
          <w:u w:val="single"/>
        </w:rPr>
        <w:t xml:space="preserve"> </w:t>
      </w:r>
      <w:r>
        <w:rPr>
          <w:u w:val="single"/>
        </w:rPr>
        <w:tab/>
      </w:r>
      <w:r>
        <w:t xml:space="preserve"> to</w:t>
      </w:r>
      <w:r>
        <w:rPr>
          <w:u w:val="single"/>
        </w:rPr>
        <w:t xml:space="preserve"> </w:t>
      </w:r>
      <w:r>
        <w:rPr>
          <w:u w:val="single"/>
        </w:rPr>
        <w:tab/>
      </w:r>
      <w:r>
        <w:t>.</w:t>
      </w:r>
    </w:p>
    <w:p w:rsidR="000C0F7D" w:rsidRDefault="00632353" w:rsidP="00632353">
      <w:pPr>
        <w:pStyle w:val="Heading3"/>
      </w:pPr>
      <w:bookmarkStart w:id="24" w:name="17.206__Evaluation."/>
      <w:bookmarkStart w:id="25" w:name="_bookmark180"/>
      <w:bookmarkStart w:id="26" w:name="_Toc45095896"/>
      <w:bookmarkEnd w:id="24"/>
      <w:bookmarkEnd w:id="25"/>
      <w:r>
        <w:t>17.206</w:t>
      </w:r>
      <w:r>
        <w:rPr>
          <w:spacing w:val="59"/>
        </w:rPr>
        <w:t xml:space="preserve"> </w:t>
      </w:r>
      <w:r>
        <w:t>Evaluation.</w:t>
      </w:r>
      <w:bookmarkEnd w:id="26"/>
    </w:p>
    <w:p w:rsidR="00632353" w:rsidRDefault="00632353" w:rsidP="00632353">
      <w:pPr>
        <w:pStyle w:val="List1"/>
      </w:pPr>
      <w:r>
        <w:t>(S-90) The price for exercising 52.217-8 will be evaluated as part of the total price of a</w:t>
      </w:r>
      <w:r>
        <w:rPr>
          <w:spacing w:val="-23"/>
        </w:rPr>
        <w:t xml:space="preserve"> </w:t>
      </w:r>
      <w:r>
        <w:t>proposal. Each solicitation will include the following paragraph in Section M, RFP/RFQ Letter, or 52.212- 2(b) Evaluation – Commercial Items: The Government will evaluate offers for award purposes by adding the total price for all options to the total price for the basic requirement. To account for the option period(s) possible under 52.217-8 (maximum of six months), Option to Extend Services, the Government will evaluate the option to extend services (FAR Clause 52.217-8) by requiring the offeror to price an additional 6 months of the offeror's final option period price to the offeror's total price. This amount will be the total evaluated price. The Government may choose to exercise the Option to Extend Services at the end of any performance period (base or option periods). However, the end of the Option to Extend Services period represents the end of contract performance, and the Government shall not exercise any other option periods after</w:t>
      </w:r>
      <w:r>
        <w:rPr>
          <w:spacing w:val="-16"/>
        </w:rPr>
        <w:t xml:space="preserve"> </w:t>
      </w:r>
      <w:r>
        <w:t>the</w:t>
      </w:r>
    </w:p>
    <w:p w:rsidR="000C0F7D" w:rsidRDefault="00632353" w:rsidP="00632353">
      <w:r>
        <w:br w:type="page"/>
      </w:r>
      <w:r>
        <w:lastRenderedPageBreak/>
        <w:t>Option to Extend Services has been exercised. The price for exercising 52.217-8 shall not be included in the Independent Government Cost Estimate.</w:t>
      </w:r>
    </w:p>
    <w:p w:rsidR="000C0F7D" w:rsidRDefault="00632353" w:rsidP="00632353">
      <w:pPr>
        <w:pStyle w:val="Heading3"/>
      </w:pPr>
      <w:bookmarkStart w:id="27" w:name="17.207__Exercise_of_options."/>
      <w:bookmarkStart w:id="28" w:name="_bookmark181"/>
      <w:bookmarkStart w:id="29" w:name="_Toc45095897"/>
      <w:bookmarkEnd w:id="27"/>
      <w:bookmarkEnd w:id="28"/>
      <w:r>
        <w:t>17.207 Exercise of options.</w:t>
      </w:r>
      <w:bookmarkEnd w:id="29"/>
    </w:p>
    <w:p w:rsidR="000C0F7D" w:rsidRDefault="00632353" w:rsidP="00632353">
      <w:pPr>
        <w:pStyle w:val="List1"/>
      </w:pPr>
      <w:r>
        <w:t>(S-90) The request to exercise an option shall be marked and submitted as follows:</w:t>
      </w:r>
    </w:p>
    <w:p w:rsidR="000C0F7D" w:rsidRDefault="00632353" w:rsidP="00632353">
      <w:pPr>
        <w:pStyle w:val="List2"/>
      </w:pPr>
      <w:r>
        <w:rPr>
          <w:spacing w:val="-6"/>
          <w:w w:val="99"/>
          <w:sz w:val="24"/>
          <w:szCs w:val="24"/>
        </w:rPr>
        <w:t>(1)</w:t>
      </w:r>
      <w:r>
        <w:rPr>
          <w:spacing w:val="-6"/>
          <w:w w:val="99"/>
          <w:sz w:val="24"/>
          <w:szCs w:val="24"/>
        </w:rPr>
        <w:tab/>
      </w:r>
      <w:r w:rsidRPr="00456ABA">
        <w:rPr>
          <w:sz w:val="24"/>
        </w:rPr>
        <w:t>Required markings on all pages, centered, top/bottom: "SOURCE SELECTION INFORMATION See FAR 2.101 and</w:t>
      </w:r>
      <w:r w:rsidRPr="00456ABA">
        <w:rPr>
          <w:spacing w:val="-1"/>
          <w:sz w:val="24"/>
        </w:rPr>
        <w:t xml:space="preserve"> </w:t>
      </w:r>
      <w:r w:rsidRPr="00456ABA">
        <w:rPr>
          <w:sz w:val="24"/>
        </w:rPr>
        <w:t>3.104"</w:t>
      </w:r>
    </w:p>
    <w:p w:rsidR="000C0F7D" w:rsidRDefault="00632353" w:rsidP="00632353">
      <w:pPr>
        <w:pStyle w:val="List2"/>
      </w:pPr>
      <w:r>
        <w:rPr>
          <w:spacing w:val="-6"/>
          <w:w w:val="99"/>
          <w:sz w:val="24"/>
          <w:szCs w:val="24"/>
        </w:rPr>
        <w:t>(2)</w:t>
      </w:r>
      <w:r>
        <w:rPr>
          <w:spacing w:val="-6"/>
          <w:w w:val="99"/>
          <w:sz w:val="24"/>
          <w:szCs w:val="24"/>
        </w:rPr>
        <w:tab/>
      </w:r>
      <w:r w:rsidRPr="00456ABA">
        <w:rPr>
          <w:sz w:val="24"/>
        </w:rPr>
        <w:t>Electronic submission is required using digitally signed/encrypted e-mail. See</w:t>
      </w:r>
      <w:r w:rsidRPr="00456ABA">
        <w:rPr>
          <w:color w:val="0000FF"/>
          <w:sz w:val="24"/>
        </w:rPr>
        <w:t xml:space="preserve"> </w:t>
      </w:r>
      <w:hyperlink r:id="rId14">
        <w:r w:rsidRPr="00456ABA">
          <w:rPr>
            <w:color w:val="0000FF"/>
            <w:sz w:val="24"/>
            <w:u w:val="single" w:color="0000FF"/>
          </w:rPr>
          <w:t>DISAI 630-</w:t>
        </w:r>
      </w:hyperlink>
      <w:hyperlink r:id="rId15">
        <w:r w:rsidRPr="00456ABA">
          <w:rPr>
            <w:color w:val="0000FF"/>
            <w:sz w:val="24"/>
            <w:u w:val="single" w:color="0000FF"/>
          </w:rPr>
          <w:t xml:space="preserve"> 230-30</w:t>
        </w:r>
      </w:hyperlink>
      <w:r w:rsidRPr="00456ABA">
        <w:rPr>
          <w:color w:val="0000FF"/>
          <w:sz w:val="24"/>
        </w:rPr>
        <w:t xml:space="preserve"> </w:t>
      </w:r>
      <w:r w:rsidRPr="00456ABA">
        <w:rPr>
          <w:sz w:val="24"/>
        </w:rPr>
        <w:t>for e-mail security practices for the transmission of sensitive but unclassified information.</w:t>
      </w:r>
    </w:p>
    <w:p w:rsidR="000C0F7D" w:rsidRDefault="00632353" w:rsidP="00632353">
      <w:pPr>
        <w:pStyle w:val="List1"/>
      </w:pPr>
      <w:r>
        <w:t>(S-91)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rsidR="000C0F7D" w:rsidRDefault="00632353" w:rsidP="00632353">
      <w:pPr>
        <w:pStyle w:val="List1"/>
      </w:pPr>
      <w:r w:rsidRPr="000025D0">
        <w:rPr>
          <w:color w:val="000000"/>
          <w:szCs w:val="24"/>
        </w:rPr>
        <w:t xml:space="preserve">(S-92)  The </w:t>
      </w:r>
      <w:r w:rsidRPr="000025D0">
        <w:rPr>
          <w:szCs w:val="24"/>
        </w:rPr>
        <w:t xml:space="preserve">HCA shall approve </w:t>
      </w:r>
      <w:r w:rsidRPr="000025D0">
        <w:rPr>
          <w:color w:val="000000"/>
          <w:szCs w:val="24"/>
        </w:rPr>
        <w:t xml:space="preserve">52.217-8, Option to Extend Services, </w:t>
      </w:r>
      <w:r w:rsidRPr="000025D0">
        <w:rPr>
          <w:szCs w:val="24"/>
        </w:rPr>
        <w:t>requests for DISA mission partners. The HCO shall approve for non-DISA mission partners.</w:t>
      </w:r>
    </w:p>
    <w:p w:rsidR="000C0F7D" w:rsidRDefault="00632353" w:rsidP="00632353">
      <w:pPr>
        <w:pStyle w:val="Heading2"/>
      </w:pPr>
      <w:bookmarkStart w:id="30" w:name="SUBPART_17.5_—_INTERAGENCY_ACQUISITIONS"/>
      <w:bookmarkStart w:id="31" w:name="_bookmark182"/>
      <w:bookmarkStart w:id="32" w:name="_Toc45095898"/>
      <w:bookmarkEnd w:id="30"/>
      <w:bookmarkEnd w:id="31"/>
      <w:r>
        <w:t>SUBPART 17.5 — INTERAGENCY ACQUISITIONS</w:t>
      </w:r>
      <w:bookmarkEnd w:id="32"/>
    </w:p>
    <w:p w:rsidR="000C0F7D" w:rsidRDefault="00632353" w:rsidP="00632353">
      <w:pPr>
        <w:pStyle w:val="Heading3"/>
      </w:pPr>
      <w:bookmarkStart w:id="33" w:name="17.500__Scope_of_subpart."/>
      <w:bookmarkStart w:id="34" w:name="_bookmark183"/>
      <w:bookmarkStart w:id="35" w:name="_Toc45095899"/>
      <w:bookmarkEnd w:id="33"/>
      <w:bookmarkEnd w:id="34"/>
      <w:r>
        <w:t>17.500 Scope of subpart.</w:t>
      </w:r>
      <w:bookmarkEnd w:id="35"/>
    </w:p>
    <w:p w:rsidR="000C0F7D" w:rsidRDefault="00632353" w:rsidP="00632353">
      <w:pPr>
        <w:pStyle w:val="List1"/>
      </w:pPr>
      <w:r>
        <w:t>(a) This subpart prescribes policies and procedures applicable to all interagency acquisitions under any authority, except as provided for in paragraph (c) of this section. Another agency is defined as a non-DoD Federal Agency.</w:t>
      </w:r>
    </w:p>
    <w:p w:rsidR="000C0F7D" w:rsidRDefault="00632353" w:rsidP="00632353">
      <w:pPr>
        <w:pStyle w:val="List1"/>
      </w:pPr>
      <w:r>
        <w:t>(c) This subpart does not apply to:</w:t>
      </w:r>
    </w:p>
    <w:p w:rsidR="000C0F7D" w:rsidRDefault="00632353" w:rsidP="00632353">
      <w:pPr>
        <w:pStyle w:val="List3"/>
      </w:pPr>
      <w:r>
        <w:rPr>
          <w:spacing w:val="-4"/>
          <w:w w:val="99"/>
          <w:sz w:val="24"/>
          <w:szCs w:val="24"/>
        </w:rPr>
        <w:t>(i)</w:t>
      </w:r>
      <w:r>
        <w:rPr>
          <w:spacing w:val="-4"/>
          <w:w w:val="99"/>
          <w:sz w:val="24"/>
          <w:szCs w:val="24"/>
        </w:rPr>
        <w:tab/>
      </w:r>
      <w:r w:rsidRPr="00456ABA">
        <w:rPr>
          <w:sz w:val="24"/>
        </w:rPr>
        <w:t>Assisted acquisitions at or less than the micro-purchase threshold (IAW the definition of “micro-purchase threshold” at FAR</w:t>
      </w:r>
      <w:r w:rsidRPr="00456ABA">
        <w:rPr>
          <w:spacing w:val="-3"/>
          <w:sz w:val="24"/>
        </w:rPr>
        <w:t xml:space="preserve"> </w:t>
      </w:r>
      <w:r w:rsidRPr="00456ABA">
        <w:rPr>
          <w:sz w:val="24"/>
        </w:rPr>
        <w:t>2.101).</w:t>
      </w:r>
    </w:p>
    <w:p w:rsidR="000C0F7D" w:rsidRDefault="00632353" w:rsidP="00632353">
      <w:pPr>
        <w:pStyle w:val="List3"/>
      </w:pPr>
      <w:r>
        <w:rPr>
          <w:spacing w:val="-4"/>
          <w:w w:val="99"/>
          <w:sz w:val="24"/>
          <w:szCs w:val="24"/>
        </w:rPr>
        <w:t>(ii)</w:t>
      </w:r>
      <w:r>
        <w:rPr>
          <w:spacing w:val="-4"/>
          <w:w w:val="99"/>
          <w:sz w:val="24"/>
          <w:szCs w:val="24"/>
        </w:rPr>
        <w:tab/>
      </w:r>
      <w:r w:rsidRPr="00456ABA">
        <w:rPr>
          <w:sz w:val="24"/>
        </w:rPr>
        <w:t>Support agreements executed under DoD Instruction 4000.19, Interservice and Intragovernmental Support (A</w:t>
      </w:r>
      <w:r w:rsidRPr="00456ABA">
        <w:rPr>
          <w:lang w:val="en"/>
        </w:rPr>
        <w:t>pril 25, 2013</w:t>
      </w:r>
      <w:r w:rsidRPr="00456ABA">
        <w:rPr>
          <w:sz w:val="24"/>
        </w:rPr>
        <w:t>), and any successor instruction, which are</w:t>
      </w:r>
      <w:r w:rsidRPr="00456ABA">
        <w:rPr>
          <w:spacing w:val="-22"/>
          <w:sz w:val="24"/>
        </w:rPr>
        <w:t xml:space="preserve"> </w:t>
      </w:r>
      <w:r w:rsidRPr="00456ABA">
        <w:rPr>
          <w:sz w:val="24"/>
        </w:rPr>
        <w:t>governed by other applicable DISA</w:t>
      </w:r>
      <w:r w:rsidRPr="00456ABA">
        <w:rPr>
          <w:spacing w:val="-5"/>
          <w:sz w:val="24"/>
        </w:rPr>
        <w:t xml:space="preserve"> </w:t>
      </w:r>
      <w:r w:rsidRPr="00456ABA">
        <w:rPr>
          <w:sz w:val="24"/>
        </w:rPr>
        <w:t>regulations.</w:t>
      </w:r>
    </w:p>
    <w:p w:rsidR="000C0F7D" w:rsidRDefault="00632353" w:rsidP="00632353">
      <w:pPr>
        <w:pStyle w:val="List3"/>
      </w:pPr>
      <w:r>
        <w:rPr>
          <w:spacing w:val="-4"/>
          <w:w w:val="99"/>
          <w:sz w:val="24"/>
          <w:szCs w:val="24"/>
        </w:rPr>
        <w:t>(iii)</w:t>
      </w:r>
      <w:r>
        <w:rPr>
          <w:spacing w:val="-4"/>
          <w:w w:val="99"/>
          <w:sz w:val="24"/>
          <w:szCs w:val="24"/>
        </w:rPr>
        <w:tab/>
      </w:r>
      <w:r w:rsidRPr="00456ABA">
        <w:rPr>
          <w:sz w:val="24"/>
        </w:rPr>
        <w:t>When the Defense Information Technology Contracting Organization (DITCO) is acting</w:t>
      </w:r>
      <w:r w:rsidRPr="00456ABA">
        <w:rPr>
          <w:spacing w:val="-24"/>
          <w:sz w:val="24"/>
        </w:rPr>
        <w:t xml:space="preserve"> </w:t>
      </w:r>
      <w:r w:rsidRPr="00456ABA">
        <w:rPr>
          <w:sz w:val="24"/>
        </w:rPr>
        <w:t>as the servicing agency in support of a DoD Component; unless DISA/DITCO becomes a requesting</w:t>
      </w:r>
      <w:bookmarkStart w:id="36" w:name="17.501__General."/>
      <w:bookmarkStart w:id="37" w:name="_bookmark184"/>
      <w:bookmarkEnd w:id="36"/>
      <w:bookmarkEnd w:id="37"/>
      <w:r w:rsidRPr="00456ABA">
        <w:rPr>
          <w:sz w:val="24"/>
        </w:rPr>
        <w:t xml:space="preserve"> agency to meet the component’s</w:t>
      </w:r>
      <w:r w:rsidRPr="00456ABA">
        <w:rPr>
          <w:spacing w:val="-7"/>
          <w:sz w:val="24"/>
        </w:rPr>
        <w:t xml:space="preserve"> </w:t>
      </w:r>
      <w:r w:rsidRPr="00456ABA">
        <w:rPr>
          <w:sz w:val="24"/>
        </w:rPr>
        <w:t>needs.</w:t>
      </w:r>
    </w:p>
    <w:p w:rsidR="000C0F7D" w:rsidRDefault="00632353" w:rsidP="00632353">
      <w:pPr>
        <w:pStyle w:val="Heading3"/>
      </w:pPr>
      <w:bookmarkStart w:id="38" w:name="_Toc45095900"/>
      <w:r>
        <w:t>17.501</w:t>
      </w:r>
      <w:r>
        <w:rPr>
          <w:spacing w:val="59"/>
        </w:rPr>
        <w:t xml:space="preserve"> </w:t>
      </w:r>
      <w:r>
        <w:t>General.</w:t>
      </w:r>
      <w:bookmarkEnd w:id="38"/>
    </w:p>
    <w:p w:rsidR="000C0F7D" w:rsidRDefault="00632353" w:rsidP="00632353">
      <w:pPr>
        <w:pStyle w:val="List1"/>
      </w:pPr>
      <w:r>
        <w:t>(S-90) DITCO is the organic contracting activity of DISA. DISA activities shall only use the contracting services of DITCO to acquire all required supplies and services, unless the use of another agency’s contracting services (an interagency assisted acquisition) has been determined to be in the best interest of the government. Only DITCO is authorized to approve interagency acquisitions on behalf of DISA, except as noted in 17.503(e).</w:t>
      </w:r>
    </w:p>
    <w:p w:rsidR="000C0F7D" w:rsidRDefault="00632353" w:rsidP="00632353">
      <w:pPr>
        <w:pStyle w:val="List1"/>
      </w:pPr>
      <w:r>
        <w:t xml:space="preserve">(S-91) Further guidance on how to conduct interagency acquisitions can be found in the DISA Interagency Acquisition Guide located at </w:t>
      </w:r>
      <w:r>
        <w:rPr>
          <w:color w:val="0000FF"/>
          <w:u w:val="single" w:color="0000FF"/>
        </w:rPr>
        <w:t>https://www.ditco.disa.mil/download.asp?/DITCOContractingTemplates/docs/interagency_acqui</w:t>
      </w:r>
      <w:r>
        <w:rPr>
          <w:color w:val="0000FF"/>
        </w:rPr>
        <w:t xml:space="preserve"> </w:t>
      </w:r>
      <w:r>
        <w:rPr>
          <w:color w:val="0000FF"/>
          <w:u w:val="single" w:color="0000FF"/>
        </w:rPr>
        <w:lastRenderedPageBreak/>
        <w:t>sition_guide.docx</w:t>
      </w:r>
      <w:r>
        <w:t>.</w:t>
      </w:r>
    </w:p>
    <w:p w:rsidR="000C0F7D" w:rsidRDefault="00632353" w:rsidP="00632353">
      <w:pPr>
        <w:pStyle w:val="Heading3"/>
      </w:pPr>
      <w:bookmarkStart w:id="39" w:name="17.502__Procedures."/>
      <w:bookmarkStart w:id="40" w:name="_bookmark185"/>
      <w:bookmarkStart w:id="41" w:name="_Toc45095901"/>
      <w:bookmarkEnd w:id="39"/>
      <w:bookmarkEnd w:id="40"/>
      <w:r>
        <w:t>17.502</w:t>
      </w:r>
      <w:r>
        <w:rPr>
          <w:spacing w:val="59"/>
        </w:rPr>
        <w:t xml:space="preserve"> </w:t>
      </w:r>
      <w:r>
        <w:t>Procedures.</w:t>
      </w:r>
      <w:bookmarkEnd w:id="41"/>
    </w:p>
    <w:p w:rsidR="000C0F7D" w:rsidRDefault="00632353" w:rsidP="00632353">
      <w:pPr>
        <w:pStyle w:val="Heading4"/>
      </w:pPr>
      <w:bookmarkStart w:id="42" w:name="17.502-1__General."/>
      <w:bookmarkStart w:id="43" w:name="_bookmark186"/>
      <w:bookmarkStart w:id="44" w:name="_Toc45095902"/>
      <w:bookmarkEnd w:id="42"/>
      <w:bookmarkEnd w:id="43"/>
      <w:r>
        <w:t>17.502-1</w:t>
      </w:r>
      <w:r>
        <w:rPr>
          <w:spacing w:val="59"/>
        </w:rPr>
        <w:t xml:space="preserve"> </w:t>
      </w:r>
      <w:r>
        <w:t>General.</w:t>
      </w:r>
      <w:bookmarkEnd w:id="44"/>
    </w:p>
    <w:p w:rsidR="00632353" w:rsidRDefault="00632353" w:rsidP="00632353">
      <w:pPr>
        <w:pStyle w:val="BodyText"/>
      </w:pPr>
    </w:p>
    <w:p w:rsidR="00632353" w:rsidRPr="008B107D" w:rsidRDefault="00632353" w:rsidP="00632353">
      <w:pPr>
        <w:pStyle w:val="List1"/>
      </w:pPr>
      <w:r>
        <w:t>(a)</w:t>
      </w:r>
      <w:r w:rsidRPr="008B107D">
        <w:t xml:space="preserve"> </w:t>
      </w:r>
      <w:r>
        <w:t xml:space="preserve"> </w:t>
      </w:r>
      <w:r w:rsidRPr="008B107D">
        <w:t>Written agreement on responsibility for management and</w:t>
      </w:r>
      <w:r w:rsidRPr="008B107D">
        <w:rPr>
          <w:spacing w:val="-8"/>
        </w:rPr>
        <w:t xml:space="preserve"> </w:t>
      </w:r>
      <w:r w:rsidRPr="008B107D">
        <w:t>administration.</w:t>
      </w:r>
    </w:p>
    <w:p w:rsidR="00632353" w:rsidRPr="00456ABA" w:rsidRDefault="00632353" w:rsidP="00632353">
      <w:pPr>
        <w:pStyle w:val="List2"/>
      </w:pPr>
      <w:r>
        <w:rPr>
          <w:spacing w:val="-1"/>
          <w:w w:val="99"/>
          <w:sz w:val="24"/>
          <w:szCs w:val="24"/>
        </w:rPr>
        <w:t>(1)</w:t>
      </w:r>
      <w:r>
        <w:rPr>
          <w:spacing w:val="-1"/>
          <w:w w:val="99"/>
          <w:sz w:val="24"/>
          <w:szCs w:val="24"/>
        </w:rPr>
        <w:tab/>
      </w:r>
      <w:r w:rsidRPr="00456ABA">
        <w:rPr>
          <w:sz w:val="24"/>
        </w:rPr>
        <w:t>Assisted</w:t>
      </w:r>
      <w:r w:rsidRPr="00456ABA">
        <w:rPr>
          <w:spacing w:val="-1"/>
          <w:sz w:val="24"/>
        </w:rPr>
        <w:t xml:space="preserve"> </w:t>
      </w:r>
      <w:r w:rsidRPr="00456ABA">
        <w:rPr>
          <w:sz w:val="24"/>
        </w:rPr>
        <w:t>acquisitions.</w:t>
      </w:r>
    </w:p>
    <w:p w:rsidR="000C0F7D" w:rsidRDefault="00632353" w:rsidP="00632353">
      <w:pPr>
        <w:pStyle w:val="List3"/>
      </w:pPr>
      <w:r>
        <w:t>(i) Interagency Agreements for Assisted Acquisitions in which DITCO is the requesting agency, shall be prepared in accordance with the</w:t>
      </w:r>
      <w:r>
        <w:rPr>
          <w:color w:val="0000FF"/>
        </w:rPr>
        <w:t xml:space="preserve"> </w:t>
      </w:r>
      <w:hyperlink r:id="rId16">
        <w:r>
          <w:rPr>
            <w:color w:val="0000FF"/>
            <w:u w:val="single" w:color="0000FF"/>
          </w:rPr>
          <w:t>DISA Interagency Acquisition Guide</w:t>
        </w:r>
      </w:hyperlink>
      <w:r>
        <w:t>. Interagency Agreements for Assisted Acquisitions shall be approved in accordance with Table 17-1 below.</w:t>
      </w:r>
    </w:p>
    <w:p w:rsidR="000C0F7D" w:rsidRDefault="00632353" w:rsidP="00632353">
      <w:pPr>
        <w:pStyle w:val="List1"/>
      </w:pPr>
      <w:r>
        <w:t xml:space="preserve">(b)  </w:t>
      </w:r>
      <w:r w:rsidRPr="004C6B3F">
        <w:rPr>
          <w:szCs w:val="24"/>
        </w:rPr>
        <w:t xml:space="preserve">The business-case analysis required by FAR 17.502-1(b) shall be signed by </w:t>
      </w:r>
      <w:r>
        <w:t>t</w:t>
      </w:r>
      <w:r w:rsidRPr="00FB0C57">
        <w:t>he mission partner prior to routing the document for coordination and approval. The business-case analysis shall be coordinated with OSBP and the DISA CIO then approved by the SPE. The approved business-case shall be kept by the</w:t>
      </w:r>
      <w:r w:rsidRPr="00FB0C57">
        <w:rPr>
          <w:spacing w:val="-16"/>
        </w:rPr>
        <w:t xml:space="preserve"> </w:t>
      </w:r>
      <w:r w:rsidRPr="00FB0C57">
        <w:t>agency</w:t>
      </w:r>
      <w:r>
        <w:t xml:space="preserve"> </w:t>
      </w:r>
      <w:r w:rsidRPr="008B107D">
        <w:rPr>
          <w:szCs w:val="24"/>
        </w:rPr>
        <w:t xml:space="preserve">as part of the acquisition file. Follow the </w:t>
      </w:r>
      <w:r w:rsidRPr="00DE5C24">
        <w:rPr>
          <w:szCs w:val="24"/>
        </w:rPr>
        <w:t>Contract Document Approval Signature Routing Procedures</w:t>
      </w:r>
      <w:r w:rsidRPr="00DE5C24">
        <w:rPr>
          <w:szCs w:val="24"/>
          <w:lang w:val="en"/>
        </w:rPr>
        <w:t xml:space="preserve"> located in the </w:t>
      </w:r>
      <w:hyperlink r:id="rId17" w:history="1">
        <w:r w:rsidRPr="00DE5C24">
          <w:rPr>
            <w:rStyle w:val="Hyperlink"/>
            <w:szCs w:val="24"/>
          </w:rPr>
          <w:t>DARS PGI</w:t>
        </w:r>
      </w:hyperlink>
      <w:r w:rsidRPr="00DE5C24">
        <w:rPr>
          <w:szCs w:val="24"/>
        </w:rPr>
        <w:t xml:space="preserve"> or</w:t>
      </w:r>
      <w:r w:rsidRPr="008B107D">
        <w:rPr>
          <w:szCs w:val="24"/>
        </w:rPr>
        <w:t xml:space="preserve"> your DITCO routing procedures to attain the SPE signature. After the SPE has approved the business case, the business case shall be posted on MAX.gov.</w:t>
      </w:r>
    </w:p>
    <w:p w:rsidR="000C0F7D" w:rsidRDefault="00632353" w:rsidP="00632353">
      <w:pPr>
        <w:pStyle w:val="Heading3"/>
      </w:pPr>
      <w:bookmarkStart w:id="45" w:name="17.503__Ordering_Procedures."/>
      <w:bookmarkStart w:id="46" w:name="_bookmark187"/>
      <w:bookmarkStart w:id="47" w:name="_Toc45095903"/>
      <w:bookmarkEnd w:id="45"/>
      <w:bookmarkEnd w:id="46"/>
      <w:r>
        <w:t>17.503 Ordering Procedures.</w:t>
      </w:r>
      <w:bookmarkEnd w:id="47"/>
    </w:p>
    <w:p w:rsidR="000C0F7D" w:rsidRDefault="00632353" w:rsidP="00632353">
      <w:pPr>
        <w:pStyle w:val="List1"/>
      </w:pPr>
      <w:r>
        <w:t xml:space="preserve">(d)  </w:t>
      </w:r>
      <w:r w:rsidRPr="00B07E3E">
        <w:t>In addition to any other applicable requesting agency-specific clauses, all contracts</w:t>
      </w:r>
      <w:r w:rsidRPr="00B07E3E">
        <w:rPr>
          <w:spacing w:val="-23"/>
        </w:rPr>
        <w:t xml:space="preserve"> </w:t>
      </w:r>
      <w:r w:rsidRPr="00B07E3E">
        <w:t>awarded and orders issued by the servicing agency for property that must be accounted for in accordance with</w:t>
      </w:r>
      <w:r w:rsidRPr="00B07E3E">
        <w:rPr>
          <w:color w:val="0000FF"/>
        </w:rPr>
        <w:t xml:space="preserve"> </w:t>
      </w:r>
      <w:hyperlink r:id="rId18">
        <w:r w:rsidRPr="00B07E3E">
          <w:rPr>
            <w:color w:val="0000FF"/>
            <w:u w:val="single" w:color="0000FF"/>
          </w:rPr>
          <w:t>DISAI 270-165-8</w:t>
        </w:r>
      </w:hyperlink>
      <w:r w:rsidRPr="00B07E3E">
        <w:rPr>
          <w:color w:val="0000FF"/>
        </w:rPr>
        <w:t xml:space="preserve"> </w:t>
      </w:r>
      <w:r w:rsidRPr="00B07E3E">
        <w:t>shall include the clauses at DFARS 252.211-7003 and DARS 52.211- 9000, which sets forth the instructions for the contractor to deliver, and for the DISA receiving activity to approve, an Electronic Product</w:t>
      </w:r>
      <w:r w:rsidRPr="00B07E3E">
        <w:rPr>
          <w:spacing w:val="-5"/>
        </w:rPr>
        <w:t xml:space="preserve"> </w:t>
      </w:r>
      <w:r w:rsidRPr="00B07E3E">
        <w:t>List.</w:t>
      </w:r>
    </w:p>
    <w:p w:rsidR="000C0F7D" w:rsidRDefault="00632353" w:rsidP="00632353">
      <w:pPr>
        <w:pStyle w:val="List1"/>
      </w:pPr>
      <w:r>
        <w:t xml:space="preserve">(e)  </w:t>
      </w:r>
      <w:r w:rsidRPr="00B07E3E">
        <w:t>Determinations that the requested work falls within the purpose, mission, general scope of effort, or special competency of the Federally Funded Research &amp; Development Center (FFRDC), and will not place the FFRDC in direct competition with domestic private industry, shall be prepared in writing by the Commander, Principal Director, or Deputy Principal Director of the requiring activity. No DISA official shall cause DISA to enter into a contract directly with any FFRDC (i.e., not an interagency acquisition through the sponsoring agency) unless such contract is executed in accordance with all applicable provisions of the law, including, without limitation, all relevant Federal procurement statutes, the FAR, the DFARS, and the DARS, that would apply to a contract with any other private entity. DISA officials may, however, execute interagency acquisitions with or through an FFRDC sponsoring agency to obtain the services of an FFRDC in accordance with this subpart.</w:t>
      </w:r>
    </w:p>
    <w:p w:rsidR="00632353" w:rsidRDefault="00632353" w:rsidP="00632353">
      <w:pPr>
        <w:spacing w:after="24"/>
        <w:ind w:left="1143" w:right="588" w:hanging="519"/>
        <w:rPr>
          <w:b/>
          <w:sz w:val="24"/>
        </w:rPr>
      </w:pPr>
      <w:r>
        <w:rPr>
          <w:b/>
          <w:sz w:val="24"/>
        </w:rPr>
        <w:t>Table 17-1 DISA Coordination and Approval Authority for Determination and Findings (D&amp;F) for Assisted Acquisitions, Interagency Agreements, Direct Acquisitions</w:t>
      </w:r>
    </w:p>
    <w:p w:rsidR="00632353" w:rsidRDefault="00632353" w:rsidP="00632353">
      <w:pPr>
        <w:spacing w:after="24"/>
        <w:ind w:left="1143" w:right="588" w:hanging="519"/>
        <w:rPr>
          <w:b/>
          <w:sz w:val="24"/>
        </w:rPr>
      </w:pPr>
    </w:p>
    <w:tbl>
      <w:tblPr>
        <w:tblW w:w="0" w:type="auto"/>
        <w:tblInd w:w="50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1736"/>
        <w:gridCol w:w="1905"/>
        <w:gridCol w:w="3492"/>
        <w:gridCol w:w="2022"/>
      </w:tblGrid>
      <w:tr w:rsidR="00632353" w:rsidTr="00C7520F">
        <w:trPr>
          <w:trHeight w:val="596"/>
        </w:trPr>
        <w:tc>
          <w:tcPr>
            <w:tcW w:w="1736" w:type="dxa"/>
            <w:tcBorders>
              <w:left w:val="double" w:sz="2" w:space="0" w:color="F0F0F0"/>
            </w:tcBorders>
          </w:tcPr>
          <w:p w:rsidR="00632353" w:rsidRDefault="00632353">
            <w:pPr>
              <w:pStyle w:val="TableParagraph"/>
              <w:spacing w:before="21"/>
              <w:ind w:left="25" w:right="499"/>
              <w:rPr>
                <w:b/>
                <w:sz w:val="24"/>
              </w:rPr>
            </w:pPr>
            <w:r>
              <w:rPr>
                <w:b/>
                <w:sz w:val="24"/>
              </w:rPr>
              <w:t>Regulatory Authority:</w:t>
            </w:r>
          </w:p>
        </w:tc>
        <w:tc>
          <w:tcPr>
            <w:tcW w:w="1905" w:type="dxa"/>
          </w:tcPr>
          <w:p w:rsidR="00632353" w:rsidRDefault="00632353">
            <w:pPr>
              <w:pStyle w:val="TableParagraph"/>
              <w:spacing w:before="21"/>
              <w:ind w:left="29" w:right="677"/>
              <w:rPr>
                <w:b/>
                <w:sz w:val="24"/>
              </w:rPr>
            </w:pPr>
            <w:r>
              <w:rPr>
                <w:b/>
                <w:sz w:val="24"/>
              </w:rPr>
              <w:t>Dollar Threshold:</w:t>
            </w:r>
          </w:p>
        </w:tc>
        <w:tc>
          <w:tcPr>
            <w:tcW w:w="3492" w:type="dxa"/>
          </w:tcPr>
          <w:p w:rsidR="00632353" w:rsidRDefault="00632353">
            <w:pPr>
              <w:pStyle w:val="TableParagraph"/>
              <w:spacing w:before="21"/>
              <w:ind w:left="30"/>
              <w:rPr>
                <w:b/>
                <w:sz w:val="24"/>
              </w:rPr>
            </w:pPr>
            <w:r>
              <w:rPr>
                <w:b/>
                <w:sz w:val="24"/>
              </w:rPr>
              <w:t>Concurrence:</w:t>
            </w:r>
          </w:p>
        </w:tc>
        <w:tc>
          <w:tcPr>
            <w:tcW w:w="2022" w:type="dxa"/>
          </w:tcPr>
          <w:p w:rsidR="00632353" w:rsidRDefault="00632353">
            <w:pPr>
              <w:pStyle w:val="TableParagraph"/>
              <w:spacing w:before="21"/>
              <w:ind w:left="32"/>
              <w:rPr>
                <w:b/>
                <w:sz w:val="24"/>
              </w:rPr>
            </w:pPr>
            <w:r>
              <w:rPr>
                <w:b/>
                <w:sz w:val="24"/>
              </w:rPr>
              <w:t>Approval:</w:t>
            </w:r>
          </w:p>
        </w:tc>
      </w:tr>
      <w:tr w:rsidR="00632353" w:rsidTr="00C7520F">
        <w:trPr>
          <w:trHeight w:val="1147"/>
        </w:trPr>
        <w:tc>
          <w:tcPr>
            <w:tcW w:w="1736" w:type="dxa"/>
            <w:tcBorders>
              <w:left w:val="double" w:sz="2" w:space="0" w:color="F0F0F0"/>
            </w:tcBorders>
          </w:tcPr>
          <w:p w:rsidR="00632353" w:rsidRDefault="00632353">
            <w:pPr>
              <w:pStyle w:val="TableParagraph"/>
              <w:spacing w:before="15"/>
              <w:ind w:left="25"/>
              <w:rPr>
                <w:sz w:val="24"/>
              </w:rPr>
            </w:pPr>
            <w:r>
              <w:rPr>
                <w:sz w:val="24"/>
              </w:rPr>
              <w:lastRenderedPageBreak/>
              <w:t>FAR &amp; DFARS</w:t>
            </w:r>
          </w:p>
        </w:tc>
        <w:tc>
          <w:tcPr>
            <w:tcW w:w="1905" w:type="dxa"/>
          </w:tcPr>
          <w:p w:rsidR="00632353" w:rsidRDefault="00632353">
            <w:pPr>
              <w:pStyle w:val="TableParagraph"/>
              <w:spacing w:before="15"/>
              <w:ind w:left="29" w:right="337"/>
              <w:rPr>
                <w:sz w:val="24"/>
              </w:rPr>
            </w:pPr>
            <w:r>
              <w:rPr>
                <w:sz w:val="24"/>
              </w:rPr>
              <w:t>Exceeding the micro-purchase threshold to</w:t>
            </w:r>
          </w:p>
          <w:p w:rsidR="00632353" w:rsidRDefault="00632353">
            <w:pPr>
              <w:pStyle w:val="TableParagraph"/>
              <w:ind w:left="29"/>
              <w:rPr>
                <w:sz w:val="24"/>
              </w:rPr>
            </w:pPr>
            <w:r>
              <w:rPr>
                <w:sz w:val="24"/>
              </w:rPr>
              <w:t>$50M</w:t>
            </w:r>
          </w:p>
        </w:tc>
        <w:tc>
          <w:tcPr>
            <w:tcW w:w="3492" w:type="dxa"/>
          </w:tcPr>
          <w:p w:rsidR="00632353" w:rsidRDefault="00632353" w:rsidP="00455FE6">
            <w:pPr>
              <w:pStyle w:val="TableParagraph"/>
              <w:tabs>
                <w:tab w:val="left" w:pos="290"/>
              </w:tabs>
              <w:spacing w:before="15"/>
              <w:ind w:left="29"/>
              <w:rPr>
                <w:sz w:val="24"/>
              </w:rPr>
            </w:pPr>
            <w:r>
              <w:rPr>
                <w:sz w:val="24"/>
              </w:rPr>
              <w:t>Requirements</w:t>
            </w:r>
            <w:r>
              <w:rPr>
                <w:spacing w:val="-1"/>
                <w:sz w:val="24"/>
              </w:rPr>
              <w:t xml:space="preserve"> </w:t>
            </w:r>
            <w:r>
              <w:rPr>
                <w:sz w:val="24"/>
              </w:rPr>
              <w:t>Official</w:t>
            </w:r>
          </w:p>
          <w:p w:rsidR="00632353" w:rsidRDefault="00632353" w:rsidP="00DD25E7">
            <w:pPr>
              <w:pStyle w:val="TableParagraph"/>
              <w:tabs>
                <w:tab w:val="left" w:pos="290"/>
              </w:tabs>
              <w:ind w:left="30" w:right="458"/>
              <w:rPr>
                <w:sz w:val="24"/>
              </w:rPr>
            </w:pPr>
          </w:p>
        </w:tc>
        <w:tc>
          <w:tcPr>
            <w:tcW w:w="2022" w:type="dxa"/>
          </w:tcPr>
          <w:p w:rsidR="00632353" w:rsidRDefault="00632353">
            <w:pPr>
              <w:pStyle w:val="TableParagraph"/>
              <w:spacing w:before="15"/>
              <w:ind w:left="32" w:right="341"/>
              <w:rPr>
                <w:sz w:val="24"/>
              </w:rPr>
            </w:pPr>
            <w:r>
              <w:rPr>
                <w:sz w:val="24"/>
              </w:rPr>
              <w:t>Chief of Contracting Office (CoCO)</w:t>
            </w:r>
          </w:p>
        </w:tc>
      </w:tr>
      <w:tr w:rsidR="00632353" w:rsidTr="00C7520F">
        <w:trPr>
          <w:trHeight w:val="1150"/>
        </w:trPr>
        <w:tc>
          <w:tcPr>
            <w:tcW w:w="1736" w:type="dxa"/>
            <w:tcBorders>
              <w:left w:val="double" w:sz="2" w:space="0" w:color="F0F0F0"/>
            </w:tcBorders>
          </w:tcPr>
          <w:p w:rsidR="00632353" w:rsidRDefault="00632353">
            <w:pPr>
              <w:pStyle w:val="TableParagraph"/>
              <w:spacing w:before="17"/>
              <w:ind w:left="25"/>
              <w:rPr>
                <w:sz w:val="24"/>
              </w:rPr>
            </w:pPr>
            <w:r>
              <w:rPr>
                <w:sz w:val="24"/>
              </w:rPr>
              <w:t>FAR &amp; DFARS</w:t>
            </w:r>
          </w:p>
        </w:tc>
        <w:tc>
          <w:tcPr>
            <w:tcW w:w="1905" w:type="dxa"/>
          </w:tcPr>
          <w:p w:rsidR="00632353" w:rsidRDefault="00632353">
            <w:pPr>
              <w:pStyle w:val="TableParagraph"/>
              <w:spacing w:before="17"/>
              <w:ind w:left="29"/>
              <w:rPr>
                <w:sz w:val="24"/>
              </w:rPr>
            </w:pPr>
            <w:r>
              <w:rPr>
                <w:sz w:val="24"/>
              </w:rPr>
              <w:t>Exceeding $50M</w:t>
            </w:r>
          </w:p>
        </w:tc>
        <w:tc>
          <w:tcPr>
            <w:tcW w:w="3492" w:type="dxa"/>
          </w:tcPr>
          <w:p w:rsidR="00632353" w:rsidRDefault="00632353" w:rsidP="00456ABA">
            <w:pPr>
              <w:pStyle w:val="TableParagraph"/>
              <w:tabs>
                <w:tab w:val="left" w:pos="290"/>
              </w:tabs>
              <w:spacing w:before="17"/>
              <w:ind w:left="30" w:right="261"/>
              <w:rPr>
                <w:sz w:val="24"/>
              </w:rPr>
            </w:pPr>
            <w:r>
              <w:rPr>
                <w:sz w:val="24"/>
                <w:szCs w:val="24"/>
              </w:rPr>
              <w:t>1)</w:t>
            </w:r>
            <w:r>
              <w:rPr>
                <w:sz w:val="24"/>
                <w:szCs w:val="24"/>
              </w:rPr>
              <w:tab/>
            </w:r>
            <w:r>
              <w:rPr>
                <w:sz w:val="24"/>
              </w:rPr>
              <w:t xml:space="preserve">Deputy Principal </w:t>
            </w:r>
            <w:r>
              <w:rPr>
                <w:spacing w:val="-3"/>
                <w:sz w:val="24"/>
              </w:rPr>
              <w:t xml:space="preserve">Director </w:t>
            </w:r>
            <w:r>
              <w:rPr>
                <w:sz w:val="24"/>
              </w:rPr>
              <w:t>of the Requirements</w:t>
            </w:r>
            <w:r>
              <w:rPr>
                <w:spacing w:val="-5"/>
                <w:sz w:val="24"/>
              </w:rPr>
              <w:t xml:space="preserve"> </w:t>
            </w:r>
            <w:r>
              <w:rPr>
                <w:sz w:val="24"/>
              </w:rPr>
              <w:t>Office</w:t>
            </w:r>
          </w:p>
          <w:p w:rsidR="00632353" w:rsidRDefault="00632353" w:rsidP="00456ABA">
            <w:pPr>
              <w:pStyle w:val="TableParagraph"/>
              <w:tabs>
                <w:tab w:val="left" w:pos="290"/>
              </w:tabs>
              <w:ind w:left="289" w:hanging="259"/>
              <w:rPr>
                <w:sz w:val="24"/>
              </w:rPr>
            </w:pPr>
            <w:r>
              <w:rPr>
                <w:sz w:val="24"/>
                <w:szCs w:val="24"/>
              </w:rPr>
              <w:t>2)</w:t>
            </w:r>
            <w:r>
              <w:rPr>
                <w:sz w:val="24"/>
                <w:szCs w:val="24"/>
              </w:rPr>
              <w:tab/>
            </w:r>
            <w:r>
              <w:rPr>
                <w:sz w:val="24"/>
              </w:rPr>
              <w:t>CoCO</w:t>
            </w:r>
          </w:p>
          <w:p w:rsidR="00632353" w:rsidRDefault="00632353" w:rsidP="00DD25E7">
            <w:pPr>
              <w:pStyle w:val="TableParagraph"/>
              <w:tabs>
                <w:tab w:val="left" w:pos="290"/>
              </w:tabs>
              <w:ind w:left="289"/>
              <w:rPr>
                <w:sz w:val="24"/>
              </w:rPr>
            </w:pPr>
          </w:p>
        </w:tc>
        <w:tc>
          <w:tcPr>
            <w:tcW w:w="2022" w:type="dxa"/>
          </w:tcPr>
          <w:p w:rsidR="00632353" w:rsidRDefault="00632353">
            <w:pPr>
              <w:pStyle w:val="TableParagraph"/>
              <w:spacing w:before="17"/>
              <w:ind w:left="32" w:right="368"/>
              <w:rPr>
                <w:sz w:val="24"/>
              </w:rPr>
            </w:pPr>
            <w:r>
              <w:rPr>
                <w:sz w:val="24"/>
              </w:rPr>
              <w:t>Head of Contracting Office</w:t>
            </w:r>
          </w:p>
          <w:p w:rsidR="00632353" w:rsidRDefault="00632353">
            <w:pPr>
              <w:pStyle w:val="TableParagraph"/>
              <w:ind w:left="32"/>
              <w:rPr>
                <w:sz w:val="24"/>
              </w:rPr>
            </w:pPr>
            <w:r>
              <w:rPr>
                <w:sz w:val="24"/>
              </w:rPr>
              <w:t>(HCO)</w:t>
            </w:r>
          </w:p>
        </w:tc>
      </w:tr>
      <w:tr w:rsidR="00632353" w:rsidTr="00C7520F">
        <w:trPr>
          <w:trHeight w:val="1423"/>
        </w:trPr>
        <w:tc>
          <w:tcPr>
            <w:tcW w:w="1736" w:type="dxa"/>
            <w:tcBorders>
              <w:left w:val="double" w:sz="2" w:space="0" w:color="F0F0F0"/>
            </w:tcBorders>
          </w:tcPr>
          <w:p w:rsidR="00632353" w:rsidRDefault="00632353">
            <w:pPr>
              <w:pStyle w:val="TableParagraph"/>
              <w:spacing w:before="15"/>
              <w:ind w:left="25"/>
              <w:rPr>
                <w:sz w:val="24"/>
              </w:rPr>
            </w:pPr>
            <w:r>
              <w:rPr>
                <w:sz w:val="24"/>
              </w:rPr>
              <w:t>Non-FAR</w:t>
            </w:r>
          </w:p>
        </w:tc>
        <w:tc>
          <w:tcPr>
            <w:tcW w:w="1905" w:type="dxa"/>
          </w:tcPr>
          <w:p w:rsidR="00632353" w:rsidRDefault="00632353">
            <w:pPr>
              <w:pStyle w:val="TableParagraph"/>
              <w:spacing w:before="15"/>
              <w:ind w:left="29" w:right="337"/>
              <w:rPr>
                <w:sz w:val="24"/>
              </w:rPr>
            </w:pPr>
            <w:r>
              <w:rPr>
                <w:sz w:val="24"/>
              </w:rPr>
              <w:t>Exceeding the micro-purchase threshold</w:t>
            </w:r>
          </w:p>
        </w:tc>
        <w:tc>
          <w:tcPr>
            <w:tcW w:w="3492" w:type="dxa"/>
          </w:tcPr>
          <w:p w:rsidR="00632353" w:rsidRDefault="00632353" w:rsidP="00456ABA">
            <w:pPr>
              <w:pStyle w:val="TableParagraph"/>
              <w:tabs>
                <w:tab w:val="left" w:pos="290"/>
              </w:tabs>
              <w:spacing w:before="15"/>
              <w:ind w:left="30" w:right="261"/>
              <w:rPr>
                <w:sz w:val="24"/>
              </w:rPr>
            </w:pPr>
            <w:r>
              <w:rPr>
                <w:sz w:val="24"/>
                <w:szCs w:val="24"/>
              </w:rPr>
              <w:t>1)</w:t>
            </w:r>
            <w:r>
              <w:rPr>
                <w:sz w:val="24"/>
                <w:szCs w:val="24"/>
              </w:rPr>
              <w:tab/>
            </w:r>
            <w:r>
              <w:rPr>
                <w:sz w:val="24"/>
              </w:rPr>
              <w:t xml:space="preserve">Deputy Principal </w:t>
            </w:r>
            <w:r>
              <w:rPr>
                <w:spacing w:val="-3"/>
                <w:sz w:val="24"/>
              </w:rPr>
              <w:t xml:space="preserve">Director </w:t>
            </w:r>
            <w:r>
              <w:rPr>
                <w:sz w:val="24"/>
              </w:rPr>
              <w:t>of the Requirements</w:t>
            </w:r>
            <w:r>
              <w:rPr>
                <w:spacing w:val="-5"/>
                <w:sz w:val="24"/>
              </w:rPr>
              <w:t xml:space="preserve"> </w:t>
            </w:r>
            <w:r>
              <w:rPr>
                <w:sz w:val="24"/>
              </w:rPr>
              <w:t>Office</w:t>
            </w:r>
          </w:p>
          <w:p w:rsidR="00632353" w:rsidRDefault="00632353" w:rsidP="00456ABA">
            <w:pPr>
              <w:pStyle w:val="TableParagraph"/>
              <w:tabs>
                <w:tab w:val="left" w:pos="290"/>
              </w:tabs>
              <w:ind w:left="289" w:hanging="259"/>
              <w:rPr>
                <w:sz w:val="24"/>
              </w:rPr>
            </w:pPr>
            <w:r>
              <w:rPr>
                <w:sz w:val="24"/>
                <w:szCs w:val="24"/>
              </w:rPr>
              <w:t>2)</w:t>
            </w:r>
            <w:r>
              <w:rPr>
                <w:sz w:val="24"/>
                <w:szCs w:val="24"/>
              </w:rPr>
              <w:tab/>
            </w:r>
            <w:r>
              <w:rPr>
                <w:sz w:val="24"/>
              </w:rPr>
              <w:t>CoCO</w:t>
            </w:r>
          </w:p>
          <w:p w:rsidR="00632353" w:rsidRDefault="00632353" w:rsidP="00456ABA">
            <w:pPr>
              <w:pStyle w:val="TableParagraph"/>
              <w:tabs>
                <w:tab w:val="left" w:pos="290"/>
              </w:tabs>
              <w:ind w:left="289" w:hanging="259"/>
              <w:rPr>
                <w:sz w:val="24"/>
              </w:rPr>
            </w:pPr>
            <w:r>
              <w:rPr>
                <w:sz w:val="24"/>
                <w:szCs w:val="24"/>
              </w:rPr>
              <w:t>3)</w:t>
            </w:r>
            <w:r>
              <w:rPr>
                <w:sz w:val="24"/>
                <w:szCs w:val="24"/>
              </w:rPr>
              <w:tab/>
            </w:r>
            <w:r>
              <w:rPr>
                <w:sz w:val="24"/>
              </w:rPr>
              <w:t>HCO</w:t>
            </w:r>
          </w:p>
          <w:p w:rsidR="00632353" w:rsidRDefault="00632353" w:rsidP="00DD25E7">
            <w:pPr>
              <w:pStyle w:val="TableParagraph"/>
              <w:tabs>
                <w:tab w:val="left" w:pos="290"/>
              </w:tabs>
              <w:ind w:left="289"/>
              <w:rPr>
                <w:sz w:val="24"/>
              </w:rPr>
            </w:pPr>
          </w:p>
        </w:tc>
        <w:tc>
          <w:tcPr>
            <w:tcW w:w="2022" w:type="dxa"/>
          </w:tcPr>
          <w:p w:rsidR="00632353" w:rsidRDefault="00632353">
            <w:pPr>
              <w:pStyle w:val="TableParagraph"/>
              <w:spacing w:before="15"/>
              <w:ind w:left="32" w:right="368"/>
              <w:rPr>
                <w:sz w:val="24"/>
              </w:rPr>
            </w:pPr>
            <w:r>
              <w:rPr>
                <w:sz w:val="24"/>
              </w:rPr>
              <w:t>Head of Contracting Activity (HCA)</w:t>
            </w:r>
          </w:p>
        </w:tc>
      </w:tr>
      <w:tr w:rsidR="00632353" w:rsidTr="00C7520F">
        <w:trPr>
          <w:trHeight w:val="873"/>
        </w:trPr>
        <w:tc>
          <w:tcPr>
            <w:tcW w:w="1736" w:type="dxa"/>
            <w:tcBorders>
              <w:left w:val="double" w:sz="2" w:space="0" w:color="F0F0F0"/>
            </w:tcBorders>
          </w:tcPr>
          <w:p w:rsidR="00632353" w:rsidRDefault="00632353" w:rsidP="00CF1729">
            <w:pPr>
              <w:pStyle w:val="TableParagraph"/>
              <w:spacing w:before="17"/>
              <w:ind w:left="25" w:right="179"/>
              <w:rPr>
                <w:sz w:val="24"/>
              </w:rPr>
            </w:pPr>
            <w:r>
              <w:rPr>
                <w:sz w:val="24"/>
              </w:rPr>
              <w:t xml:space="preserve">Direct Acquisitions </w:t>
            </w:r>
          </w:p>
        </w:tc>
        <w:tc>
          <w:tcPr>
            <w:tcW w:w="1905" w:type="dxa"/>
          </w:tcPr>
          <w:p w:rsidR="00632353" w:rsidRDefault="00632353">
            <w:pPr>
              <w:pStyle w:val="TableParagraph"/>
              <w:spacing w:before="17"/>
              <w:ind w:left="29"/>
              <w:rPr>
                <w:sz w:val="24"/>
              </w:rPr>
            </w:pPr>
            <w:r>
              <w:rPr>
                <w:sz w:val="24"/>
              </w:rPr>
              <w:t>All Dollars</w:t>
            </w:r>
          </w:p>
        </w:tc>
        <w:tc>
          <w:tcPr>
            <w:tcW w:w="3492" w:type="dxa"/>
          </w:tcPr>
          <w:p w:rsidR="00632353" w:rsidRDefault="00632353">
            <w:pPr>
              <w:pStyle w:val="TableParagraph"/>
              <w:spacing w:before="17"/>
              <w:ind w:left="30"/>
              <w:rPr>
                <w:sz w:val="24"/>
              </w:rPr>
            </w:pPr>
            <w:r>
              <w:rPr>
                <w:sz w:val="24"/>
              </w:rPr>
              <w:t>Requirements Official</w:t>
            </w:r>
          </w:p>
        </w:tc>
        <w:tc>
          <w:tcPr>
            <w:tcW w:w="2022" w:type="dxa"/>
          </w:tcPr>
          <w:p w:rsidR="00632353" w:rsidRDefault="00632353">
            <w:pPr>
              <w:pStyle w:val="TableParagraph"/>
              <w:spacing w:before="17"/>
              <w:ind w:left="32"/>
              <w:rPr>
                <w:sz w:val="24"/>
              </w:rPr>
            </w:pPr>
            <w:r>
              <w:rPr>
                <w:sz w:val="24"/>
              </w:rPr>
              <w:t>Contracting Officer</w:t>
            </w:r>
          </w:p>
        </w:tc>
      </w:tr>
    </w:tbl>
    <w:p w:rsidR="000C0F7D" w:rsidRDefault="00632353" w:rsidP="00632353">
      <w:pPr>
        <w:rPr>
          <w:sz w:val="24"/>
        </w:rPr>
      </w:pPr>
      <w:r>
        <w:br w:type="page"/>
      </w:r>
      <w:bookmarkStart w:id="48" w:name="SUBPART_217.7_—_INTERAGENCY_ACQUISITIONS"/>
      <w:bookmarkStart w:id="49" w:name="_bookmark188"/>
      <w:bookmarkEnd w:id="48"/>
      <w:bookmarkEnd w:id="49"/>
      <w:r>
        <w:rPr>
          <w:b/>
          <w:color w:val="4F81BD"/>
          <w:sz w:val="24"/>
        </w:rPr>
        <w:lastRenderedPageBreak/>
        <w:t>SUBPART 217.7 — INTERAGENCY ACQUISITIONS: ACQUISITIONS BY NONDEFENSE AGENCIES ON BEHALF OF THE DEPARTMENT OF DEFENSE</w:t>
      </w:r>
    </w:p>
    <w:p w:rsidR="000C0F7D" w:rsidRDefault="00632353" w:rsidP="00632353">
      <w:pPr>
        <w:pStyle w:val="Heading3"/>
      </w:pPr>
      <w:bookmarkStart w:id="50" w:name="217.770__Procedures."/>
      <w:bookmarkStart w:id="51" w:name="_bookmark189"/>
      <w:bookmarkStart w:id="52" w:name="_Toc45095904"/>
      <w:bookmarkEnd w:id="50"/>
      <w:bookmarkEnd w:id="51"/>
      <w:r>
        <w:t>217.770</w:t>
      </w:r>
      <w:r>
        <w:rPr>
          <w:spacing w:val="59"/>
        </w:rPr>
        <w:t xml:space="preserve"> </w:t>
      </w:r>
      <w:r>
        <w:t>Procedures.</w:t>
      </w:r>
      <w:bookmarkEnd w:id="52"/>
    </w:p>
    <w:p w:rsidR="000C0F7D" w:rsidRDefault="00632353" w:rsidP="00632353">
      <w:pPr>
        <w:pStyle w:val="List1"/>
      </w:pPr>
      <w:r>
        <w:t xml:space="preserve">(S-90) The requirements of DFARS 217.770 shall be addressed in the Determination and Findings (D&amp;F) for an Assisted Acquisition required by FAR 17.502-1. See the DISA Interagency Acquisition Guide at </w:t>
      </w:r>
      <w:hyperlink r:id="rId19">
        <w:r>
          <w:rPr>
            <w:color w:val="0000FF"/>
            <w:u w:val="single" w:color="0000FF"/>
          </w:rPr>
          <w:t>https://www.ditco.disa.mil/DitcoContractingTemplates/doku.php?id=interagency_acquisition_gu</w:t>
        </w:r>
      </w:hyperlink>
      <w:r>
        <w:rPr>
          <w:color w:val="0000FF"/>
        </w:rPr>
        <w:t xml:space="preserve"> </w:t>
      </w:r>
      <w:hyperlink r:id="rId20">
        <w:r>
          <w:rPr>
            <w:color w:val="0000FF"/>
            <w:u w:val="single" w:color="0000FF"/>
          </w:rPr>
          <w:t>ide</w:t>
        </w:r>
        <w:r>
          <w:t>.</w:t>
        </w:r>
      </w:hyperlink>
    </w:p>
    <w:p w:rsidR="00632353" w:rsidRDefault="00632353" w:rsidP="00632353">
      <w:pPr>
        <w:pStyle w:val="Heading2"/>
      </w:pPr>
    </w:p>
    <w:p w:rsidR="000C0F7D" w:rsidRDefault="00632353" w:rsidP="00632353">
      <w:pPr>
        <w:pStyle w:val="Heading2"/>
      </w:pPr>
      <w:bookmarkStart w:id="53" w:name="SUBPART_217.74--UNDEFINITIZED_CONTRACT_A"/>
      <w:bookmarkStart w:id="54" w:name="_bookmark190"/>
      <w:bookmarkStart w:id="55" w:name="_Toc45095905"/>
      <w:bookmarkEnd w:id="53"/>
      <w:bookmarkEnd w:id="54"/>
      <w:r>
        <w:t>SUBPART 217.74--UNDEFINITIZED CONTRACT ACTIONS</w:t>
      </w:r>
      <w:bookmarkEnd w:id="55"/>
    </w:p>
    <w:p w:rsidR="000C0F7D" w:rsidRDefault="00632353" w:rsidP="00632353">
      <w:pPr>
        <w:pStyle w:val="Heading3"/>
      </w:pPr>
      <w:bookmarkStart w:id="56" w:name="217.7402__Exceptions."/>
      <w:bookmarkStart w:id="57" w:name="_bookmark191"/>
      <w:bookmarkStart w:id="58" w:name="_Toc45095906"/>
      <w:bookmarkEnd w:id="56"/>
      <w:bookmarkEnd w:id="57"/>
      <w:r>
        <w:t>217.7402</w:t>
      </w:r>
      <w:r>
        <w:rPr>
          <w:spacing w:val="59"/>
        </w:rPr>
        <w:t xml:space="preserve"> </w:t>
      </w:r>
      <w:r>
        <w:t>Exceptions.</w:t>
      </w:r>
      <w:bookmarkEnd w:id="58"/>
    </w:p>
    <w:p w:rsidR="00632353" w:rsidRDefault="00632353" w:rsidP="00632353">
      <w:pPr>
        <w:pStyle w:val="List1"/>
      </w:pPr>
      <w:r>
        <w:t>(a) The following undefinitized contract actions (UCAs) are not subject to this subpart.</w:t>
      </w:r>
    </w:p>
    <w:p w:rsidR="00632353" w:rsidRPr="00456ABA" w:rsidRDefault="00632353" w:rsidP="00632353">
      <w:pPr>
        <w:pStyle w:val="List2"/>
      </w:pPr>
      <w:r>
        <w:rPr>
          <w:spacing w:val="-8"/>
          <w:w w:val="99"/>
          <w:sz w:val="24"/>
          <w:szCs w:val="24"/>
        </w:rPr>
        <w:t>(1)</w:t>
      </w:r>
      <w:r>
        <w:rPr>
          <w:spacing w:val="-8"/>
          <w:w w:val="99"/>
          <w:sz w:val="24"/>
          <w:szCs w:val="24"/>
        </w:rPr>
        <w:tab/>
      </w:r>
      <w:r w:rsidRPr="00456ABA">
        <w:rPr>
          <w:sz w:val="24"/>
        </w:rPr>
        <w:t>PL82 contract actions at or below the simplified acquisition threshold</w:t>
      </w:r>
      <w:r w:rsidRPr="00456ABA">
        <w:rPr>
          <w:spacing w:val="-4"/>
          <w:sz w:val="24"/>
        </w:rPr>
        <w:t xml:space="preserve"> </w:t>
      </w:r>
      <w:r w:rsidRPr="00456ABA">
        <w:rPr>
          <w:sz w:val="24"/>
        </w:rPr>
        <w:t>for:</w:t>
      </w:r>
    </w:p>
    <w:p w:rsidR="00632353" w:rsidRPr="00456ABA" w:rsidRDefault="00632353" w:rsidP="00632353">
      <w:pPr>
        <w:pStyle w:val="List3"/>
      </w:pPr>
      <w:r>
        <w:rPr>
          <w:spacing w:val="-6"/>
          <w:w w:val="99"/>
          <w:sz w:val="24"/>
          <w:szCs w:val="24"/>
        </w:rPr>
        <w:t>(i)</w:t>
      </w:r>
      <w:r>
        <w:rPr>
          <w:spacing w:val="-6"/>
          <w:w w:val="99"/>
          <w:sz w:val="24"/>
          <w:szCs w:val="24"/>
        </w:rPr>
        <w:tab/>
      </w:r>
      <w:r w:rsidRPr="00456ABA">
        <w:rPr>
          <w:sz w:val="24"/>
        </w:rPr>
        <w:t>Temporary circuits associated with presidential travel ordered via the Basic</w:t>
      </w:r>
      <w:r w:rsidRPr="00456ABA">
        <w:rPr>
          <w:spacing w:val="-10"/>
          <w:sz w:val="24"/>
        </w:rPr>
        <w:t xml:space="preserve"> </w:t>
      </w:r>
      <w:r w:rsidRPr="00456ABA">
        <w:rPr>
          <w:sz w:val="24"/>
        </w:rPr>
        <w:t>Agreements</w:t>
      </w:r>
    </w:p>
    <w:p w:rsidR="000C0F7D" w:rsidRDefault="00632353" w:rsidP="00632353">
      <w:pPr>
        <w:pStyle w:val="List3"/>
      </w:pPr>
      <w:r>
        <w:rPr>
          <w:spacing w:val="-6"/>
          <w:w w:val="99"/>
          <w:sz w:val="24"/>
          <w:szCs w:val="24"/>
        </w:rPr>
        <w:t>(ii)</w:t>
      </w:r>
      <w:r>
        <w:rPr>
          <w:spacing w:val="-6"/>
          <w:w w:val="99"/>
          <w:sz w:val="24"/>
          <w:szCs w:val="24"/>
        </w:rPr>
        <w:tab/>
      </w:r>
      <w:r w:rsidRPr="00456ABA">
        <w:rPr>
          <w:sz w:val="24"/>
        </w:rPr>
        <w:t>CLINs associated with travel on the WHCA Travel</w:t>
      </w:r>
      <w:r w:rsidRPr="00456ABA">
        <w:rPr>
          <w:spacing w:val="-1"/>
          <w:sz w:val="24"/>
        </w:rPr>
        <w:t xml:space="preserve"> </w:t>
      </w:r>
      <w:r w:rsidRPr="00456ABA">
        <w:rPr>
          <w:sz w:val="24"/>
        </w:rPr>
        <w:t>Contract</w:t>
      </w:r>
    </w:p>
    <w:p w:rsidR="000C0F7D" w:rsidRDefault="00632353" w:rsidP="00632353">
      <w:pPr>
        <w:pStyle w:val="Heading3"/>
      </w:pPr>
      <w:bookmarkStart w:id="59" w:name="217.7404__Limitations."/>
      <w:bookmarkStart w:id="60" w:name="_bookmark192"/>
      <w:bookmarkStart w:id="61" w:name="_Toc45095907"/>
      <w:bookmarkEnd w:id="59"/>
      <w:bookmarkEnd w:id="60"/>
      <w:r>
        <w:t>217.7404</w:t>
      </w:r>
      <w:r>
        <w:rPr>
          <w:spacing w:val="59"/>
        </w:rPr>
        <w:t xml:space="preserve"> </w:t>
      </w:r>
      <w:r>
        <w:t>Limitations.</w:t>
      </w:r>
      <w:bookmarkEnd w:id="61"/>
    </w:p>
    <w:p w:rsidR="000C0F7D" w:rsidRDefault="00632353" w:rsidP="00632353">
      <w:pPr>
        <w:pStyle w:val="Heading4"/>
      </w:pPr>
      <w:bookmarkStart w:id="62" w:name="217.7404-1__Authorization."/>
      <w:bookmarkStart w:id="63" w:name="_bookmark193"/>
      <w:bookmarkStart w:id="64" w:name="_Toc45095908"/>
      <w:bookmarkEnd w:id="62"/>
      <w:bookmarkEnd w:id="63"/>
      <w:r>
        <w:t>217.7404-1</w:t>
      </w:r>
      <w:r>
        <w:rPr>
          <w:spacing w:val="59"/>
        </w:rPr>
        <w:t xml:space="preserve"> </w:t>
      </w:r>
      <w:r>
        <w:t>Authorization.</w:t>
      </w:r>
      <w:bookmarkEnd w:id="64"/>
    </w:p>
    <w:p w:rsidR="000C0F7D" w:rsidRDefault="00632353" w:rsidP="00632353">
      <w:pPr>
        <w:pStyle w:val="List1"/>
      </w:pPr>
      <w:r>
        <w:t xml:space="preserve">(S-90) The Request for HCA approval of an Undefinitized Contract Action (UCA) is located in </w:t>
      </w:r>
      <w:hyperlink r:id="rId21" w:history="1"/>
      <w:hyperlink r:id="rId22" w:history="1">
        <w:r w:rsidRPr="002D4CFF">
          <w:rPr>
            <w:rStyle w:val="Hyperlink"/>
          </w:rPr>
          <w:t>DARS PGI</w:t>
        </w:r>
      </w:hyperlink>
      <w:r w:rsidRPr="00085DBB">
        <w:t xml:space="preserve"> 217.7404-1(S-90) </w:t>
      </w:r>
      <w:r>
        <w:t>and must be maintained in the contract file.</w:t>
      </w:r>
    </w:p>
    <w:p w:rsidR="000C0F7D" w:rsidRDefault="00632353" w:rsidP="00632353">
      <w:pPr>
        <w:pStyle w:val="Heading3"/>
      </w:pPr>
      <w:bookmarkStart w:id="65" w:name="217.7405__Plans_and_reports."/>
      <w:bookmarkStart w:id="66" w:name="_bookmark194"/>
      <w:bookmarkStart w:id="67" w:name="_Toc45095909"/>
      <w:bookmarkEnd w:id="65"/>
      <w:bookmarkEnd w:id="66"/>
      <w:r>
        <w:t>217.7405 Plans and reports.</w:t>
      </w:r>
      <w:bookmarkEnd w:id="67"/>
    </w:p>
    <w:p w:rsidR="000C0F7D" w:rsidRDefault="00632353" w:rsidP="00632353">
      <w:pPr>
        <w:pStyle w:val="List1"/>
      </w:pPr>
      <w:r>
        <w:t xml:space="preserve">(S-90) </w:t>
      </w:r>
      <w:r w:rsidRPr="00F2370A">
        <w:rPr>
          <w:i/>
          <w:lang w:val="en"/>
        </w:rPr>
        <w:t>Processing.</w:t>
      </w:r>
      <w:r>
        <w:rPr>
          <w:lang w:val="en"/>
        </w:rPr>
        <w:t xml:space="preserve">  The PL2 Contract Policy &amp; Operations Division will track the processing of UCAs </w:t>
      </w:r>
      <w:r w:rsidRPr="000D69DF">
        <w:rPr>
          <w:lang w:val="en"/>
        </w:rPr>
        <w:t xml:space="preserve">(see </w:t>
      </w:r>
      <w:hyperlink r:id="rId23" w:tgtFrame="_blank" w:history="1">
        <w:r w:rsidRPr="000D69DF">
          <w:rPr>
            <w:color w:val="0000FF"/>
            <w:lang w:val="en"/>
          </w:rPr>
          <w:t>DFARS 217.7405</w:t>
        </w:r>
      </w:hyperlink>
      <w:r w:rsidRPr="000D69DF">
        <w:rPr>
          <w:lang w:val="en"/>
        </w:rPr>
        <w:t xml:space="preserve"> &amp; </w:t>
      </w:r>
      <w:hyperlink r:id="rId24" w:anchor="217.7405" w:tgtFrame="_blank" w:history="1">
        <w:r w:rsidRPr="000D69DF">
          <w:rPr>
            <w:color w:val="0000FF"/>
            <w:lang w:val="en"/>
          </w:rPr>
          <w:t>PGI</w:t>
        </w:r>
      </w:hyperlink>
      <w:r w:rsidRPr="000D69DF">
        <w:rPr>
          <w:lang w:val="en"/>
        </w:rPr>
        <w:t xml:space="preserve"> </w:t>
      </w:r>
      <w:hyperlink r:id="rId25" w:anchor="217.7405" w:tgtFrame="_blank" w:history="1">
        <w:r w:rsidRPr="000D69DF">
          <w:rPr>
            <w:color w:val="0000FF"/>
            <w:lang w:val="en"/>
          </w:rPr>
          <w:t>217.7405</w:t>
        </w:r>
      </w:hyperlink>
      <w:r>
        <w:rPr>
          <w:color w:val="0000FF"/>
          <w:lang w:val="en"/>
        </w:rPr>
        <w:t xml:space="preserve">) </w:t>
      </w:r>
      <w:r>
        <w:rPr>
          <w:lang w:val="en"/>
        </w:rPr>
        <w:t xml:space="preserve">from providing a UCA Tracking Number to reviewing the final negotiated agreement, at all dollar values.  UCAs valued at greater than $5M will be reported to the Director, Defense Pricing and Contracting in accordance with the DISA Consolidated UCA Management Plan.  </w:t>
      </w:r>
      <w:r>
        <w:t xml:space="preserve"> Contract data shall be maintained in the format required by the spreadsheet referenced in DFARS PGI 217.7405(2)(ii). </w:t>
      </w:r>
      <w:r w:rsidRPr="000D69DF">
        <w:rPr>
          <w:lang w:val="en"/>
        </w:rPr>
        <w:t>PL2 will track approval of the UCA by the HCA, and upon approval (signature) retain a copy of the approved UCA Request for Approval and the UCA D&amp;Fs to complete the bi-annual UCA Report.</w:t>
      </w:r>
    </w:p>
    <w:p w:rsidR="000C0F7D" w:rsidRDefault="00632353" w:rsidP="00632353">
      <w:pPr>
        <w:pStyle w:val="List1"/>
      </w:pPr>
      <w:r w:rsidRPr="00015350">
        <w:t>(</w:t>
      </w:r>
      <w:r>
        <w:t>S-91</w:t>
      </w:r>
      <w:r w:rsidRPr="00015350">
        <w:t xml:space="preserve">)  </w:t>
      </w:r>
      <w:r w:rsidRPr="00015350">
        <w:rPr>
          <w:i/>
        </w:rPr>
        <w:t>Review.</w:t>
      </w:r>
      <w:r w:rsidRPr="00015350">
        <w:t xml:space="preserve">  The contracting officer shall </w:t>
      </w:r>
      <w:r>
        <w:rPr>
          <w:lang w:val="en"/>
        </w:rPr>
        <w:t>obtain a UCA Tracking Number</w:t>
      </w:r>
      <w:r w:rsidRPr="000D69DF">
        <w:rPr>
          <w:lang w:val="en"/>
        </w:rPr>
        <w:t xml:space="preserve"> </w:t>
      </w:r>
      <w:r>
        <w:rPr>
          <w:lang w:val="en"/>
        </w:rPr>
        <w:t xml:space="preserve">from </w:t>
      </w:r>
      <w:hyperlink r:id="rId26" w:history="1">
        <w:r w:rsidRPr="009C0D8F">
          <w:rPr>
            <w:rStyle w:val="Hyperlink"/>
            <w:lang w:val="en"/>
          </w:rPr>
          <w:t>PL21, Contract Policy Branch</w:t>
        </w:r>
      </w:hyperlink>
      <w:r>
        <w:rPr>
          <w:lang w:val="en"/>
        </w:rPr>
        <w:t xml:space="preserve"> and shall </w:t>
      </w:r>
      <w:r w:rsidRPr="00015350">
        <w:t xml:space="preserve">obtain a compliance review of the final negotiated agreement, to include profit/fee, from the </w:t>
      </w:r>
      <w:hyperlink r:id="rId27" w:history="1">
        <w:r w:rsidRPr="007A2877">
          <w:rPr>
            <w:rStyle w:val="Hyperlink"/>
          </w:rPr>
          <w:t xml:space="preserve">PL22, </w:t>
        </w:r>
        <w:r w:rsidRPr="00920CC4">
          <w:rPr>
            <w:rStyle w:val="Hyperlink"/>
          </w:rPr>
          <w:t>Contract Operations</w:t>
        </w:r>
        <w:r w:rsidRPr="007A2877">
          <w:rPr>
            <w:rStyle w:val="Hyperlink"/>
          </w:rPr>
          <w:t xml:space="preserve"> Branch</w:t>
        </w:r>
      </w:hyperlink>
      <w:r w:rsidRPr="00015350">
        <w:t xml:space="preserve"> prior to definitization.</w:t>
      </w:r>
    </w:p>
    <w:p w:rsidR="000C0F7D" w:rsidRDefault="00632353" w:rsidP="00632353">
      <w:pPr>
        <w:pStyle w:val="List1"/>
      </w:pPr>
      <w:r>
        <w:t xml:space="preserve">(S-92) </w:t>
      </w:r>
      <w:r>
        <w:rPr>
          <w:i/>
        </w:rPr>
        <w:t>Management Plan (D&amp;F)</w:t>
      </w:r>
      <w:r>
        <w:t xml:space="preserve">. All UCAs are required to adhere to the ‘Consolidated UCA Management Plan’ required by DFARS PGI 217.7405 (2)(i). Before entering into any UCA, Contracting Officers shall obtain HCA approval (See DARS 217.7404-1). Prior to definitization , </w:t>
      </w:r>
      <w:r>
        <w:lastRenderedPageBreak/>
        <w:t>Contracting Officer shall satisfy the requirements of the UCA Management Plan by executing a UCA D&amp;F for HCA approval. The UCA D&amp;F contains elements of the Consolidated UCA Management Plan (</w:t>
      </w:r>
      <w:hyperlink r:id="rId28">
        <w:r>
          <w:rPr>
            <w:color w:val="0000FF"/>
            <w:u w:val="single" w:color="0000FF"/>
          </w:rPr>
          <w:t>DFARS PGI 217.7405(2)(i</w:t>
        </w:r>
      </w:hyperlink>
      <w:r>
        <w:t xml:space="preserve">)) and shall be maintained in the contract file. The UCA D&amp;F template is located in </w:t>
      </w:r>
      <w:hyperlink r:id="rId29" w:history="1">
        <w:hyperlink r:id="rId30" w:history="1">
          <w:r w:rsidRPr="002D4CFF">
            <w:rPr>
              <w:rStyle w:val="Hyperlink"/>
            </w:rPr>
            <w:t>DARS PGI</w:t>
          </w:r>
        </w:hyperlink>
      </w:hyperlink>
      <w:r w:rsidRPr="000E7F7B">
        <w:rPr>
          <w:color w:val="0000FF"/>
        </w:rPr>
        <w:t xml:space="preserve"> </w:t>
      </w:r>
      <w:r w:rsidRPr="000E7F7B">
        <w:t xml:space="preserve">217.7405(S-91). </w:t>
      </w:r>
      <w:hyperlink w:history="1"/>
      <w:r w:rsidRPr="000E7F7B">
        <w:t xml:space="preserve"> </w:t>
      </w:r>
    </w:p>
    <w:p w:rsidR="000C0F7D" w:rsidRDefault="00632353" w:rsidP="00632353">
      <w:pPr>
        <w:pStyle w:val="Heading2"/>
      </w:pPr>
      <w:bookmarkStart w:id="68" w:name="SUBPART_17.91_—_PRODUCT_LOAN_AGREEMENTS"/>
      <w:bookmarkStart w:id="69" w:name="_bookmark195"/>
      <w:bookmarkStart w:id="70" w:name="_Toc45095910"/>
      <w:bookmarkEnd w:id="68"/>
      <w:bookmarkEnd w:id="69"/>
      <w:r>
        <w:t>SUBPART 17.91 — PRODUCT LOAN AGREEMENTS</w:t>
      </w:r>
      <w:bookmarkEnd w:id="70"/>
    </w:p>
    <w:p w:rsidR="000C0F7D" w:rsidRDefault="00632353" w:rsidP="00632353">
      <w:pPr>
        <w:pStyle w:val="Heading3"/>
      </w:pPr>
      <w:bookmarkStart w:id="71" w:name="17.9100__General."/>
      <w:bookmarkStart w:id="72" w:name="_bookmark196"/>
      <w:bookmarkStart w:id="73" w:name="_Toc45095911"/>
      <w:bookmarkEnd w:id="71"/>
      <w:bookmarkEnd w:id="72"/>
      <w:r>
        <w:t>17.9100</w:t>
      </w:r>
      <w:r>
        <w:rPr>
          <w:spacing w:val="59"/>
        </w:rPr>
        <w:t xml:space="preserve"> </w:t>
      </w:r>
      <w:r>
        <w:t>General.</w:t>
      </w:r>
      <w:bookmarkEnd w:id="73"/>
    </w:p>
    <w:p w:rsidR="000C0F7D" w:rsidRDefault="00632353" w:rsidP="00632353">
      <w:pPr>
        <w:pStyle w:val="BodyText"/>
        <w:ind w:left="459" w:right="549"/>
      </w:pPr>
      <w:r>
        <w:t>Product Loan Agreement is a convenient vehicle for the Government to test and evaluate commercial and developmental items for a specified period of time. The Agreement allows the Government to use the product(s) on a no-cost basis for demonstration, testing, and assessing various product(s) in the marketplace.</w:t>
      </w:r>
    </w:p>
    <w:p w:rsidR="000C0F7D" w:rsidRDefault="00632353" w:rsidP="00632353">
      <w:pPr>
        <w:pStyle w:val="Heading3"/>
      </w:pPr>
      <w:bookmarkStart w:id="74" w:name="17.9101__Policy."/>
      <w:bookmarkStart w:id="75" w:name="_bookmark197"/>
      <w:bookmarkStart w:id="76" w:name="_Toc45095912"/>
      <w:bookmarkEnd w:id="74"/>
      <w:bookmarkEnd w:id="75"/>
      <w:r>
        <w:t>17.9101</w:t>
      </w:r>
      <w:r>
        <w:rPr>
          <w:spacing w:val="59"/>
        </w:rPr>
        <w:t xml:space="preserve"> </w:t>
      </w:r>
      <w:r>
        <w:t>Policy.</w:t>
      </w:r>
      <w:bookmarkEnd w:id="76"/>
    </w:p>
    <w:p w:rsidR="000C0F7D" w:rsidRDefault="00632353" w:rsidP="00632353">
      <w:pPr>
        <w:pStyle w:val="List1"/>
      </w:pPr>
      <w:r>
        <w:rPr>
          <w:szCs w:val="24"/>
        </w:rPr>
        <w:t xml:space="preserve">(a)  </w:t>
      </w:r>
      <w:r w:rsidRPr="00C273F6">
        <w:rPr>
          <w:szCs w:val="24"/>
        </w:rPr>
        <w:t>The cognizant requirements office develops and initiates the Product Loan Agreement (PLA)</w:t>
      </w:r>
      <w:r w:rsidRPr="00C273F6">
        <w:rPr>
          <w:color w:val="000000"/>
          <w:szCs w:val="24"/>
        </w:rPr>
        <w:t xml:space="preserve"> using the instructions and automated application available at: </w:t>
      </w:r>
      <w:hyperlink r:id="rId31" w:history="1">
        <w:r w:rsidRPr="00C273F6">
          <w:rPr>
            <w:rStyle w:val="Hyperlink"/>
            <w:szCs w:val="24"/>
          </w:rPr>
          <w:t>https://cmis.disa.mil/facilities/vendorloan/vendorloan.cfm</w:t>
        </w:r>
      </w:hyperlink>
      <w:r w:rsidRPr="00C273F6">
        <w:rPr>
          <w:szCs w:val="24"/>
        </w:rPr>
        <w:t>.</w:t>
      </w:r>
    </w:p>
    <w:p w:rsidR="000C0F7D" w:rsidRDefault="00632353" w:rsidP="00632353">
      <w:pPr>
        <w:pStyle w:val="List1"/>
      </w:pPr>
      <w:r>
        <w:rPr>
          <w:szCs w:val="24"/>
        </w:rPr>
        <w:t xml:space="preserve">(b) </w:t>
      </w:r>
      <w:r w:rsidRPr="00C273F6">
        <w:rPr>
          <w:szCs w:val="24"/>
        </w:rPr>
        <w:t xml:space="preserve"> The contracting officer is the only individual authorized to enter into, administer, and terminate Product Loan Agreements on behalf of the Government. Unauthorized signatures</w:t>
      </w:r>
      <w:r w:rsidRPr="00C273F6">
        <w:rPr>
          <w:spacing w:val="-23"/>
          <w:szCs w:val="24"/>
        </w:rPr>
        <w:t xml:space="preserve"> </w:t>
      </w:r>
      <w:r w:rsidRPr="00C273F6">
        <w:rPr>
          <w:szCs w:val="24"/>
        </w:rPr>
        <w:t>on Product Loan Agreements may result in Anti-Deficiency Act</w:t>
      </w:r>
      <w:r w:rsidRPr="00C273F6">
        <w:rPr>
          <w:spacing w:val="-7"/>
          <w:szCs w:val="24"/>
        </w:rPr>
        <w:t xml:space="preserve"> </w:t>
      </w:r>
      <w:r w:rsidRPr="00C273F6">
        <w:rPr>
          <w:szCs w:val="24"/>
        </w:rPr>
        <w:t>violations.</w:t>
      </w:r>
    </w:p>
    <w:p w:rsidR="000C0F7D" w:rsidRDefault="00632353" w:rsidP="00632353">
      <w:pPr>
        <w:rPr>
          <w:sz w:val="24"/>
        </w:rPr>
      </w:pPr>
      <w:r>
        <w:br w:type="page"/>
      </w:r>
    </w:p>
    <w:p w:rsidR="004869A0" w:rsidRDefault="004869A0">
      <w:pPr>
        <w:pStyle w:val="BodyText"/>
        <w:spacing w:before="90"/>
        <w:ind w:left="460"/>
      </w:pPr>
    </w:p>
    <w:sectPr w:rsidR="004869A0">
      <w:footerReference w:type="default" r:id="rId32"/>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32353" w:rsidRDefault="00632353">
      <w:r>
        <w:separator/>
      </w:r>
    </w:p>
  </w:endnote>
  <w:endnote w:type="continuationSeparator" w:id="0">
    <w:p w:rsidR="00632353" w:rsidRDefault="00632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32353" w:rsidRDefault="00632353">
      <w:r>
        <w:separator/>
      </w:r>
    </w:p>
  </w:footnote>
  <w:footnote w:type="continuationSeparator" w:id="0">
    <w:p w:rsidR="00632353" w:rsidRDefault="006323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0F7D"/>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353"/>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sa.deps.mil/org/PL2/Lists/BridgeChart/AllItems.aspx" TargetMode="External"/><Relationship Id="rId18" Type="http://schemas.openxmlformats.org/officeDocument/2006/relationships/hyperlink" Target="https://disa.deps.mil/ext/resource/disa_publications_issuances/DISA_Publications/Forms/AllItems.aspx?RootFolder=%2Fext%2Fresource%2Fdisa%5Fpublications%5Fissuances%2FDISA%5FPublications%2F200%20%2D%20Administration%2F270%20Logistics%20Management%2FIssuances&amp;amp;InitialTabId=Ribbon%2EDocument&amp;amp;VisibilityContext=WSSTabPersistence" TargetMode="External"/><Relationship Id="rId26" Type="http://schemas.openxmlformats.org/officeDocument/2006/relationships/hyperlink" Target="mailto:disa.meade.PLD.mbx.pl21-policy-branch@mail.mil" TargetMode="External"/><Relationship Id="rId3" Type="http://schemas.openxmlformats.org/officeDocument/2006/relationships/customXml" Target="../customXml/item3.xml"/><Relationship Id="rId2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isa.deps.mil/org/PL2/Pages/DITCORefs.aspx" TargetMode="External"/><Relationship Id="rId17" Type="http://schemas.openxmlformats.org/officeDocument/2006/relationships/hyperlink" Target="https://disa.deps.mil/org/PL2/Pages/DITCORefs.aspx" TargetMode="External"/><Relationship Id="rId25" Type="http://schemas.openxmlformats.org/officeDocument/2006/relationships/hyperlink" Target="http://www.acq.osd.mil/dpap/dars/pgi/pgi_htm/PGI217_74.ht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itco.disa.mil/DITCOContractingTemplates/Default.asp" TargetMode="External"/><Relationship Id="rId20" Type="http://schemas.openxmlformats.org/officeDocument/2006/relationships/hyperlink" Target="https://www.ditco.disa.mil/DitcoContractingTemplates/doku.php?id=interagency_acquisition_guide" TargetMode="External"/><Relationship Id="rId2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4" Type="http://schemas.openxmlformats.org/officeDocument/2006/relationships/hyperlink" Target="http://www.acq.osd.mil/dpap/dars/pgi/pgi_htm/PGI217_74.htm"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23" Type="http://schemas.openxmlformats.org/officeDocument/2006/relationships/hyperlink" Target="http://www.acq.osd.mil/dpap/dars/dfars/html/current/217_74.htm" TargetMode="External"/><Relationship Id="rId28" Type="http://schemas.openxmlformats.org/officeDocument/2006/relationships/hyperlink" Target="http://www.acq.osd.mil/dpap/dars/pgi/frameset.htm?dfarsno=217_2&amp;amp;amp%3Bpgino=PGI217_74&amp;amp;amp%3Bpgianchor=217.7405&amp;amp;amp%3Bdfarsanchor=217.7405" TargetMode="External"/><Relationship Id="rId10" Type="http://schemas.openxmlformats.org/officeDocument/2006/relationships/endnotes" Target="endnotes.xml"/><Relationship Id="rId19" Type="http://schemas.openxmlformats.org/officeDocument/2006/relationships/hyperlink" Target="https://www.ditco.disa.mil/DitcoContractingTemplates/doku.php?id=interagency_acquisition_guide" TargetMode="External"/><Relationship Id="rId31" Type="http://schemas.openxmlformats.org/officeDocument/2006/relationships/hyperlink" Target="https://cmis.disa.mil/facilities/vendorloan/vendorloan.cf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22" Type="http://schemas.openxmlformats.org/officeDocument/2006/relationships/hyperlink" Target="https://disa.deps.mil/org/PL2/Pages/DITCORefs.aspx" TargetMode="External"/><Relationship Id="rId27" Type="http://schemas.openxmlformats.org/officeDocument/2006/relationships/hyperlink" Target="mailto:disa.meade.PLD.mbx.pl22-policy-compliance-review@mail.mil" TargetMode="External"/><Relationship Id="rId30"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4.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2020-07-08T14:16:00Z</dcterms:created>
  <dcterms:modified xsi:type="dcterms:W3CDTF">2020-07-08T14:16:00Z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