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ED3" w:rsidRDefault="00AC1ED3" w:rsidP="00CA0BC5">
      <w:pPr>
        <w:pStyle w:val="Heading1"/>
      </w:pPr>
      <w:r>
        <w:t>PART 28 -- BONDS AND INSURANCE</w:t>
      </w:r>
    </w:p>
    <w:p w:rsidR="00AC1ED3" w:rsidRDefault="00AC1ED3" w:rsidP="00CA0BC5">
      <w:pPr>
        <w:pStyle w:val="Heading1"/>
      </w:pPr>
      <w:r>
        <w:t>TABLE OF CONTENTS</w:t>
      </w:r>
    </w:p>
    <w:p w:rsidR="00AC1ED3" w:rsidRDefault="00AC1ED3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5095944" w:history="1">
        <w:r w:rsidRPr="00D30BEC">
          <w:rPr>
            <w:rStyle w:val="Hyperlink"/>
            <w:noProof/>
          </w:rPr>
          <w:t>SUBPART 28.1 — BONDS</w:t>
        </w:r>
      </w:hyperlink>
    </w:p>
    <w:p w:rsidR="00AC1ED3" w:rsidRDefault="00AC1ED3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945" w:history="1">
        <w:r w:rsidRPr="00D30BEC">
          <w:rPr>
            <w:rStyle w:val="Hyperlink"/>
            <w:noProof/>
          </w:rPr>
          <w:t>28.106</w:t>
        </w:r>
        <w:r w:rsidRPr="00D30BEC">
          <w:rPr>
            <w:rStyle w:val="Hyperlink"/>
            <w:noProof/>
            <w:spacing w:val="59"/>
          </w:rPr>
          <w:t xml:space="preserve"> </w:t>
        </w:r>
        <w:r w:rsidRPr="00D30BEC">
          <w:rPr>
            <w:rStyle w:val="Hyperlink"/>
            <w:noProof/>
          </w:rPr>
          <w:t>Administration.</w:t>
        </w:r>
      </w:hyperlink>
    </w:p>
    <w:p w:rsidR="00AC1ED3" w:rsidRDefault="00AC1ED3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5095946" w:history="1">
        <w:r w:rsidRPr="00D30BEC">
          <w:rPr>
            <w:rStyle w:val="Hyperlink"/>
            <w:noProof/>
          </w:rPr>
          <w:t>28.106-6 Furnishing information.</w:t>
        </w:r>
      </w:hyperlink>
    </w:p>
    <w:p w:rsidR="00AC1ED3" w:rsidRDefault="00AC1ED3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947" w:history="1">
        <w:r w:rsidRPr="00D30BEC">
          <w:rPr>
            <w:rStyle w:val="Hyperlink"/>
            <w:noProof/>
          </w:rPr>
          <w:t>SUBPART 28.2 – SURETIES AND OTHER SECURITY FOR</w:t>
        </w:r>
        <w:r w:rsidRPr="00D30BEC">
          <w:rPr>
            <w:rStyle w:val="Hyperlink"/>
            <w:noProof/>
            <w:spacing w:val="-23"/>
          </w:rPr>
          <w:t xml:space="preserve"> </w:t>
        </w:r>
        <w:r w:rsidRPr="00D30BEC">
          <w:rPr>
            <w:rStyle w:val="Hyperlink"/>
            <w:noProof/>
          </w:rPr>
          <w:t>BONDS</w:t>
        </w:r>
      </w:hyperlink>
    </w:p>
    <w:p w:rsidR="00AC1ED3" w:rsidRDefault="00AC1ED3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5095948" w:history="1">
        <w:r w:rsidRPr="00D30BEC">
          <w:rPr>
            <w:rStyle w:val="Hyperlink"/>
            <w:noProof/>
          </w:rPr>
          <w:t>28.203-7 Exclusion of individual sureties.</w:t>
        </w:r>
      </w:hyperlink>
    </w:p>
    <w:p w:rsidR="00CA0BC5" w:rsidRDefault="00AC1ED3" w:rsidP="00CA0BC5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AC1ED3" w:rsidRDefault="00CA0BC5" w:rsidP="00CA0BC5">
      <w:pPr>
        <w:pStyle w:val="Heading2"/>
      </w:pPr>
      <w:bookmarkStart w:id="0" w:name="SUBPART_28.1_—_BONDS"/>
      <w:bookmarkStart w:id="1" w:name="_bookmark230"/>
      <w:bookmarkStart w:id="2" w:name="_Toc45095944"/>
      <w:bookmarkEnd w:id="0"/>
      <w:bookmarkEnd w:id="1"/>
      <w:r>
        <w:t>SUBPART 28.1 — BONDS</w:t>
      </w:r>
      <w:bookmarkEnd w:id="2"/>
    </w:p>
    <w:p w:rsidR="00AC1ED3" w:rsidRDefault="00CA0BC5" w:rsidP="00CA0BC5">
      <w:pPr>
        <w:pStyle w:val="Heading3"/>
      </w:pPr>
      <w:bookmarkStart w:id="3" w:name="28.106__Administration."/>
      <w:bookmarkStart w:id="4" w:name="_bookmark231"/>
      <w:bookmarkStart w:id="5" w:name="_Toc45095945"/>
      <w:bookmarkEnd w:id="3"/>
      <w:bookmarkEnd w:id="4"/>
      <w:r>
        <w:t>28.106</w:t>
      </w:r>
      <w:r>
        <w:rPr>
          <w:spacing w:val="59"/>
        </w:rPr>
        <w:t xml:space="preserve"> </w:t>
      </w:r>
      <w:r>
        <w:t>Administration.</w:t>
      </w:r>
      <w:bookmarkEnd w:id="5"/>
    </w:p>
    <w:p w:rsidR="00AC1ED3" w:rsidRDefault="00CA0BC5" w:rsidP="00CA0BC5">
      <w:pPr>
        <w:pStyle w:val="Heading4"/>
      </w:pPr>
      <w:bookmarkStart w:id="6" w:name="28.106-6__Furnishing_information."/>
      <w:bookmarkStart w:id="7" w:name="_bookmark232"/>
      <w:bookmarkStart w:id="8" w:name="_Toc45095946"/>
      <w:bookmarkEnd w:id="6"/>
      <w:bookmarkEnd w:id="7"/>
      <w:r>
        <w:t>28.106-6 Furnishing information.</w:t>
      </w:r>
      <w:bookmarkEnd w:id="8"/>
    </w:p>
    <w:p w:rsidR="00AC1ED3" w:rsidRDefault="00CA0BC5" w:rsidP="00CA0BC5">
      <w:pPr>
        <w:pStyle w:val="List1"/>
      </w:pPr>
      <w:r>
        <w:t>(c) The CoCO is delegated the authority to provide a certified copy of the performance bond to an interested party and determine the costs for preparing the certified copy of the</w:t>
      </w:r>
      <w:r>
        <w:rPr>
          <w:spacing w:val="-19"/>
        </w:rPr>
        <w:t xml:space="preserve"> </w:t>
      </w:r>
      <w:r>
        <w:t>bond.</w:t>
      </w:r>
    </w:p>
    <w:p w:rsidR="00AC1ED3" w:rsidRDefault="00CA0BC5" w:rsidP="00CA0BC5">
      <w:pPr>
        <w:pStyle w:val="Heading2"/>
      </w:pPr>
      <w:bookmarkStart w:id="9" w:name="SUBPART_28.2_–_SURETIES_AND_OTHER_SECURI"/>
      <w:bookmarkStart w:id="10" w:name="_bookmark233"/>
      <w:bookmarkStart w:id="11" w:name="_Toc45095947"/>
      <w:bookmarkEnd w:id="9"/>
      <w:bookmarkEnd w:id="10"/>
      <w:r>
        <w:t>SUBPART 28.2 – SURETIES AND OTHER SECURITY FOR</w:t>
      </w:r>
      <w:r>
        <w:rPr>
          <w:spacing w:val="-23"/>
        </w:rPr>
        <w:t xml:space="preserve"> </w:t>
      </w:r>
      <w:r>
        <w:t>BONDS</w:t>
      </w:r>
      <w:bookmarkEnd w:id="11"/>
    </w:p>
    <w:p w:rsidR="00AC1ED3" w:rsidRDefault="00CA0BC5" w:rsidP="00CA0BC5">
      <w:pPr>
        <w:pStyle w:val="Heading4"/>
      </w:pPr>
      <w:bookmarkStart w:id="12" w:name="28.203-7__Exclusion_of_individual_sureti"/>
      <w:bookmarkStart w:id="13" w:name="_bookmark234"/>
      <w:bookmarkStart w:id="14" w:name="_Toc45095948"/>
      <w:bookmarkEnd w:id="12"/>
      <w:bookmarkEnd w:id="13"/>
      <w:r>
        <w:t>28.203-7 Exclusion of individual sureties.</w:t>
      </w:r>
      <w:bookmarkEnd w:id="14"/>
    </w:p>
    <w:p w:rsidR="00CA0BC5" w:rsidRDefault="00CA0BC5" w:rsidP="00CA0BC5">
      <w:pPr>
        <w:pStyle w:val="List1"/>
      </w:pPr>
      <w:r>
        <w:t>(a) The designee is the HCA.</w:t>
      </w:r>
    </w:p>
    <w:p w:rsidR="00AC1ED3" w:rsidRDefault="00CA0BC5" w:rsidP="00CA0BC5"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0BC5" w:rsidRDefault="00CA0BC5">
      <w:r>
        <w:separator/>
      </w:r>
    </w:p>
  </w:endnote>
  <w:endnote w:type="continuationSeparator" w:id="0">
    <w:p w:rsidR="00CA0BC5" w:rsidRDefault="00CA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0BC5" w:rsidRDefault="00CA0BC5">
      <w:r>
        <w:separator/>
      </w:r>
    </w:p>
  </w:footnote>
  <w:footnote w:type="continuationSeparator" w:id="0">
    <w:p w:rsidR="00CA0BC5" w:rsidRDefault="00CA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C1ED3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BC5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