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1046" w:rsidRDefault="00C71046" w:rsidP="00175A93">
      <w:pPr>
        <w:pStyle w:val="Heading1"/>
      </w:pPr>
      <w:r>
        <w:t>PART 3 -- IMPROPER BUSINESS PRACTICES AND PERSONAL CONFLICTS OF INTEREST</w:t>
      </w:r>
    </w:p>
    <w:p w:rsidR="00C71046" w:rsidRDefault="00C71046" w:rsidP="00175A93">
      <w:pPr>
        <w:pStyle w:val="Heading1"/>
      </w:pPr>
      <w:r>
        <w:t>TABLE OF CONTENTS</w:t>
      </w:r>
    </w:p>
    <w:p w:rsidR="00C71046" w:rsidRDefault="00C71046">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5949" w:history="1">
        <w:r w:rsidRPr="00006E6E">
          <w:rPr>
            <w:rStyle w:val="Hyperlink"/>
            <w:noProof/>
          </w:rPr>
          <w:t>SUBPART 3.1 — SAFEGUARDS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50" w:history="1">
        <w:r w:rsidRPr="00006E6E">
          <w:rPr>
            <w:rStyle w:val="Hyperlink"/>
            <w:noProof/>
          </w:rPr>
          <w:t>3.101  Standards of</w:t>
        </w:r>
        <w:r w:rsidRPr="00006E6E">
          <w:rPr>
            <w:rStyle w:val="Hyperlink"/>
            <w:noProof/>
            <w:spacing w:val="-10"/>
          </w:rPr>
          <w:t xml:space="preserve"> </w:t>
        </w:r>
        <w:r w:rsidRPr="00006E6E">
          <w:rPr>
            <w:rStyle w:val="Hyperlink"/>
            <w:noProof/>
          </w:rPr>
          <w:t>conduct.</w:t>
        </w:r>
      </w:hyperlink>
    </w:p>
    <w:p w:rsidR="00C71046" w:rsidRDefault="00C71046">
      <w:pPr>
        <w:pStyle w:val="TOC4"/>
        <w:tabs>
          <w:tab w:val="right" w:leader="dot" w:pos="10250"/>
        </w:tabs>
        <w:rPr>
          <w:rFonts w:asciiTheme="minorHAnsi" w:hAnsiTheme="minorHAnsi" w:cstheme="minorBidi"/>
          <w:noProof/>
          <w:sz w:val="22"/>
          <w:szCs w:val="22"/>
        </w:rPr>
      </w:pPr>
      <w:hyperlink w:anchor="_Toc45095951" w:history="1">
        <w:r w:rsidRPr="00006E6E">
          <w:rPr>
            <w:rStyle w:val="Hyperlink"/>
            <w:noProof/>
          </w:rPr>
          <w:t>3.101-3  Agency</w:t>
        </w:r>
        <w:r w:rsidRPr="00006E6E">
          <w:rPr>
            <w:rStyle w:val="Hyperlink"/>
            <w:noProof/>
            <w:spacing w:val="-6"/>
          </w:rPr>
          <w:t xml:space="preserve"> </w:t>
        </w:r>
        <w:r w:rsidRPr="00006E6E">
          <w:rPr>
            <w:rStyle w:val="Hyperlink"/>
            <w:noProof/>
          </w:rPr>
          <w:t>regulations.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52" w:history="1">
        <w:r w:rsidRPr="00006E6E">
          <w:rPr>
            <w:rStyle w:val="Hyperlink"/>
            <w:noProof/>
          </w:rPr>
          <w:t>203.104  Procurement integrity.</w:t>
        </w:r>
      </w:hyperlink>
    </w:p>
    <w:p w:rsidR="00C71046" w:rsidRDefault="00C71046">
      <w:pPr>
        <w:pStyle w:val="TOC4"/>
        <w:tabs>
          <w:tab w:val="right" w:leader="dot" w:pos="10250"/>
        </w:tabs>
        <w:rPr>
          <w:rFonts w:asciiTheme="minorHAnsi" w:hAnsiTheme="minorHAnsi" w:cstheme="minorBidi"/>
          <w:noProof/>
          <w:sz w:val="22"/>
          <w:szCs w:val="22"/>
        </w:rPr>
      </w:pPr>
      <w:hyperlink w:anchor="_Toc45095953" w:history="1">
        <w:r w:rsidRPr="00006E6E">
          <w:rPr>
            <w:rStyle w:val="Hyperlink"/>
            <w:noProof/>
          </w:rPr>
          <w:t>(S-90)  All Agency personnel are required to sign a one-time non-disclosure agreement (NDA) which lasts for the duration of DISA employment.  In addition, Contracting Officers will require a separate signed source selection specific NDA.</w:t>
        </w:r>
      </w:hyperlink>
    </w:p>
    <w:p w:rsidR="00C71046" w:rsidRDefault="00C71046">
      <w:pPr>
        <w:pStyle w:val="TOC4"/>
        <w:tabs>
          <w:tab w:val="right" w:leader="dot" w:pos="10250"/>
        </w:tabs>
        <w:rPr>
          <w:rFonts w:asciiTheme="minorHAnsi" w:hAnsiTheme="minorHAnsi" w:cstheme="minorBidi"/>
          <w:noProof/>
          <w:sz w:val="22"/>
          <w:szCs w:val="22"/>
        </w:rPr>
      </w:pPr>
      <w:hyperlink w:anchor="_Toc45095954" w:history="1">
        <w:r w:rsidRPr="00006E6E">
          <w:rPr>
            <w:rStyle w:val="Hyperlink"/>
            <w:noProof/>
          </w:rPr>
          <w:t>3.104-4  Disclosure, protection, and marking of contractor bid or proposal information and source selection information.</w:t>
        </w:r>
      </w:hyperlink>
    </w:p>
    <w:p w:rsidR="00C71046" w:rsidRDefault="00C71046">
      <w:pPr>
        <w:pStyle w:val="TOC4"/>
        <w:tabs>
          <w:tab w:val="right" w:leader="dot" w:pos="10250"/>
        </w:tabs>
        <w:rPr>
          <w:rFonts w:asciiTheme="minorHAnsi" w:hAnsiTheme="minorHAnsi" w:cstheme="minorBidi"/>
          <w:noProof/>
          <w:sz w:val="22"/>
          <w:szCs w:val="22"/>
        </w:rPr>
      </w:pPr>
      <w:hyperlink w:anchor="_Toc45095955" w:history="1">
        <w:r w:rsidRPr="00006E6E">
          <w:rPr>
            <w:rStyle w:val="Hyperlink"/>
            <w:noProof/>
          </w:rPr>
          <w:t>3.104-7  Violations or possible violations.</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56" w:history="1">
        <w:r w:rsidRPr="00006E6E">
          <w:rPr>
            <w:rStyle w:val="Hyperlink"/>
            <w:noProof/>
          </w:rPr>
          <w:t>SUBPART 3.2 — CONTRACTOR GRATUITIES TO GOVERNMENT PERSONNEL</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57" w:history="1">
        <w:r w:rsidRPr="00006E6E">
          <w:rPr>
            <w:rStyle w:val="Hyperlink"/>
            <w:noProof/>
          </w:rPr>
          <w:t>3.203  Reporting suspected violations of the gratuities clause.</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58" w:history="1">
        <w:r w:rsidRPr="00006E6E">
          <w:rPr>
            <w:rStyle w:val="Hyperlink"/>
            <w:noProof/>
          </w:rPr>
          <w:t>SUBPART 3.3 — REPORTS OF SUSPECTED ANTITRUST VIOLATIONS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59" w:history="1">
        <w:r w:rsidRPr="00006E6E">
          <w:rPr>
            <w:rStyle w:val="Hyperlink"/>
            <w:noProof/>
          </w:rPr>
          <w:t>3.301</w:t>
        </w:r>
        <w:r w:rsidRPr="00006E6E">
          <w:rPr>
            <w:rStyle w:val="Hyperlink"/>
            <w:noProof/>
            <w:spacing w:val="59"/>
          </w:rPr>
          <w:t xml:space="preserve"> </w:t>
        </w:r>
        <w:r w:rsidRPr="00006E6E">
          <w:rPr>
            <w:rStyle w:val="Hyperlink"/>
            <w:noProof/>
          </w:rPr>
          <w:t>General.</w:t>
        </w:r>
      </w:hyperlink>
    </w:p>
    <w:p w:rsidR="00C71046" w:rsidRDefault="00C71046">
      <w:pPr>
        <w:pStyle w:val="TOC4"/>
        <w:tabs>
          <w:tab w:val="right" w:leader="dot" w:pos="10250"/>
        </w:tabs>
        <w:rPr>
          <w:rFonts w:asciiTheme="minorHAnsi" w:hAnsiTheme="minorHAnsi" w:cstheme="minorBidi"/>
          <w:noProof/>
          <w:sz w:val="22"/>
          <w:szCs w:val="22"/>
        </w:rPr>
      </w:pPr>
      <w:hyperlink w:anchor="_Toc45095960" w:history="1">
        <w:r w:rsidRPr="00006E6E">
          <w:rPr>
            <w:rStyle w:val="Hyperlink"/>
            <w:noProof/>
          </w:rPr>
          <w:t>203.570-2  Prohibition period.</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61" w:history="1">
        <w:r w:rsidRPr="00006E6E">
          <w:rPr>
            <w:rStyle w:val="Hyperlink"/>
            <w:noProof/>
          </w:rPr>
          <w:t>SUBPART 3.6 — CONTRACTS WITH GOVERNMENT EMPLOYEES OR ORGANIZATIONS OWNED OR CONTROLLED BY THEM</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62" w:history="1">
        <w:r w:rsidRPr="00006E6E">
          <w:rPr>
            <w:rStyle w:val="Hyperlink"/>
            <w:noProof/>
          </w:rPr>
          <w:t>3.602</w:t>
        </w:r>
        <w:r w:rsidRPr="00006E6E">
          <w:rPr>
            <w:rStyle w:val="Hyperlink"/>
            <w:noProof/>
            <w:spacing w:val="59"/>
          </w:rPr>
          <w:t xml:space="preserve"> </w:t>
        </w:r>
        <w:r w:rsidRPr="00006E6E">
          <w:rPr>
            <w:rStyle w:val="Hyperlink"/>
            <w:noProof/>
          </w:rPr>
          <w:t>Exceptions.</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63" w:history="1">
        <w:r w:rsidRPr="00006E6E">
          <w:rPr>
            <w:rStyle w:val="Hyperlink"/>
            <w:noProof/>
          </w:rPr>
          <w:t>SUBPART 3.7 — VOIDING AND RESCINDING CONTRACTS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64" w:history="1">
        <w:r w:rsidRPr="00006E6E">
          <w:rPr>
            <w:rStyle w:val="Hyperlink"/>
            <w:noProof/>
          </w:rPr>
          <w:t>3.705  Procedures.</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65" w:history="1">
        <w:r w:rsidRPr="00006E6E">
          <w:rPr>
            <w:rStyle w:val="Hyperlink"/>
            <w:noProof/>
          </w:rPr>
          <w:t>SUBPART 3.8 — LIMITATIONS ON THE PAYMENT OF FUNDS TO INFLUENCE FEDERAL TRANSACTIONS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66" w:history="1">
        <w:r w:rsidRPr="00006E6E">
          <w:rPr>
            <w:rStyle w:val="Hyperlink"/>
            <w:noProof/>
          </w:rPr>
          <w:t>203.806  Processing suspected violations.</w:t>
        </w:r>
      </w:hyperlink>
    </w:p>
    <w:p w:rsidR="00C71046" w:rsidRDefault="00C71046">
      <w:pPr>
        <w:pStyle w:val="TOC2"/>
        <w:tabs>
          <w:tab w:val="right" w:leader="dot" w:pos="10250"/>
        </w:tabs>
        <w:rPr>
          <w:rFonts w:asciiTheme="minorHAnsi" w:eastAsiaTheme="minorEastAsia" w:hAnsiTheme="minorHAnsi" w:cstheme="minorBidi"/>
          <w:noProof/>
          <w:sz w:val="22"/>
          <w:szCs w:val="22"/>
        </w:rPr>
      </w:pPr>
      <w:hyperlink w:anchor="_Toc45095967" w:history="1">
        <w:r w:rsidRPr="00006E6E">
          <w:rPr>
            <w:rStyle w:val="Hyperlink"/>
            <w:noProof/>
          </w:rPr>
          <w:t>SUBPART 3.9 — WHISTLEBLOWER PROTECTIONS FOR CONTRACTOR EMPLOYEES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68" w:history="1">
        <w:r w:rsidRPr="00006E6E">
          <w:rPr>
            <w:rStyle w:val="Hyperlink"/>
            <w:noProof/>
          </w:rPr>
          <w:t>3.905  Procedures for Investigating Complaints.</w:t>
        </w:r>
      </w:hyperlink>
    </w:p>
    <w:p w:rsidR="00C71046" w:rsidRDefault="00C71046">
      <w:pPr>
        <w:pStyle w:val="TOC3"/>
        <w:tabs>
          <w:tab w:val="right" w:leader="dot" w:pos="10250"/>
        </w:tabs>
        <w:rPr>
          <w:rFonts w:asciiTheme="minorHAnsi" w:eastAsiaTheme="minorEastAsia" w:hAnsiTheme="minorHAnsi" w:cstheme="minorBidi"/>
          <w:noProof/>
          <w:sz w:val="22"/>
          <w:szCs w:val="22"/>
        </w:rPr>
      </w:pPr>
      <w:hyperlink w:anchor="_Toc45095969" w:history="1">
        <w:r w:rsidRPr="00006E6E">
          <w:rPr>
            <w:rStyle w:val="Hyperlink"/>
            <w:noProof/>
          </w:rPr>
          <w:t>3.906</w:t>
        </w:r>
        <w:r w:rsidRPr="00006E6E">
          <w:rPr>
            <w:rStyle w:val="Hyperlink"/>
            <w:noProof/>
            <w:spacing w:val="59"/>
          </w:rPr>
          <w:t xml:space="preserve"> </w:t>
        </w:r>
        <w:r w:rsidRPr="00006E6E">
          <w:rPr>
            <w:rStyle w:val="Hyperlink"/>
            <w:noProof/>
          </w:rPr>
          <w:t>Remedies.</w:t>
        </w:r>
      </w:hyperlink>
    </w:p>
    <w:p w:rsidR="00175A93" w:rsidRDefault="00C71046" w:rsidP="00175A93">
      <w:pPr>
        <w:pStyle w:val="Heading2"/>
      </w:pPr>
      <w:r>
        <w:rPr>
          <w:bCs/>
          <w:color w:val="365F91"/>
          <w:sz w:val="28"/>
        </w:rPr>
        <w:fldChar w:fldCharType="end"/>
      </w:r>
    </w:p>
    <w:p w:rsidR="00C71046" w:rsidRDefault="00175A93" w:rsidP="00175A93">
      <w:pPr>
        <w:pStyle w:val="Heading2"/>
      </w:pPr>
      <w:bookmarkStart w:id="0" w:name="SUBPART_3.1_—_SAFEGUARDS"/>
      <w:bookmarkStart w:id="1" w:name="_bookmark34"/>
      <w:bookmarkStart w:id="2" w:name="_Toc45095949"/>
      <w:bookmarkEnd w:id="0"/>
      <w:bookmarkEnd w:id="1"/>
      <w:r>
        <w:t>SUBPART 3.1 — SAFEGUARDS</w:t>
      </w:r>
      <w:bookmarkEnd w:id="2"/>
    </w:p>
    <w:p w:rsidR="00C71046" w:rsidRDefault="00175A93" w:rsidP="00175A93">
      <w:pPr>
        <w:pStyle w:val="Heading3"/>
      </w:pPr>
      <w:bookmarkStart w:id="3" w:name="3.101__Standards_of_conduct."/>
      <w:bookmarkStart w:id="4" w:name="_bookmark35"/>
      <w:bookmarkStart w:id="5" w:name="_Toc45095950"/>
      <w:bookmarkEnd w:id="3"/>
      <w:bookmarkEnd w:id="4"/>
      <w:r>
        <w:lastRenderedPageBreak/>
        <w:t>3.101  Standards of</w:t>
      </w:r>
      <w:r>
        <w:rPr>
          <w:spacing w:val="-10"/>
        </w:rPr>
        <w:t xml:space="preserve"> </w:t>
      </w:r>
      <w:r>
        <w:t>conduct.</w:t>
      </w:r>
      <w:bookmarkEnd w:id="5"/>
    </w:p>
    <w:p w:rsidR="00C71046" w:rsidRDefault="00175A93" w:rsidP="00175A93">
      <w:pPr>
        <w:pStyle w:val="Heading4"/>
      </w:pPr>
      <w:bookmarkStart w:id="6" w:name="3.101-3__Agency_regulations."/>
      <w:bookmarkStart w:id="7" w:name="_bookmark36"/>
      <w:bookmarkStart w:id="8" w:name="_Toc45095951"/>
      <w:bookmarkEnd w:id="6"/>
      <w:bookmarkEnd w:id="7"/>
      <w:r>
        <w:t>3.101-3  Agency</w:t>
      </w:r>
      <w:r>
        <w:rPr>
          <w:spacing w:val="-6"/>
        </w:rPr>
        <w:t xml:space="preserve"> </w:t>
      </w:r>
      <w:r>
        <w:t>regulations.</w:t>
      </w:r>
      <w:bookmarkEnd w:id="8"/>
    </w:p>
    <w:p w:rsidR="00175A93" w:rsidRDefault="00175A93" w:rsidP="00175A93">
      <w:pPr>
        <w:pStyle w:val="BodyText"/>
        <w:ind w:left="460" w:right="421"/>
      </w:pPr>
      <w:r>
        <w:t>The DoD Directive 5500.7, Standards of Conduct, DoD 5500.7-R, Joint Ethics Regulation, DISA Instruction 100-50-6, Standards of Ethical Conduct, and DISA Employees’ Guide to the Standards of Conduct, provide extensive agency guidance governing this topic.</w:t>
      </w:r>
    </w:p>
    <w:p w:rsidR="00C71046" w:rsidRDefault="00175A93" w:rsidP="00175A93">
      <w:pPr>
        <w:pStyle w:val="BodyText"/>
        <w:ind w:left="460"/>
      </w:pPr>
      <w:r>
        <w:t>Contact the Regulatory/GC’s office concerning questions on this issue.</w:t>
      </w:r>
    </w:p>
    <w:p w:rsidR="00C71046" w:rsidRDefault="00175A93" w:rsidP="00175A93">
      <w:pPr>
        <w:pStyle w:val="Heading3"/>
      </w:pPr>
      <w:bookmarkStart w:id="9" w:name="203.104__Procurement_integrity."/>
      <w:bookmarkStart w:id="10" w:name="_bookmark37"/>
      <w:bookmarkStart w:id="11" w:name="_Toc45095952"/>
      <w:bookmarkEnd w:id="9"/>
      <w:bookmarkEnd w:id="10"/>
      <w:r>
        <w:t>203.104  Procurement integrity.</w:t>
      </w:r>
      <w:bookmarkEnd w:id="11"/>
    </w:p>
    <w:p w:rsidR="00175A93" w:rsidRDefault="00175A93" w:rsidP="00175A93">
      <w:pPr>
        <w:pStyle w:val="Heading4"/>
      </w:pPr>
      <w:bookmarkStart w:id="12" w:name="_Toc45095953"/>
      <w:r>
        <w:t>(S-90)  All Agency personnel are required to sign a one-time non-disclosure agreement (NDA) which lasts for the duration of DISA employment.  In addition, Contracting Officers will require a separate signed source selection specific NDA.</w:t>
      </w:r>
      <w:bookmarkEnd w:id="12"/>
    </w:p>
    <w:p w:rsidR="00C71046" w:rsidRDefault="00175A93" w:rsidP="00175A93">
      <w:pPr>
        <w:pStyle w:val="Heading4"/>
      </w:pPr>
      <w:bookmarkStart w:id="13" w:name="3.104-4__Disclosure,_protection,_and_mar"/>
      <w:bookmarkStart w:id="14" w:name="_bookmark38"/>
      <w:bookmarkStart w:id="15" w:name="_Toc45095954"/>
      <w:bookmarkEnd w:id="13"/>
      <w:bookmarkEnd w:id="14"/>
      <w:r>
        <w:t>3.104-4  Disclosure, protection, and marking of contractor bid or proposal information and source selection information.</w:t>
      </w:r>
      <w:bookmarkEnd w:id="15"/>
    </w:p>
    <w:p w:rsidR="00C71046" w:rsidRDefault="00175A93" w:rsidP="00175A93">
      <w:pPr>
        <w:pStyle w:val="List1"/>
      </w:pPr>
      <w:r>
        <w:t>(a)  The HCA is delegated the authority to authorize access to sensitive procurement information (e.g., proprietary or source selection information) when necessary for the conduct of the procurement.</w:t>
      </w:r>
    </w:p>
    <w:p w:rsidR="00C71046" w:rsidRDefault="00175A93" w:rsidP="00175A93">
      <w:pPr>
        <w:pStyle w:val="List1"/>
      </w:pPr>
      <w: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rsidR="00C71046" w:rsidRDefault="00175A93" w:rsidP="00175A93">
      <w:pPr>
        <w:pStyle w:val="List1"/>
      </w:pPr>
      <w:r>
        <w:t>(S-91)  Communications networks such as DISANet and Internet may be vulnerable to unauthorized access.  Accordingly, whenever practicable, avoid the electronic transmission of unclassified sensitive acquisition information via e-mail, LAN, etc., in favor of more secure alternatives.</w:t>
      </w:r>
    </w:p>
    <w:p w:rsidR="00175A93" w:rsidRDefault="00175A93" w:rsidP="00175A93">
      <w:pPr>
        <w:pStyle w:val="List1"/>
      </w:pPr>
      <w:r>
        <w:t>(S-92)  All emails containing source selection sensitive info shall be sent encrypted and/or password protected. Include the following text in the subject line:</w:t>
      </w:r>
    </w:p>
    <w:p w:rsidR="00175A93" w:rsidRDefault="00175A93" w:rsidP="00175A93">
      <w:pPr>
        <w:pStyle w:val="BodyText"/>
        <w:ind w:left="460"/>
      </w:pPr>
      <w:r>
        <w:t>“SOURCE SELECTION INFORMATION – SEE FAR 2.101 &amp; 3.104”.</w:t>
      </w:r>
    </w:p>
    <w:p w:rsidR="00C71046" w:rsidRDefault="00175A93" w:rsidP="00175A93">
      <w:r>
        <w:br w:type="page"/>
      </w:r>
      <w:bookmarkStart w:id="16" w:name="3.104-6__Ethics_advisory_opinions_regard"/>
      <w:bookmarkStart w:id="17" w:name="_bookmark39"/>
      <w:bookmarkEnd w:id="16"/>
      <w:bookmarkEnd w:id="17"/>
      <w:r>
        <w:lastRenderedPageBreak/>
        <w:t>3.104-6  Ethics advisory opinions regarding prohibitions on a former officials acceptance of compensation from a contractor.</w:t>
      </w:r>
    </w:p>
    <w:p w:rsidR="00C71046" w:rsidRDefault="00175A93" w:rsidP="00175A93">
      <w:pPr>
        <w:pStyle w:val="List1"/>
      </w:pPr>
      <w:r>
        <w:t>(a)  Written request for an ethic advisory opinion shall be submitted to the</w:t>
      </w:r>
      <w:r>
        <w:rPr>
          <w:color w:val="0000FF"/>
        </w:rPr>
        <w:t xml:space="preserve"> </w:t>
      </w:r>
      <w:hyperlink r:id="rId11">
        <w:r>
          <w:rPr>
            <w:color w:val="0000FF"/>
            <w:u w:val="single" w:color="0000FF"/>
          </w:rPr>
          <w:t>DISA Designated</w:t>
        </w:r>
      </w:hyperlink>
      <w:hyperlink r:id="rId12">
        <w:r>
          <w:rPr>
            <w:color w:val="0000FF"/>
            <w:u w:val="single" w:color="0000FF"/>
          </w:rPr>
          <w:t xml:space="preserve"> Agency Ethics Official (DAEO)</w:t>
        </w:r>
        <w:r>
          <w:t>.</w:t>
        </w:r>
      </w:hyperlink>
      <w:r>
        <w:t xml:space="preserve">  Per DISAI 100-50-6, the DAEO is the General Counsel.</w:t>
      </w:r>
    </w:p>
    <w:p w:rsidR="00C71046" w:rsidRDefault="00175A93" w:rsidP="00175A93">
      <w:pPr>
        <w:pStyle w:val="Heading4"/>
      </w:pPr>
      <w:bookmarkStart w:id="18" w:name="3.104-7__Violations_or_possible_violatio"/>
      <w:bookmarkStart w:id="19" w:name="_bookmark40"/>
      <w:bookmarkStart w:id="20" w:name="_Toc45095955"/>
      <w:bookmarkEnd w:id="18"/>
      <w:bookmarkEnd w:id="19"/>
      <w:r>
        <w:t>3.104-7  Violations or possible violations.</w:t>
      </w:r>
      <w:bookmarkEnd w:id="20"/>
    </w:p>
    <w:p w:rsidR="00C71046" w:rsidRDefault="00175A93" w:rsidP="00175A93">
      <w:pPr>
        <w:pStyle w:val="List1"/>
      </w:pPr>
      <w:r>
        <w:t>(a)(1)  The PSD Technical Director is the designee.</w:t>
      </w:r>
    </w:p>
    <w:p w:rsidR="00C71046" w:rsidRDefault="00175A93" w:rsidP="00175A93">
      <w:pPr>
        <w:pStyle w:val="List2"/>
      </w:pPr>
      <w:r>
        <w:t>(2)  The contracting officer’s conclusion shall be reviewed by the Technical Director who will in-turn forward the conclusion to the HCA.</w:t>
      </w:r>
    </w:p>
    <w:p w:rsidR="00C71046" w:rsidRDefault="00175A93" w:rsidP="00175A93">
      <w:pPr>
        <w:pStyle w:val="List1"/>
      </w:pPr>
      <w:r>
        <w:t>(S-90)  The contracting officer’s conclusion shall be submitted with the appropriate coversheet marked as follows:</w:t>
      </w:r>
    </w:p>
    <w:p w:rsidR="00C71046" w:rsidRDefault="00175A93" w:rsidP="00175A93">
      <w:pPr>
        <w:ind w:left="2655" w:right="639" w:hanging="1983"/>
        <w:rPr>
          <w:b/>
          <w:sz w:val="24"/>
        </w:rPr>
      </w:pPr>
      <w:r>
        <w:rPr>
          <w:b/>
          <w:sz w:val="24"/>
        </w:rPr>
        <w:t>PROCUREMENT SENSITIVE REQUIRES SPECIAL HANDLING DO NOT LEAVE UNATTENDED SECURE WHEN NOT IN USE</w:t>
      </w:r>
    </w:p>
    <w:p w:rsidR="00C71046" w:rsidRDefault="00175A93" w:rsidP="00175A93">
      <w:pPr>
        <w:pStyle w:val="List1"/>
      </w:pPr>
      <w:r>
        <w:t>(S-91)  Contractor personnel suspecting a violation of the Procurement Integrity Act are encouraged to contact the contracting officer or the DISA Inspector General with a written allegation containing the elements specified in FAR 3.904, Procedures for filing complaints.</w:t>
      </w:r>
    </w:p>
    <w:p w:rsidR="00175A93" w:rsidRDefault="00175A93" w:rsidP="00175A93">
      <w:pPr>
        <w:pStyle w:val="Heading2"/>
      </w:pPr>
    </w:p>
    <w:p w:rsidR="00C71046" w:rsidRDefault="00175A93" w:rsidP="00175A93">
      <w:pPr>
        <w:pStyle w:val="Heading2"/>
      </w:pPr>
      <w:bookmarkStart w:id="21" w:name="SUBPART_3.2_—_CONTRACTOR_GRATUITIES_TO_G"/>
      <w:bookmarkStart w:id="22" w:name="_bookmark41"/>
      <w:bookmarkStart w:id="23" w:name="_Toc45095956"/>
      <w:bookmarkEnd w:id="21"/>
      <w:bookmarkEnd w:id="22"/>
      <w:r>
        <w:t>SUBPART 3.2 — CONTRACTOR GRATUITIES TO GOVERNMENT PERSONNEL</w:t>
      </w:r>
      <w:bookmarkEnd w:id="23"/>
    </w:p>
    <w:p w:rsidR="00C71046" w:rsidRDefault="00175A93" w:rsidP="00175A93">
      <w:pPr>
        <w:pStyle w:val="Heading3"/>
      </w:pPr>
      <w:bookmarkStart w:id="24" w:name="3.203__Reporting_suspected_violations_of"/>
      <w:bookmarkStart w:id="25" w:name="_bookmark42"/>
      <w:bookmarkStart w:id="26" w:name="_Toc45095957"/>
      <w:bookmarkEnd w:id="24"/>
      <w:bookmarkEnd w:id="25"/>
      <w:r>
        <w:t>3.203  Reporting suspected violations of the gratuities clause.</w:t>
      </w:r>
      <w:bookmarkEnd w:id="26"/>
    </w:p>
    <w:p w:rsidR="00C71046" w:rsidRDefault="00175A93" w:rsidP="00175A93">
      <w:pPr>
        <w:pStyle w:val="List1"/>
      </w:pPr>
      <w:r>
        <w:t>(S-90) Report suspected violations through the local counsel and HCO to the DISA GC and the HCA.  The designee is the DISA GC.</w:t>
      </w:r>
    </w:p>
    <w:p w:rsidR="00C71046" w:rsidRDefault="00175A93" w:rsidP="00175A93">
      <w:pPr>
        <w:pStyle w:val="Heading2"/>
      </w:pPr>
      <w:bookmarkStart w:id="27" w:name="SUBPART_3.3_—_REPORTS_OF_SUSPECTED_ANTIT"/>
      <w:bookmarkStart w:id="28" w:name="_bookmark43"/>
      <w:bookmarkStart w:id="29" w:name="_Toc45095958"/>
      <w:bookmarkEnd w:id="27"/>
      <w:bookmarkEnd w:id="28"/>
      <w:r>
        <w:t>SUBPART 3.3 — REPORTS OF SUSPECTED ANTITRUST VIOLATIONS</w:t>
      </w:r>
      <w:bookmarkEnd w:id="29"/>
    </w:p>
    <w:p w:rsidR="00C71046" w:rsidRDefault="00175A93" w:rsidP="00175A93">
      <w:pPr>
        <w:pStyle w:val="Heading3"/>
      </w:pPr>
      <w:bookmarkStart w:id="30" w:name="3.301__General."/>
      <w:bookmarkStart w:id="31" w:name="_bookmark44"/>
      <w:bookmarkStart w:id="32" w:name="_Toc45095959"/>
      <w:bookmarkEnd w:id="30"/>
      <w:bookmarkEnd w:id="31"/>
      <w:r>
        <w:t>3.301</w:t>
      </w:r>
      <w:r>
        <w:rPr>
          <w:spacing w:val="59"/>
        </w:rPr>
        <w:t xml:space="preserve"> </w:t>
      </w:r>
      <w:r>
        <w:t>General.</w:t>
      </w:r>
      <w:bookmarkEnd w:id="32"/>
    </w:p>
    <w:p w:rsidR="00175A93" w:rsidRDefault="00175A93" w:rsidP="00175A93">
      <w:pPr>
        <w:pStyle w:val="List1"/>
      </w:pPr>
      <w:r>
        <w:t>(b)(2) The DISA General Counsel is the designee.</w:t>
      </w:r>
    </w:p>
    <w:p w:rsidR="00C71046" w:rsidRDefault="00175A93" w:rsidP="00175A93">
      <w:r>
        <w:br w:type="page"/>
      </w:r>
      <w:bookmarkStart w:id="33" w:name="SUBPART_3.5_—_OTHER_IMPROPER_BUSINESS_PR"/>
      <w:bookmarkStart w:id="34" w:name="_bookmark45"/>
      <w:bookmarkEnd w:id="33"/>
      <w:bookmarkEnd w:id="34"/>
      <w:r>
        <w:lastRenderedPageBreak/>
        <w:t>SUBPART 3.5 — OTHER IMPROPER BUSINESS PRACTICES</w:t>
      </w:r>
    </w:p>
    <w:p w:rsidR="00C71046" w:rsidRDefault="00175A93" w:rsidP="00175A93">
      <w:pPr>
        <w:pStyle w:val="Heading4"/>
      </w:pPr>
      <w:bookmarkStart w:id="35" w:name="203.570-2_Prohibition_period."/>
      <w:bookmarkStart w:id="36" w:name="_bookmark46"/>
      <w:bookmarkStart w:id="37" w:name="_Toc45095960"/>
      <w:bookmarkEnd w:id="35"/>
      <w:bookmarkEnd w:id="36"/>
      <w:r>
        <w:t>203.570-2  Prohibition period.</w:t>
      </w:r>
      <w:bookmarkEnd w:id="37"/>
    </w:p>
    <w:p w:rsidR="00C71046" w:rsidRDefault="00175A93" w:rsidP="00175A93">
      <w:pPr>
        <w:pStyle w:val="BodyText"/>
        <w:ind w:left="460"/>
      </w:pPr>
      <w:r>
        <w:t>The waiver and determination shall be reviewed by PL2.</w:t>
      </w:r>
    </w:p>
    <w:p w:rsidR="00C71046" w:rsidRDefault="00175A93" w:rsidP="00175A93">
      <w:pPr>
        <w:pStyle w:val="Heading2"/>
      </w:pPr>
      <w:bookmarkStart w:id="38" w:name="SUBPART_3.6_—_CONTRACTS_WITH_GOVERNMENT_"/>
      <w:bookmarkStart w:id="39" w:name="_bookmark47"/>
      <w:bookmarkStart w:id="40" w:name="_Toc45095961"/>
      <w:bookmarkEnd w:id="38"/>
      <w:bookmarkEnd w:id="39"/>
      <w:r>
        <w:t>SUBPART 3.6 — CONTRACTS WITH GOVERNMENT EMPLOYEES OR ORGANIZATIONS OWNED OR CONTROLLED BY THEM</w:t>
      </w:r>
      <w:bookmarkEnd w:id="40"/>
    </w:p>
    <w:p w:rsidR="00C71046" w:rsidRDefault="00175A93" w:rsidP="00175A93">
      <w:pPr>
        <w:pStyle w:val="Heading3"/>
      </w:pPr>
      <w:bookmarkStart w:id="41" w:name="3.602__Exceptions."/>
      <w:bookmarkStart w:id="42" w:name="_bookmark48"/>
      <w:bookmarkStart w:id="43" w:name="_Toc45095962"/>
      <w:bookmarkEnd w:id="41"/>
      <w:bookmarkEnd w:id="42"/>
      <w:r>
        <w:t>3.602</w:t>
      </w:r>
      <w:r>
        <w:rPr>
          <w:spacing w:val="59"/>
        </w:rPr>
        <w:t xml:space="preserve"> </w:t>
      </w:r>
      <w:r>
        <w:t>Exceptions.</w:t>
      </w:r>
      <w:bookmarkEnd w:id="43"/>
    </w:p>
    <w:p w:rsidR="00C71046" w:rsidRDefault="00175A93" w:rsidP="00175A93">
      <w:pPr>
        <w:pStyle w:val="BodyText"/>
        <w:ind w:left="460"/>
      </w:pPr>
      <w:r>
        <w:t>The HCA is the designee who may authorize an exception to the policy in FAR 3.601.</w:t>
      </w:r>
    </w:p>
    <w:p w:rsidR="00C71046" w:rsidRDefault="00175A93" w:rsidP="00175A93">
      <w:pPr>
        <w:pStyle w:val="Heading2"/>
      </w:pPr>
      <w:bookmarkStart w:id="44" w:name="SUBPART_3.7_—_VOIDING_AND_RESCINDING_CON"/>
      <w:bookmarkStart w:id="45" w:name="_bookmark49"/>
      <w:bookmarkStart w:id="46" w:name="_Toc45095963"/>
      <w:bookmarkEnd w:id="44"/>
      <w:bookmarkEnd w:id="45"/>
      <w:r>
        <w:t>SUBPART 3.7 — VOIDING AND RESCINDING CONTRACTS</w:t>
      </w:r>
      <w:bookmarkEnd w:id="46"/>
    </w:p>
    <w:p w:rsidR="00C71046" w:rsidRDefault="00175A93" w:rsidP="00175A93">
      <w:pPr>
        <w:pStyle w:val="Heading3"/>
      </w:pPr>
      <w:bookmarkStart w:id="47" w:name="3.705_Procedures."/>
      <w:bookmarkStart w:id="48" w:name="_bookmark50"/>
      <w:bookmarkStart w:id="49" w:name="_Toc45095964"/>
      <w:bookmarkEnd w:id="47"/>
      <w:bookmarkEnd w:id="48"/>
      <w:r>
        <w:t>3.705  Procedures.</w:t>
      </w:r>
      <w:bookmarkEnd w:id="49"/>
    </w:p>
    <w:p w:rsidR="00C71046" w:rsidRDefault="00175A93" w:rsidP="00175A93">
      <w:pPr>
        <w:pStyle w:val="List1"/>
      </w:pPr>
      <w:r>
        <w:rPr>
          <w:spacing w:val="-3"/>
          <w:w w:val="99"/>
          <w:szCs w:val="24"/>
        </w:rPr>
        <w:t>(a)</w:t>
      </w:r>
      <w:r>
        <w:rPr>
          <w:spacing w:val="-3"/>
          <w:w w:val="99"/>
          <w:szCs w:val="24"/>
        </w:rPr>
        <w:tab/>
      </w:r>
      <w:r w:rsidRPr="00456ABA">
        <w:t>Reporting. The designee is the</w:t>
      </w:r>
      <w:r w:rsidRPr="00456ABA">
        <w:rPr>
          <w:spacing w:val="-4"/>
        </w:rPr>
        <w:t xml:space="preserve"> </w:t>
      </w:r>
      <w:r w:rsidRPr="00456ABA">
        <w:t>HCA.</w:t>
      </w:r>
    </w:p>
    <w:p w:rsidR="00C71046" w:rsidRDefault="00175A93" w:rsidP="00175A93">
      <w:pPr>
        <w:pStyle w:val="List1"/>
      </w:pPr>
      <w:r>
        <w:rPr>
          <w:spacing w:val="-3"/>
          <w:w w:val="99"/>
          <w:szCs w:val="24"/>
        </w:rPr>
        <w:t>(b)</w:t>
      </w:r>
      <w:r>
        <w:rPr>
          <w:spacing w:val="-3"/>
          <w:w w:val="99"/>
          <w:szCs w:val="24"/>
        </w:rPr>
        <w:tab/>
      </w:r>
      <w:r w:rsidRPr="00456ABA">
        <w:t>Decision.  The designee is the</w:t>
      </w:r>
      <w:r w:rsidRPr="00456ABA">
        <w:rPr>
          <w:spacing w:val="-4"/>
        </w:rPr>
        <w:t xml:space="preserve"> </w:t>
      </w:r>
      <w:r w:rsidRPr="00456ABA">
        <w:t>HCA.</w:t>
      </w:r>
    </w:p>
    <w:p w:rsidR="00175A93" w:rsidRDefault="00175A93" w:rsidP="00175A93">
      <w:pPr>
        <w:pStyle w:val="Heading2"/>
      </w:pPr>
    </w:p>
    <w:p w:rsidR="00C71046" w:rsidRDefault="00175A93" w:rsidP="00175A93">
      <w:pPr>
        <w:pStyle w:val="Heading2"/>
      </w:pPr>
      <w:bookmarkStart w:id="50" w:name="SUBPART_3.8_—_LIMITATIONS_ON_THE_PAYMENT"/>
      <w:bookmarkStart w:id="51" w:name="_bookmark51"/>
      <w:bookmarkStart w:id="52" w:name="_Toc45095965"/>
      <w:bookmarkEnd w:id="50"/>
      <w:bookmarkEnd w:id="51"/>
      <w:r>
        <w:t>SUBPART 3.8 — LIMITATIONS ON THE PAYMENT OF FUNDS TO INFLUENCE FEDERAL TRANSACTIONS</w:t>
      </w:r>
      <w:bookmarkEnd w:id="52"/>
    </w:p>
    <w:p w:rsidR="00C71046" w:rsidRDefault="00175A93" w:rsidP="00175A93">
      <w:pPr>
        <w:pStyle w:val="Heading3"/>
      </w:pPr>
      <w:bookmarkStart w:id="53" w:name="_bookmark52"/>
      <w:bookmarkStart w:id="54" w:name="_Toc45095966"/>
      <w:bookmarkEnd w:id="53"/>
      <w:r>
        <w:t>203.806  Processing suspected violations.</w:t>
      </w:r>
      <w:bookmarkEnd w:id="54"/>
    </w:p>
    <w:p w:rsidR="00C71046" w:rsidRDefault="00175A93" w:rsidP="00175A93">
      <w:pPr>
        <w:pStyle w:val="List1"/>
      </w:pPr>
      <w:r>
        <w:t>(S-90) Forward suspected violations to PL2 for submittal to DPC CPIC.</w:t>
      </w:r>
    </w:p>
    <w:p w:rsidR="00175A93" w:rsidRDefault="00175A93" w:rsidP="00175A93">
      <w:pPr>
        <w:pStyle w:val="Heading2"/>
      </w:pPr>
    </w:p>
    <w:p w:rsidR="00C71046" w:rsidRDefault="00175A93" w:rsidP="00175A93">
      <w:pPr>
        <w:pStyle w:val="Heading2"/>
      </w:pPr>
      <w:bookmarkStart w:id="55" w:name="SUBPART_3.9_—_WHISTLEBLOWER_PROTECTIONS_"/>
      <w:bookmarkStart w:id="56" w:name="_bookmark53"/>
      <w:bookmarkStart w:id="57" w:name="_Toc45095967"/>
      <w:bookmarkEnd w:id="55"/>
      <w:bookmarkEnd w:id="56"/>
      <w:r>
        <w:t>SUBPART 3.9 — WHISTLEBLOWER PROTECTIONS FOR CONTRACTOR EMPLOYEES</w:t>
      </w:r>
      <w:bookmarkEnd w:id="57"/>
    </w:p>
    <w:p w:rsidR="00C71046" w:rsidRDefault="00175A93" w:rsidP="00175A93">
      <w:pPr>
        <w:pStyle w:val="Heading3"/>
      </w:pPr>
      <w:bookmarkStart w:id="58" w:name="3.905__Procedures_for_Investigating_Comp"/>
      <w:bookmarkStart w:id="59" w:name="_bookmark54"/>
      <w:bookmarkStart w:id="60" w:name="_Toc45095968"/>
      <w:bookmarkEnd w:id="58"/>
      <w:bookmarkEnd w:id="59"/>
      <w:r>
        <w:t>3.905  Procedures for Investigating Complaints.</w:t>
      </w:r>
      <w:bookmarkEnd w:id="60"/>
    </w:p>
    <w:p w:rsidR="00C71046" w:rsidRDefault="00175A93" w:rsidP="00175A93">
      <w:pPr>
        <w:pStyle w:val="List1"/>
      </w:pPr>
      <w:r>
        <w:t>(b) The designee is the HCA.</w:t>
      </w:r>
    </w:p>
    <w:p w:rsidR="00C71046" w:rsidRDefault="00175A93" w:rsidP="00175A93">
      <w:pPr>
        <w:pStyle w:val="Heading3"/>
      </w:pPr>
      <w:bookmarkStart w:id="61" w:name="3.906__Remedies."/>
      <w:bookmarkStart w:id="62" w:name="_bookmark55"/>
      <w:bookmarkStart w:id="63" w:name="_Toc45095969"/>
      <w:bookmarkEnd w:id="61"/>
      <w:bookmarkEnd w:id="62"/>
      <w:r>
        <w:t>3.906</w:t>
      </w:r>
      <w:r>
        <w:rPr>
          <w:spacing w:val="59"/>
        </w:rPr>
        <w:t xml:space="preserve"> </w:t>
      </w:r>
      <w:r>
        <w:t>Remedies.</w:t>
      </w:r>
      <w:bookmarkEnd w:id="63"/>
    </w:p>
    <w:p w:rsidR="00175A93" w:rsidRDefault="00175A93" w:rsidP="00175A93">
      <w:pPr>
        <w:pStyle w:val="List1"/>
      </w:pPr>
      <w:r>
        <w:t>(a) The designee is the HCA.</w:t>
      </w:r>
    </w:p>
    <w:p w:rsidR="00175A93" w:rsidRDefault="00175A93" w:rsidP="00175A93">
      <w:r>
        <w:br w:type="page"/>
      </w:r>
    </w:p>
    <w:sectPr w:rsidR="00175A93">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75A93" w:rsidRDefault="00175A93">
      <w:r>
        <w:separator/>
      </w:r>
    </w:p>
  </w:endnote>
  <w:endnote w:type="continuationSeparator" w:id="0">
    <w:p w:rsidR="00175A93" w:rsidRDefault="0017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75A93" w:rsidRDefault="00175A93">
      <w:r>
        <w:separator/>
      </w:r>
    </w:p>
  </w:footnote>
  <w:footnote w:type="continuationSeparator" w:id="0">
    <w:p w:rsidR="00175A93" w:rsidRDefault="0017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75A93"/>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1046"/>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gc.mbx.disa-gen-counsel-ethic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gc.mbx.disa-gen-counsel-ethics@mail.mi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