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00F0" w:rsidRDefault="002000F0" w:rsidP="00A94A43">
      <w:pPr>
        <w:pStyle w:val="Heading1"/>
      </w:pPr>
      <w:r>
        <w:t>PART 43 – CONTRACT MODIFICATIONS</w:t>
      </w:r>
    </w:p>
    <w:p w:rsidR="002000F0" w:rsidRDefault="002000F0" w:rsidP="00A94A43">
      <w:pPr>
        <w:pStyle w:val="Heading1"/>
      </w:pPr>
      <w:r>
        <w:t>TABLE OF CONTENTS</w:t>
      </w:r>
    </w:p>
    <w:p w:rsidR="002000F0" w:rsidRDefault="002000F0">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33" w:history="1">
        <w:r w:rsidRPr="00B54AA0">
          <w:rPr>
            <w:rStyle w:val="Hyperlink"/>
            <w:noProof/>
          </w:rPr>
          <w:t>SUBPART 43.1 — GENERAL</w:t>
        </w:r>
      </w:hyperlink>
    </w:p>
    <w:p w:rsidR="002000F0" w:rsidRDefault="002000F0">
      <w:pPr>
        <w:pStyle w:val="TOC2"/>
        <w:tabs>
          <w:tab w:val="right" w:leader="dot" w:pos="10250"/>
        </w:tabs>
        <w:rPr>
          <w:rFonts w:asciiTheme="minorHAnsi" w:eastAsiaTheme="minorEastAsia" w:hAnsiTheme="minorHAnsi" w:cstheme="minorBidi"/>
          <w:noProof/>
          <w:sz w:val="22"/>
          <w:szCs w:val="22"/>
        </w:rPr>
      </w:pPr>
      <w:hyperlink w:anchor="_Toc41468134" w:history="1">
        <w:r w:rsidRPr="00B54AA0">
          <w:rPr>
            <w:rStyle w:val="Hyperlink"/>
            <w:noProof/>
          </w:rPr>
          <w:t>SUBPART 243.2 — CHANGE</w:t>
        </w:r>
        <w:r w:rsidRPr="00B54AA0">
          <w:rPr>
            <w:rStyle w:val="Hyperlink"/>
            <w:noProof/>
            <w:spacing w:val="-14"/>
          </w:rPr>
          <w:t xml:space="preserve"> </w:t>
        </w:r>
        <w:r w:rsidRPr="00B54AA0">
          <w:rPr>
            <w:rStyle w:val="Hyperlink"/>
            <w:noProof/>
          </w:rPr>
          <w:t>ORDERS</w:t>
        </w:r>
      </w:hyperlink>
    </w:p>
    <w:p w:rsidR="002000F0" w:rsidRDefault="002000F0">
      <w:pPr>
        <w:pStyle w:val="TOC4"/>
        <w:tabs>
          <w:tab w:val="right" w:leader="dot" w:pos="10250"/>
        </w:tabs>
        <w:rPr>
          <w:rFonts w:asciiTheme="minorHAnsi" w:hAnsiTheme="minorHAnsi" w:cstheme="minorBidi"/>
          <w:noProof/>
          <w:sz w:val="22"/>
          <w:szCs w:val="22"/>
        </w:rPr>
      </w:pPr>
      <w:hyperlink w:anchor="_Toc41468135" w:history="1">
        <w:r w:rsidRPr="00B54AA0">
          <w:rPr>
            <w:rStyle w:val="Hyperlink"/>
            <w:noProof/>
          </w:rPr>
          <w:t>243.204-70 Definitization of change orders.</w:t>
        </w:r>
      </w:hyperlink>
    </w:p>
    <w:p w:rsidR="002000F0" w:rsidRDefault="002000F0">
      <w:pPr>
        <w:pStyle w:val="TOC3"/>
        <w:tabs>
          <w:tab w:val="right" w:leader="dot" w:pos="10250"/>
        </w:tabs>
        <w:rPr>
          <w:rFonts w:asciiTheme="minorHAnsi" w:eastAsiaTheme="minorEastAsia" w:hAnsiTheme="minorHAnsi" w:cstheme="minorBidi"/>
          <w:noProof/>
          <w:sz w:val="22"/>
          <w:szCs w:val="22"/>
        </w:rPr>
      </w:pPr>
      <w:hyperlink w:anchor="_Toc41468136" w:history="1">
        <w:r w:rsidRPr="00B54AA0">
          <w:rPr>
            <w:rStyle w:val="Hyperlink"/>
            <w:noProof/>
          </w:rPr>
          <w:t>SUBPART 43.9000 – SCOPE DETERMINATION</w:t>
        </w:r>
      </w:hyperlink>
    </w:p>
    <w:p w:rsidR="002000F0" w:rsidRDefault="002000F0">
      <w:pPr>
        <w:pStyle w:val="TOC3"/>
        <w:tabs>
          <w:tab w:val="right" w:leader="dot" w:pos="10250"/>
        </w:tabs>
        <w:rPr>
          <w:rFonts w:asciiTheme="minorHAnsi" w:eastAsiaTheme="minorEastAsia" w:hAnsiTheme="minorHAnsi" w:cstheme="minorBidi"/>
          <w:noProof/>
          <w:sz w:val="22"/>
          <w:szCs w:val="22"/>
        </w:rPr>
      </w:pPr>
      <w:hyperlink w:anchor="_Toc41468137" w:history="1">
        <w:r w:rsidRPr="00B54AA0">
          <w:rPr>
            <w:rStyle w:val="Hyperlink"/>
            <w:noProof/>
          </w:rPr>
          <w:t>43.9000</w:t>
        </w:r>
        <w:r w:rsidRPr="00B54AA0">
          <w:rPr>
            <w:rStyle w:val="Hyperlink"/>
            <w:noProof/>
            <w:spacing w:val="59"/>
          </w:rPr>
          <w:t xml:space="preserve"> </w:t>
        </w:r>
        <w:r w:rsidRPr="00B54AA0">
          <w:rPr>
            <w:rStyle w:val="Hyperlink"/>
            <w:noProof/>
          </w:rPr>
          <w:t>Policy.</w:t>
        </w:r>
      </w:hyperlink>
    </w:p>
    <w:p w:rsidR="00A94A43" w:rsidRDefault="002000F0" w:rsidP="00A94A43">
      <w:pPr>
        <w:pStyle w:val="Heading2"/>
      </w:pPr>
      <w:r>
        <w:rPr>
          <w:bCs/>
          <w:color w:val="365F91"/>
          <w:sz w:val="28"/>
        </w:rPr>
        <w:fldChar w:fldCharType="end"/>
      </w:r>
    </w:p>
    <w:p w:rsidR="002000F0" w:rsidRDefault="00A94A43" w:rsidP="00A94A43">
      <w:pPr>
        <w:pStyle w:val="Heading2"/>
      </w:pPr>
      <w:bookmarkStart w:id="0" w:name="SUBPART_43.1_—_GENERAL"/>
      <w:bookmarkStart w:id="1" w:name="_bookmark271"/>
      <w:bookmarkStart w:id="2" w:name="_Toc41468133"/>
      <w:bookmarkEnd w:id="0"/>
      <w:bookmarkEnd w:id="1"/>
      <w:r>
        <w:t>SUBPART 43.1 — GENERAL</w:t>
      </w:r>
      <w:bookmarkEnd w:id="2"/>
    </w:p>
    <w:bookmarkStart w:id="3" w:name="43.102__Policy."/>
    <w:bookmarkStart w:id="4" w:name="_bookmark272"/>
    <w:bookmarkEnd w:id="3"/>
    <w:bookmarkEnd w:id="4"/>
    <w:p w:rsidR="002000F0" w:rsidRDefault="00A94A43" w:rsidP="00A94A43">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rsidR="002000F0" w:rsidRDefault="00A94A43" w:rsidP="00A94A43">
      <w:pPr>
        <w:pStyle w:val="List1"/>
      </w:pPr>
      <w:r>
        <w:t>(S-90)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Pr>
          <w:spacing w:val="-1"/>
        </w:rPr>
        <w:t xml:space="preserve"> </w:t>
      </w:r>
      <w:r>
        <w:t>block.</w:t>
      </w:r>
    </w:p>
    <w:p w:rsidR="00A94A43" w:rsidRDefault="00A94A43" w:rsidP="00A94A43">
      <w:pPr>
        <w:pStyle w:val="Heading2"/>
      </w:pPr>
    </w:p>
    <w:p w:rsidR="002000F0" w:rsidRDefault="00A94A43" w:rsidP="00A94A43">
      <w:pPr>
        <w:pStyle w:val="Heading2"/>
      </w:pPr>
      <w:bookmarkStart w:id="5" w:name="SUBPART_243.2_—_CHANGE_ORDERS"/>
      <w:bookmarkStart w:id="6" w:name="_bookmark273"/>
      <w:bookmarkStart w:id="7" w:name="_Toc41468134"/>
      <w:bookmarkEnd w:id="5"/>
      <w:bookmarkEnd w:id="6"/>
      <w:r>
        <w:t>SUBPART 243.2 — CHANGE</w:t>
      </w:r>
      <w:r>
        <w:rPr>
          <w:spacing w:val="-14"/>
        </w:rPr>
        <w:t xml:space="preserve"> </w:t>
      </w:r>
      <w:r>
        <w:t>ORDERS</w:t>
      </w:r>
      <w:bookmarkEnd w:id="7"/>
    </w:p>
    <w:p w:rsidR="002000F0" w:rsidRDefault="00A94A43" w:rsidP="00A94A43">
      <w:pPr>
        <w:pStyle w:val="Heading4"/>
        <w:rPr>
          <w:b w:val="0"/>
        </w:rPr>
      </w:pPr>
      <w:bookmarkStart w:id="8" w:name="243.204-70__Definitization_of_change_ord"/>
      <w:bookmarkStart w:id="9" w:name="_bookmark274"/>
      <w:bookmarkStart w:id="10" w:name="_bookmark276"/>
      <w:bookmarkStart w:id="11" w:name="_Toc41468135"/>
      <w:bookmarkEnd w:id="8"/>
      <w:bookmarkEnd w:id="9"/>
      <w:bookmarkEnd w:id="10"/>
      <w:r>
        <w:t>243.204-70 Definitization of change orders.</w:t>
      </w:r>
      <w:bookmarkStart w:id="12" w:name="243.204–70–7___Plans_and_reports."/>
      <w:bookmarkStart w:id="13" w:name="_bookmark275"/>
      <w:bookmarkEnd w:id="12"/>
      <w:bookmarkEnd w:id="13"/>
      <w:bookmarkEnd w:id="11"/>
      <w:r>
        <w:t xml:space="preserve"> </w:t>
      </w:r>
    </w:p>
    <w:p w:rsidR="002000F0" w:rsidRDefault="00A94A43" w:rsidP="00A94A43">
      <w:pPr>
        <w:ind w:right="4162"/>
        <w:rPr>
          <w:b/>
          <w:color w:val="4F81BD"/>
          <w:sz w:val="24"/>
        </w:rPr>
      </w:pPr>
      <w:r>
        <w:rPr>
          <w:b/>
          <w:color w:val="4F81BD"/>
          <w:sz w:val="24"/>
        </w:rPr>
        <w:t>243.204–70–7 Plans and reports.</w:t>
      </w:r>
    </w:p>
    <w:p w:rsidR="002000F0" w:rsidRDefault="00A94A43" w:rsidP="00A94A43">
      <w:pPr>
        <w:pStyle w:val="List1"/>
      </w:pPr>
      <w:r w:rsidRPr="00102F89">
        <w:rPr>
          <w:szCs w:val="24"/>
        </w:rPr>
        <w:t xml:space="preserve">(S-90) </w:t>
      </w:r>
      <w:r w:rsidRPr="00102F89">
        <w:rPr>
          <w:i/>
          <w:iCs/>
          <w:szCs w:val="24"/>
        </w:rPr>
        <w:t>Authorization</w:t>
      </w:r>
      <w:r w:rsidRPr="00102F89">
        <w:rPr>
          <w:szCs w:val="24"/>
        </w:rPr>
        <w:t xml:space="preserve">.  The contracting officer shall obtain approval from the head of the contracting activity (HCA) before entering into a UCO, or modifying the scope of a UCO when performance has already begun.  The Request for HCA approval of a UCO is located in </w:t>
      </w:r>
      <w:hyperlink r:id="rId11" w:history="1">
        <w:r w:rsidRPr="00102F89">
          <w:rPr>
            <w:rStyle w:val="Hyperlink"/>
            <w:szCs w:val="24"/>
          </w:rPr>
          <w:t>DARS PGI</w:t>
        </w:r>
      </w:hyperlink>
      <w:r w:rsidRPr="00102F89">
        <w:rPr>
          <w:rStyle w:val="Hyperlink"/>
          <w:szCs w:val="24"/>
        </w:rPr>
        <w:t xml:space="preserve"> 243.204-70-7</w:t>
      </w:r>
      <w:r w:rsidRPr="00102F89">
        <w:rPr>
          <w:szCs w:val="24"/>
        </w:rPr>
        <w:t xml:space="preserve">, and must be maintained in the contract file. </w:t>
      </w:r>
    </w:p>
    <w:p w:rsidR="002000F0" w:rsidRDefault="00A94A43" w:rsidP="00A94A43">
      <w:pPr>
        <w:pStyle w:val="List1"/>
      </w:pPr>
      <w:r w:rsidRPr="006E3F06">
        <w:rPr>
          <w:szCs w:val="24"/>
        </w:rPr>
        <w:t xml:space="preserve">(S-91) </w:t>
      </w:r>
      <w:r w:rsidRPr="006E3F06">
        <w:rPr>
          <w:i/>
          <w:szCs w:val="24"/>
          <w:lang w:val="en"/>
        </w:rPr>
        <w:t>Processing.</w:t>
      </w:r>
      <w:r w:rsidRPr="006E3F06">
        <w:rPr>
          <w:szCs w:val="24"/>
          <w:lang w:val="en"/>
        </w:rPr>
        <w:t xml:space="preserve">  The PL2 Contract Operations Branch </w:t>
      </w:r>
      <w:r>
        <w:rPr>
          <w:szCs w:val="24"/>
          <w:lang w:val="en"/>
        </w:rPr>
        <w:t>will track the processing of UCO</w:t>
      </w:r>
      <w:r w:rsidRPr="006E3F06">
        <w:rPr>
          <w:szCs w:val="24"/>
          <w:lang w:val="en"/>
        </w:rPr>
        <w:t xml:space="preserve">s (see </w:t>
      </w:r>
      <w:hyperlink r:id="rId12" w:tgtFrame="_blank" w:history="1">
        <w:r w:rsidRPr="006E3F06">
          <w:rPr>
            <w:color w:val="0000FF"/>
            <w:szCs w:val="24"/>
            <w:lang w:val="en"/>
          </w:rPr>
          <w:t>DFARS 217.7405</w:t>
        </w:r>
      </w:hyperlink>
      <w:r w:rsidRPr="006E3F06">
        <w:rPr>
          <w:szCs w:val="24"/>
          <w:lang w:val="en"/>
        </w:rPr>
        <w:t xml:space="preserve"> &amp; </w:t>
      </w:r>
      <w:hyperlink r:id="rId13" w:anchor="217.7405" w:tgtFrame="_blank" w:history="1">
        <w:r w:rsidRPr="006E3F06">
          <w:rPr>
            <w:color w:val="0000FF"/>
            <w:szCs w:val="24"/>
            <w:lang w:val="en"/>
          </w:rPr>
          <w:t>PGI</w:t>
        </w:r>
      </w:hyperlink>
      <w:r w:rsidRPr="006E3F06">
        <w:rPr>
          <w:szCs w:val="24"/>
          <w:lang w:val="en"/>
        </w:rPr>
        <w:t xml:space="preserve"> </w:t>
      </w:r>
      <w:hyperlink r:id="rId14" w:anchor="217.7405" w:tgtFrame="_blank" w:history="1">
        <w:r w:rsidRPr="006E3F06">
          <w:rPr>
            <w:color w:val="0000FF"/>
            <w:szCs w:val="24"/>
            <w:lang w:val="en"/>
          </w:rPr>
          <w:t>217.7405</w:t>
        </w:r>
      </w:hyperlink>
      <w:r w:rsidRPr="006E3F06">
        <w:rPr>
          <w:color w:val="0000FF"/>
          <w:szCs w:val="24"/>
          <w:lang w:val="en"/>
        </w:rPr>
        <w:t xml:space="preserve">) </w:t>
      </w:r>
      <w:r w:rsidRPr="006E3F06">
        <w:rPr>
          <w:szCs w:val="24"/>
          <w:lang w:val="en"/>
        </w:rPr>
        <w:t>from providing a UCA Tracking Number to reviewing the final negotiated agree</w:t>
      </w:r>
      <w:r>
        <w:rPr>
          <w:szCs w:val="24"/>
          <w:lang w:val="en"/>
        </w:rPr>
        <w:t>ment, at all dollar values.  UCO</w:t>
      </w:r>
      <w:r w:rsidRPr="006E3F06">
        <w:rPr>
          <w:szCs w:val="24"/>
          <w:lang w:val="en"/>
        </w:rPr>
        <w:t xml:space="preserve">s valued greater than $5M will be reported to the Director, Defense Pricing and Contracting in accordance with the DISA Consolidated UCA Management Plan.  </w:t>
      </w:r>
      <w:r w:rsidRPr="006E3F06">
        <w:rPr>
          <w:szCs w:val="24"/>
        </w:rPr>
        <w:t xml:space="preserve"> Contract data shall be </w:t>
      </w:r>
      <w:r w:rsidRPr="006E3F06">
        <w:rPr>
          <w:szCs w:val="24"/>
          <w:lang w:val="en"/>
        </w:rPr>
        <w:t>maintained</w:t>
      </w:r>
      <w:r w:rsidRPr="006E3F06">
        <w:rPr>
          <w:szCs w:val="24"/>
        </w:rPr>
        <w:t xml:space="preserve"> in the format required by the spreadsheet </w:t>
      </w:r>
      <w:r w:rsidRPr="006E3F06">
        <w:rPr>
          <w:szCs w:val="24"/>
        </w:rPr>
        <w:lastRenderedPageBreak/>
        <w:t xml:space="preserve">referenced in </w:t>
      </w:r>
      <w:hyperlink r:id="rId15" w:anchor="217.7405">
        <w:r w:rsidRPr="006E3F06">
          <w:rPr>
            <w:color w:val="0000FF"/>
            <w:szCs w:val="24"/>
            <w:u w:val="single" w:color="0000FF"/>
          </w:rPr>
          <w:t>DFARS PGI 217.7405(2)(ii)</w:t>
        </w:r>
        <w:r w:rsidRPr="006E3F06">
          <w:rPr>
            <w:szCs w:val="24"/>
          </w:rPr>
          <w:t>.</w:t>
        </w:r>
      </w:hyperlink>
      <w:r w:rsidRPr="006E3F06">
        <w:rPr>
          <w:szCs w:val="24"/>
        </w:rPr>
        <w:t xml:space="preserve">  </w:t>
      </w:r>
      <w:r w:rsidRPr="006E3F06">
        <w:rPr>
          <w:szCs w:val="24"/>
          <w:lang w:val="en"/>
        </w:rPr>
        <w:t>PL</w:t>
      </w:r>
      <w:r>
        <w:rPr>
          <w:szCs w:val="24"/>
          <w:lang w:val="en"/>
        </w:rPr>
        <w:t>2 will track approval of the UCO</w:t>
      </w:r>
      <w:r w:rsidRPr="006E3F06">
        <w:rPr>
          <w:szCs w:val="24"/>
          <w:lang w:val="en"/>
        </w:rPr>
        <w:t xml:space="preserve"> by the HCA, and upon approval (signature) re</w:t>
      </w:r>
      <w:r>
        <w:rPr>
          <w:szCs w:val="24"/>
          <w:lang w:val="en"/>
        </w:rPr>
        <w:t xml:space="preserve">tain a copy of the approved UCO </w:t>
      </w:r>
      <w:r w:rsidRPr="006E3F06">
        <w:rPr>
          <w:szCs w:val="24"/>
          <w:lang w:val="en"/>
        </w:rPr>
        <w:t>Request for Approval and the UC</w:t>
      </w:r>
      <w:r>
        <w:rPr>
          <w:szCs w:val="24"/>
          <w:lang w:val="en"/>
        </w:rPr>
        <w:t>O</w:t>
      </w:r>
      <w:r w:rsidRPr="006E3F06">
        <w:rPr>
          <w:szCs w:val="24"/>
          <w:lang w:val="en"/>
        </w:rPr>
        <w:t xml:space="preserve"> D&amp;Fs to complete the bi-annual UCA Report.</w:t>
      </w:r>
    </w:p>
    <w:p w:rsidR="00A94A43" w:rsidRDefault="00A94A43" w:rsidP="00A94A43">
      <w:pPr>
        <w:pStyle w:val="BodyText"/>
        <w:ind w:left="460" w:firstLine="35"/>
        <w:rPr>
          <w:sz w:val="25"/>
        </w:rPr>
      </w:pPr>
    </w:p>
    <w:p w:rsidR="002000F0" w:rsidRDefault="00A94A43" w:rsidP="00A94A43">
      <w:pPr>
        <w:pStyle w:val="List1"/>
      </w:pPr>
      <w:r w:rsidRPr="00015350">
        <w:t xml:space="preserve">(S-92)  </w:t>
      </w:r>
      <w:r w:rsidRPr="00015350">
        <w:rPr>
          <w:i/>
        </w:rPr>
        <w:t>Review.</w:t>
      </w:r>
      <w:r w:rsidRPr="00015350">
        <w:t xml:space="preserve">  The contracting officer shall </w:t>
      </w:r>
      <w:r>
        <w:rPr>
          <w:lang w:val="en"/>
        </w:rPr>
        <w:t>obtain a UCA Tracking Number</w:t>
      </w:r>
      <w:r w:rsidRPr="000D69DF">
        <w:rPr>
          <w:lang w:val="en"/>
        </w:rPr>
        <w:t xml:space="preserve"> </w:t>
      </w:r>
      <w:r>
        <w:rPr>
          <w:lang w:val="en"/>
        </w:rPr>
        <w:t>from PL2 and shall</w:t>
      </w:r>
      <w:r w:rsidRPr="00015350">
        <w:t xml:space="preserve"> obtain a compliance review of the final negotiated agreement, to include profit/fee, from the </w:t>
      </w:r>
      <w:hyperlink r:id="rId16" w:history="1">
        <w:r w:rsidRPr="007A2877">
          <w:rPr>
            <w:rStyle w:val="Hyperlink"/>
          </w:rPr>
          <w:t xml:space="preserve">PL22, </w:t>
        </w:r>
        <w:r>
          <w:rPr>
            <w:rStyle w:val="Hyperlink"/>
          </w:rPr>
          <w:t>Contract Operations</w:t>
        </w:r>
        <w:r w:rsidRPr="007A2877">
          <w:rPr>
            <w:rStyle w:val="Hyperlink"/>
          </w:rPr>
          <w:t xml:space="preserve"> Branch</w:t>
        </w:r>
      </w:hyperlink>
      <w:r w:rsidRPr="00015350">
        <w:t xml:space="preserve"> prior to definitization.</w:t>
      </w:r>
    </w:p>
    <w:p w:rsidR="002000F0" w:rsidRDefault="00A94A43" w:rsidP="00A94A43">
      <w:pPr>
        <w:pStyle w:val="List1"/>
      </w:pPr>
      <w:r>
        <w:t xml:space="preserve">(S-93) </w:t>
      </w:r>
      <w:r>
        <w:rPr>
          <w:i/>
        </w:rPr>
        <w:t>Management Plan (D&amp;F)</w:t>
      </w:r>
      <w:r>
        <w:t xml:space="preserve">. All UCOs are required to adhere to the Consolidated UCA Management Plan required by </w:t>
      </w:r>
      <w:hyperlink r:id="rId17" w:anchor="217.7405">
        <w:r>
          <w:rPr>
            <w:color w:val="0000FF"/>
            <w:u w:val="single" w:color="0000FF"/>
          </w:rPr>
          <w:t>DFARS PGI 217.7405</w:t>
        </w:r>
      </w:hyperlink>
      <w:r>
        <w:rPr>
          <w:color w:val="0000FF"/>
        </w:rPr>
        <w:t xml:space="preserve"> </w:t>
      </w:r>
      <w:hyperlink r:id="rId18" w:anchor="217.7405">
        <w:r>
          <w:rPr>
            <w:color w:val="0000FF"/>
            <w:u w:val="single" w:color="0000FF"/>
          </w:rPr>
          <w:t>(2)(i)</w:t>
        </w:r>
        <w:r>
          <w:t>.</w:t>
        </w:r>
      </w:hyperlink>
      <w:r>
        <w:t xml:space="preserve"> Prior to definitization, contracting officers shall satisfy the requirements of the UCA Management Plan by executing a D&amp;F for HCA approval. The UCA/UCO D&amp;F contains elements of the Consolidated UCA Management Plan (</w:t>
      </w:r>
      <w:hyperlink r:id="rId19">
        <w:r>
          <w:rPr>
            <w:color w:val="0000FF"/>
            <w:u w:val="single" w:color="0000FF"/>
          </w:rPr>
          <w:t>DFARS PGI 217.7405(2)(i</w:t>
        </w:r>
      </w:hyperlink>
      <w:r>
        <w:t xml:space="preserve">)) and shall be maintained in the contract file. The UCA/UCO D&amp;F template is located in </w:t>
      </w:r>
      <w:hyperlink r:id="rId20" w:history="1">
        <w:hyperlink r:id="rId21" w:history="1">
          <w:r w:rsidRPr="002D4CFF">
            <w:rPr>
              <w:rStyle w:val="Hyperlink"/>
            </w:rPr>
            <w:t>DARS PGI</w:t>
          </w:r>
        </w:hyperlink>
        <w:r w:rsidRPr="00480880">
          <w:rPr>
            <w:rStyle w:val="Hyperlink"/>
            <w:color w:val="auto"/>
            <w:u w:val="none"/>
          </w:rPr>
          <w:t xml:space="preserve"> 243.204-70-7</w:t>
        </w:r>
      </w:hyperlink>
      <w:r>
        <w:t xml:space="preserve">.  </w:t>
      </w:r>
    </w:p>
    <w:p w:rsidR="00A94A43" w:rsidRDefault="00A94A43" w:rsidP="00A94A43">
      <w:pPr>
        <w:pStyle w:val="Heading3"/>
      </w:pPr>
      <w:bookmarkStart w:id="14" w:name="SUBPART_43.9000_–_SCOPE_DETERMINATION"/>
      <w:bookmarkStart w:id="15" w:name="_bookmark277"/>
      <w:bookmarkStart w:id="16" w:name="_Toc41468136"/>
      <w:bookmarkEnd w:id="14"/>
      <w:bookmarkEnd w:id="15"/>
      <w:r>
        <w:t>SUBPART 43.9000 – SCOPE DETERMINATION</w:t>
      </w:r>
      <w:bookmarkEnd w:id="16"/>
    </w:p>
    <w:p w:rsidR="002000F0" w:rsidRDefault="00A94A43" w:rsidP="00A94A43">
      <w:pPr>
        <w:pStyle w:val="Heading3"/>
        <w:rPr>
          <w:b w:val="0"/>
        </w:rPr>
      </w:pPr>
      <w:bookmarkStart w:id="17" w:name="43.9000__Policy."/>
      <w:bookmarkStart w:id="18" w:name="_bookmark278"/>
      <w:bookmarkStart w:id="19" w:name="_Toc41468137"/>
      <w:bookmarkEnd w:id="17"/>
      <w:bookmarkEnd w:id="18"/>
      <w:r>
        <w:t>43.9000</w:t>
      </w:r>
      <w:r>
        <w:rPr>
          <w:spacing w:val="59"/>
        </w:rPr>
        <w:t xml:space="preserve"> </w:t>
      </w:r>
      <w:r>
        <w:t>Policy.</w:t>
      </w:r>
      <w:bookmarkEnd w:id="19"/>
    </w:p>
    <w:p w:rsidR="002000F0" w:rsidRDefault="00A94A43" w:rsidP="00A94A43">
      <w:pPr>
        <w:pStyle w:val="List1"/>
      </w:pPr>
      <w:r>
        <w:t>(S-90)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rsidR="002000F0" w:rsidRDefault="00A94A43" w:rsidP="00A94A43">
      <w:pPr>
        <w:pStyle w:val="List3"/>
      </w:pPr>
      <w:r>
        <w:rPr>
          <w:spacing w:val="-3"/>
          <w:w w:val="99"/>
          <w:sz w:val="24"/>
          <w:szCs w:val="24"/>
        </w:rPr>
        <w:t>(i)</w:t>
      </w:r>
      <w:r>
        <w:rPr>
          <w:spacing w:val="-3"/>
          <w:w w:val="99"/>
          <w:sz w:val="24"/>
          <w:szCs w:val="24"/>
        </w:rPr>
        <w:tab/>
      </w:r>
      <w:r w:rsidRPr="00AE3E5B">
        <w:rPr>
          <w:sz w:val="24"/>
        </w:rPr>
        <w:t>Nature of work to be performed under the modification compared to the nature of the work performed under existing contract or task</w:t>
      </w:r>
      <w:r w:rsidRPr="00AE3E5B">
        <w:rPr>
          <w:spacing w:val="-4"/>
          <w:sz w:val="24"/>
        </w:rPr>
        <w:t xml:space="preserve"> </w:t>
      </w:r>
      <w:r w:rsidRPr="00AE3E5B">
        <w:rPr>
          <w:sz w:val="24"/>
        </w:rPr>
        <w:t>order;</w:t>
      </w:r>
    </w:p>
    <w:p w:rsidR="002000F0" w:rsidRDefault="00A94A43" w:rsidP="00A94A43">
      <w:pPr>
        <w:pStyle w:val="List3"/>
      </w:pPr>
      <w:r>
        <w:rPr>
          <w:spacing w:val="-3"/>
          <w:w w:val="99"/>
          <w:sz w:val="24"/>
          <w:szCs w:val="24"/>
        </w:rPr>
        <w:t>(ii)</w:t>
      </w:r>
      <w:r>
        <w:rPr>
          <w:spacing w:val="-3"/>
          <w:w w:val="99"/>
          <w:sz w:val="24"/>
          <w:szCs w:val="24"/>
        </w:rPr>
        <w:tab/>
      </w:r>
      <w:r w:rsidRPr="00AE3E5B">
        <w:rPr>
          <w:sz w:val="24"/>
        </w:rPr>
        <w:t>Amount of effort required to perform the work required by the modification compared to</w:t>
      </w:r>
      <w:r w:rsidRPr="00AE3E5B">
        <w:rPr>
          <w:spacing w:val="-20"/>
          <w:sz w:val="24"/>
        </w:rPr>
        <w:t xml:space="preserve"> </w:t>
      </w:r>
      <w:r w:rsidRPr="00AE3E5B">
        <w:rPr>
          <w:sz w:val="24"/>
        </w:rPr>
        <w:t>the amount of effort required to perform the existing contract or task</w:t>
      </w:r>
      <w:r w:rsidRPr="00AE3E5B">
        <w:rPr>
          <w:spacing w:val="-7"/>
          <w:sz w:val="24"/>
        </w:rPr>
        <w:t xml:space="preserve"> </w:t>
      </w:r>
      <w:r w:rsidRPr="00AE3E5B">
        <w:rPr>
          <w:sz w:val="24"/>
        </w:rPr>
        <w:t>order;</w:t>
      </w:r>
    </w:p>
    <w:p w:rsidR="002000F0" w:rsidRDefault="00A94A43" w:rsidP="00A94A43">
      <w:pPr>
        <w:pStyle w:val="List3"/>
      </w:pPr>
      <w:r>
        <w:rPr>
          <w:spacing w:val="-3"/>
          <w:w w:val="99"/>
          <w:sz w:val="24"/>
          <w:szCs w:val="24"/>
        </w:rPr>
        <w:t>(iii)</w:t>
      </w:r>
      <w:r>
        <w:rPr>
          <w:spacing w:val="-3"/>
          <w:w w:val="99"/>
          <w:sz w:val="24"/>
          <w:szCs w:val="24"/>
        </w:rPr>
        <w:tab/>
      </w:r>
      <w:r w:rsidRPr="00AE3E5B">
        <w:rPr>
          <w:sz w:val="24"/>
        </w:rPr>
        <w:t>Changes in quantity or quality of deliverables which exceed what offerors who proposed</w:t>
      </w:r>
      <w:r w:rsidRPr="00AE3E5B">
        <w:rPr>
          <w:spacing w:val="-20"/>
          <w:sz w:val="24"/>
        </w:rPr>
        <w:t xml:space="preserve"> </w:t>
      </w:r>
      <w:r w:rsidRPr="00AE3E5B">
        <w:rPr>
          <w:sz w:val="24"/>
        </w:rPr>
        <w:t>on the existing contract or task order should have reasonably</w:t>
      </w:r>
      <w:r w:rsidRPr="00AE3E5B">
        <w:rPr>
          <w:spacing w:val="-10"/>
          <w:sz w:val="24"/>
        </w:rPr>
        <w:t xml:space="preserve"> </w:t>
      </w:r>
      <w:r w:rsidRPr="00AE3E5B">
        <w:rPr>
          <w:sz w:val="24"/>
        </w:rPr>
        <w:t>contemplated;</w:t>
      </w:r>
    </w:p>
    <w:p w:rsidR="002000F0" w:rsidRDefault="00A94A43" w:rsidP="00A94A43">
      <w:pPr>
        <w:pStyle w:val="List3"/>
      </w:pPr>
      <w:r>
        <w:rPr>
          <w:spacing w:val="-3"/>
          <w:w w:val="99"/>
          <w:sz w:val="24"/>
          <w:szCs w:val="24"/>
        </w:rPr>
        <w:t>(iv)</w:t>
      </w:r>
      <w:r>
        <w:rPr>
          <w:spacing w:val="-3"/>
          <w:w w:val="99"/>
          <w:sz w:val="24"/>
          <w:szCs w:val="24"/>
        </w:rPr>
        <w:tab/>
      </w:r>
      <w:r w:rsidRPr="00AE3E5B">
        <w:rPr>
          <w:sz w:val="24"/>
        </w:rPr>
        <w:t>Scope of the original competition and whether offerors who proposed on the existing contract or task order should have reasonably contemplated the proposed</w:t>
      </w:r>
      <w:r w:rsidRPr="00AE3E5B">
        <w:rPr>
          <w:spacing w:val="-13"/>
          <w:sz w:val="24"/>
        </w:rPr>
        <w:t xml:space="preserve"> </w:t>
      </w:r>
      <w:r w:rsidRPr="00AE3E5B">
        <w:rPr>
          <w:sz w:val="24"/>
        </w:rPr>
        <w:t>modification;</w:t>
      </w:r>
    </w:p>
    <w:p w:rsidR="002000F0" w:rsidRDefault="00A94A43" w:rsidP="00A94A43">
      <w:pPr>
        <w:pStyle w:val="List3"/>
      </w:pPr>
      <w:r>
        <w:rPr>
          <w:spacing w:val="-3"/>
          <w:w w:val="99"/>
          <w:sz w:val="24"/>
          <w:szCs w:val="24"/>
        </w:rPr>
        <w:t>(v)</w:t>
      </w:r>
      <w:r>
        <w:rPr>
          <w:spacing w:val="-3"/>
          <w:w w:val="99"/>
          <w:sz w:val="24"/>
          <w:szCs w:val="24"/>
        </w:rPr>
        <w:tab/>
      </w:r>
      <w:r w:rsidRPr="00AE3E5B">
        <w:rPr>
          <w:sz w:val="24"/>
        </w:rPr>
        <w:t>Cumulative impact of multiple changes/previous</w:t>
      </w:r>
      <w:r w:rsidRPr="00AE3E5B">
        <w:rPr>
          <w:spacing w:val="-4"/>
          <w:sz w:val="24"/>
        </w:rPr>
        <w:t xml:space="preserve"> </w:t>
      </w:r>
      <w:r w:rsidRPr="00AE3E5B">
        <w:rPr>
          <w:sz w:val="24"/>
        </w:rPr>
        <w:t>modifications;</w:t>
      </w:r>
    </w:p>
    <w:p w:rsidR="002000F0" w:rsidRDefault="00A94A43" w:rsidP="00A94A43">
      <w:pPr>
        <w:pStyle w:val="List3"/>
      </w:pPr>
      <w:r>
        <w:rPr>
          <w:spacing w:val="-3"/>
          <w:w w:val="99"/>
          <w:sz w:val="24"/>
          <w:szCs w:val="24"/>
        </w:rPr>
        <w:t>(vi)</w:t>
      </w:r>
      <w:r>
        <w:rPr>
          <w:spacing w:val="-3"/>
          <w:w w:val="99"/>
          <w:sz w:val="24"/>
          <w:szCs w:val="24"/>
        </w:rPr>
        <w:tab/>
      </w:r>
      <w:r w:rsidRPr="00AE3E5B">
        <w:rPr>
          <w:sz w:val="24"/>
        </w:rPr>
        <w:t>Changes in time of</w:t>
      </w:r>
      <w:r w:rsidRPr="00AE3E5B">
        <w:rPr>
          <w:spacing w:val="-1"/>
          <w:sz w:val="24"/>
        </w:rPr>
        <w:t xml:space="preserve"> </w:t>
      </w:r>
      <w:r w:rsidRPr="00AE3E5B">
        <w:rPr>
          <w:sz w:val="24"/>
        </w:rPr>
        <w:t>performance.</w:t>
      </w:r>
    </w:p>
    <w:p w:rsidR="002000F0" w:rsidRDefault="00A94A43" w:rsidP="00A94A43">
      <w:pPr>
        <w:pStyle w:val="BodyText"/>
        <w:ind w:left="460" w:right="458"/>
      </w:pPr>
      <w:r>
        <w:t xml:space="preserve">For further guidance on determining when a modification is within scope of an existing contract, see DISA’s supplementary guidance at </w:t>
      </w:r>
      <w:hyperlink r:id="rId22" w:history="1">
        <w:r w:rsidRPr="002D4CFF">
          <w:rPr>
            <w:rStyle w:val="Hyperlink"/>
          </w:rPr>
          <w:t>DARS PGI</w:t>
        </w:r>
      </w:hyperlink>
      <w:r w:rsidRPr="00B155DA">
        <w:t xml:space="preserve"> 43.9000(S-90).</w:t>
      </w:r>
    </w:p>
    <w:p w:rsidR="002000F0" w:rsidRDefault="00A94A43" w:rsidP="00A94A43">
      <w:pPr>
        <w:pStyle w:val="List1"/>
      </w:pPr>
      <w:r>
        <w:t>(S-91)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rsidR="002000F0" w:rsidRDefault="00A94A43" w:rsidP="00A94A43">
      <w:pPr>
        <w:pStyle w:val="List1"/>
      </w:pPr>
      <w:r>
        <w:t xml:space="preserve">(S-92) The contracting officer’s scope determination shall be documented as a memorandum for the record (MFR) which cites this DARS subpart. The MFR should confirm the factors in 43.9000 S-90 </w:t>
      </w:r>
      <w:r>
        <w:lastRenderedPageBreak/>
        <w:t>were taken into consideration in making the determination, whether counsel was consulted, and state the final “determination” of the contracting officer.</w:t>
      </w:r>
    </w:p>
    <w:p w:rsidR="00A94A43" w:rsidRDefault="00A94A43" w:rsidP="00A94A43">
      <w:pPr>
        <w:pStyle w:val="List1"/>
      </w:pPr>
      <w:r>
        <w:t>(S-93) General Counsel shall be consulted in cases where the contracting officer cannot make a clear determination whether the proposed modification is within scope of the existing contract or</w:t>
      </w:r>
    </w:p>
    <w:p w:rsidR="002000F0" w:rsidRDefault="00A94A43" w:rsidP="00A94A43">
      <w:r>
        <w:br w:type="page"/>
      </w:r>
      <w:r>
        <w:lastRenderedPageBreak/>
        <w:t>task order.</w:t>
      </w:r>
    </w:p>
    <w:p w:rsidR="002000F0" w:rsidRDefault="00A94A43" w:rsidP="00A94A43">
      <w:pPr>
        <w:pStyle w:val="List1"/>
      </w:pPr>
      <w:r>
        <w:t>(S-94) In-scope changes to an existing contract shall be issued in accordance with FAR 43.2. When a proposed change requires a modification outside of the general scope of a contract, the contracting officer must either</w:t>
      </w:r>
    </w:p>
    <w:p w:rsidR="002000F0" w:rsidRDefault="00A94A43" w:rsidP="00A94A43">
      <w:pPr>
        <w:pStyle w:val="List3"/>
      </w:pPr>
      <w:r>
        <w:rPr>
          <w:spacing w:val="-5"/>
          <w:w w:val="99"/>
          <w:sz w:val="24"/>
          <w:szCs w:val="24"/>
        </w:rPr>
        <w:t>(i)</w:t>
      </w:r>
      <w:r>
        <w:rPr>
          <w:spacing w:val="-5"/>
          <w:w w:val="99"/>
          <w:sz w:val="24"/>
          <w:szCs w:val="24"/>
        </w:rPr>
        <w:tab/>
      </w:r>
      <w:r w:rsidRPr="00AE3E5B">
        <w:rPr>
          <w:sz w:val="24"/>
        </w:rPr>
        <w:t>competitively solicit the requirement;</w:t>
      </w:r>
      <w:r w:rsidRPr="00AE3E5B">
        <w:rPr>
          <w:spacing w:val="-7"/>
          <w:sz w:val="24"/>
        </w:rPr>
        <w:t xml:space="preserve"> </w:t>
      </w:r>
      <w:r w:rsidRPr="00AE3E5B">
        <w:rPr>
          <w:sz w:val="24"/>
        </w:rPr>
        <w:t>or,</w:t>
      </w:r>
    </w:p>
    <w:p w:rsidR="00A94A43" w:rsidRPr="00AE3E5B" w:rsidRDefault="00A94A43" w:rsidP="00A94A43">
      <w:pPr>
        <w:pStyle w:val="List3"/>
      </w:pPr>
      <w:r>
        <w:rPr>
          <w:spacing w:val="-5"/>
          <w:w w:val="99"/>
          <w:sz w:val="24"/>
          <w:szCs w:val="24"/>
        </w:rPr>
        <w:t>(ii)</w:t>
      </w:r>
      <w:r>
        <w:rPr>
          <w:spacing w:val="-5"/>
          <w:w w:val="99"/>
          <w:sz w:val="24"/>
          <w:szCs w:val="24"/>
        </w:rPr>
        <w:tab/>
      </w:r>
      <w:r w:rsidRPr="00AE3E5B">
        <w:rPr>
          <w:sz w:val="24"/>
        </w:rPr>
        <w:t>issue the modification in accordance with the non-competitive procedures at FAR, 6.303, 8.405-6, or</w:t>
      </w:r>
      <w:r w:rsidRPr="00AE3E5B">
        <w:rPr>
          <w:spacing w:val="-2"/>
          <w:sz w:val="24"/>
        </w:rPr>
        <w:t xml:space="preserve"> </w:t>
      </w:r>
      <w:r w:rsidRPr="00AE3E5B">
        <w:rPr>
          <w:sz w:val="24"/>
        </w:rPr>
        <w:t>16.505(b)(2).</w:t>
      </w:r>
    </w:p>
    <w:p w:rsidR="00A94A43" w:rsidRDefault="00A94A43" w:rsidP="00A94A43">
      <w:pPr>
        <w:rPr>
          <w:sz w:val="24"/>
        </w:rPr>
      </w:pPr>
      <w:r>
        <w:br w:type="page"/>
      </w:r>
    </w:p>
    <w:sectPr w:rsidR="00A94A43">
      <w:footerReference w:type="default" r:id="rId2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4A43" w:rsidRDefault="00A94A43">
      <w:r>
        <w:separator/>
      </w:r>
    </w:p>
  </w:endnote>
  <w:endnote w:type="continuationSeparator" w:id="0">
    <w:p w:rsidR="00A94A43" w:rsidRDefault="00A9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4A43" w:rsidRDefault="00A94A43">
      <w:r>
        <w:separator/>
      </w:r>
    </w:p>
  </w:footnote>
  <w:footnote w:type="continuationSeparator" w:id="0">
    <w:p w:rsidR="00A94A43" w:rsidRDefault="00A94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00F0"/>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4A43"/>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dars/pgi/pgi_htm/PGI217_74.htm" TargetMode="External"/><Relationship Id="rId18" Type="http://schemas.openxmlformats.org/officeDocument/2006/relationships/hyperlink" Target="https://www.acq.osd.mil/dpap/dars/pgi/pgi_htm/PGI217_74.htm" TargetMode="External"/><Relationship Id="rId3" Type="http://schemas.openxmlformats.org/officeDocument/2006/relationships/customXml" Target="../customXml/item3.xml"/><Relationship Id="rId21" Type="http://schemas.openxmlformats.org/officeDocument/2006/relationships/hyperlink" Target="https://disa.deps.mil/org/PL2/Pages/DITCORefs.aspx" TargetMode="External"/><Relationship Id="rId7" Type="http://schemas.openxmlformats.org/officeDocument/2006/relationships/settings" Target="settings.xml"/><Relationship Id="rId12" Type="http://schemas.openxmlformats.org/officeDocument/2006/relationships/hyperlink" Target="http://www.acq.osd.mil/dpap/dars/dfars/html/current/217_74.htm" TargetMode="External"/><Relationship Id="rId17" Type="http://schemas.openxmlformats.org/officeDocument/2006/relationships/hyperlink" Target="https://www.acq.osd.mil/dpap/dars/pgi/pgi_htm/PGI217_74.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isa.meade.PLD.mbx.pl22-policy-compliance-review@mail.mil" TargetMode="External"/><Relationship Id="rId2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cq.osd.mil/dpap/dars/pgi/pgi_htm/PGI217_74.ht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cq.osd.mil/dpap/dars/pgi/frameset.htm?dfarsno=217_2&amp;amp;amp%3Bpgino=PGI217_74&amp;amp;amp%3Bpgianchor=217.7405&amp;amp;amp%3Bdfarsanchor=217.740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dars/pgi/pgi_htm/PGI217_74.htm" TargetMode="External"/><Relationship Id="rId22"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BAD25AFB-CBFB-4DC4-9733-5E5E7912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