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56A0" w14:textId="77777777" w:rsidR="00B10BF9" w:rsidRDefault="00B10BF9">
      <w:pPr>
        <w:sectPr w:rsidR="00B10BF9">
          <w:pgSz w:w="12240" w:h="15840"/>
          <w:pgMar w:top="1440" w:right="1440" w:bottom="1440" w:left="1440" w:header="720" w:footer="720" w:gutter="0"/>
          <w:cols w:space="720"/>
          <w:docGrid w:linePitch="360"/>
        </w:sectPr>
      </w:pPr>
    </w:p>
    <w:p w14:paraId="0CC70E12" w14:textId="77777777" w:rsidR="00B10BF9" w:rsidRDefault="00B10BF9" w:rsidP="0079042A">
      <w:pPr>
        <w:pStyle w:val="Heading1"/>
      </w:pPr>
      <w:bookmarkStart w:id="0" w:name="_Toc37675692"/>
      <w:bookmarkStart w:id="1" w:name="_Toc37676308"/>
      <w:bookmarkStart w:id="2" w:name="_Toc37754000"/>
      <w:r w:rsidRPr="007B495C">
        <w:lastRenderedPageBreak/>
        <w:t>PART 20</w:t>
      </w:r>
      <w:r>
        <w:t>6</w:t>
      </w:r>
      <w:r w:rsidRPr="007B495C">
        <w:t xml:space="preserve"> - </w:t>
      </w:r>
      <w:r>
        <w:br/>
      </w:r>
      <w:r w:rsidRPr="0032021F">
        <w:t>COMPETITION REQUIREMENTS</w:t>
      </w:r>
      <w:bookmarkEnd w:id="0"/>
      <w:bookmarkEnd w:id="1"/>
      <w:bookmarkEnd w:id="2"/>
    </w:p>
    <w:p w14:paraId="4B738920" w14:textId="77777777" w:rsidR="00B10BF9" w:rsidRDefault="00B10BF9">
      <w:r>
        <w:br w:type="page"/>
      </w:r>
      <w:r>
        <w:lastRenderedPageBreak/>
        <w:br/>
      </w:r>
    </w:p>
    <w:p w14:paraId="2A60807F" w14:textId="77777777" w:rsidR="00A74065" w:rsidRDefault="00A74065" w:rsidP="00B10BF9">
      <w:pPr>
        <w:jc w:val="center"/>
        <w:rPr>
          <w:rFonts w:ascii="Arial" w:hAnsi="Arial" w:cs="Arial"/>
          <w:b/>
        </w:rPr>
      </w:pPr>
      <w:r>
        <w:rPr>
          <w:rFonts w:ascii="Arial" w:hAnsi="Arial" w:cs="Arial"/>
          <w:b/>
        </w:rPr>
        <w:t>Table of Contents</w:t>
      </w:r>
    </w:p>
    <w:p w14:paraId="1EF98A4E" w14:textId="7249C206" w:rsidR="00E571FF" w:rsidRDefault="00E571FF" w:rsidP="00E571FF">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000" w:history="1">
        <w:r w:rsidRPr="005750B0">
          <w:rPr>
            <w:rStyle w:val="Hyperlink"/>
            <w:noProof/>
          </w:rPr>
          <w:t>PART 206 -  COMPETITION REQUIREMENTS</w:t>
        </w:r>
      </w:hyperlink>
    </w:p>
    <w:p w14:paraId="663B9A31" w14:textId="6E4417C7" w:rsidR="00E571FF" w:rsidRDefault="00E571FF" w:rsidP="00E571FF">
      <w:pPr>
        <w:pStyle w:val="TOC3"/>
        <w:tabs>
          <w:tab w:val="right" w:leader="dot" w:pos="9350"/>
        </w:tabs>
        <w:rPr>
          <w:rFonts w:asciiTheme="minorHAnsi" w:eastAsiaTheme="minorEastAsia" w:hAnsiTheme="minorHAnsi"/>
          <w:noProof/>
        </w:rPr>
      </w:pPr>
      <w:hyperlink w:anchor="_Toc37754001" w:history="1">
        <w:r w:rsidRPr="005750B0">
          <w:rPr>
            <w:rStyle w:val="Hyperlink"/>
            <w:noProof/>
          </w:rPr>
          <w:t>206.000  Scope of part.</w:t>
        </w:r>
      </w:hyperlink>
    </w:p>
    <w:p w14:paraId="17972B0F" w14:textId="51D04669" w:rsidR="00E571FF" w:rsidRDefault="00E571FF" w:rsidP="00E571FF">
      <w:pPr>
        <w:pStyle w:val="TOC3"/>
        <w:tabs>
          <w:tab w:val="right" w:leader="dot" w:pos="9350"/>
        </w:tabs>
        <w:rPr>
          <w:rFonts w:asciiTheme="minorHAnsi" w:eastAsiaTheme="minorEastAsia" w:hAnsiTheme="minorHAnsi"/>
          <w:noProof/>
        </w:rPr>
      </w:pPr>
      <w:hyperlink w:anchor="_Toc37754002" w:history="1">
        <w:r w:rsidRPr="005750B0">
          <w:rPr>
            <w:rStyle w:val="Hyperlink"/>
            <w:noProof/>
          </w:rPr>
          <w:t>206.001  Applicability.</w:t>
        </w:r>
      </w:hyperlink>
    </w:p>
    <w:p w14:paraId="1D5BAF73" w14:textId="6C0A562D" w:rsidR="00E571FF" w:rsidRDefault="00E571FF" w:rsidP="00E571FF">
      <w:pPr>
        <w:pStyle w:val="TOC2"/>
        <w:tabs>
          <w:tab w:val="right" w:leader="dot" w:pos="9350"/>
        </w:tabs>
        <w:rPr>
          <w:rFonts w:asciiTheme="minorHAnsi" w:eastAsiaTheme="minorEastAsia" w:hAnsiTheme="minorHAnsi"/>
          <w:noProof/>
        </w:rPr>
      </w:pPr>
      <w:hyperlink w:anchor="_Toc37754003" w:history="1">
        <w:r w:rsidRPr="005750B0">
          <w:rPr>
            <w:rStyle w:val="Hyperlink"/>
            <w:caps/>
            <w:noProof/>
          </w:rPr>
          <w:t>subpart 206.1--full and open competition</w:t>
        </w:r>
      </w:hyperlink>
    </w:p>
    <w:p w14:paraId="61668FD0" w14:textId="7ADC0FE8" w:rsidR="00E571FF" w:rsidRDefault="00E571FF" w:rsidP="00E571FF">
      <w:pPr>
        <w:pStyle w:val="TOC3"/>
        <w:tabs>
          <w:tab w:val="right" w:leader="dot" w:pos="9350"/>
        </w:tabs>
        <w:rPr>
          <w:rFonts w:asciiTheme="minorHAnsi" w:eastAsiaTheme="minorEastAsia" w:hAnsiTheme="minorHAnsi"/>
          <w:noProof/>
        </w:rPr>
      </w:pPr>
      <w:hyperlink w:anchor="_Toc37754004" w:history="1">
        <w:r w:rsidRPr="005750B0">
          <w:rPr>
            <w:rStyle w:val="Hyperlink"/>
            <w:noProof/>
          </w:rPr>
          <w:t>206.102  Use of competitive procedures.</w:t>
        </w:r>
      </w:hyperlink>
    </w:p>
    <w:p w14:paraId="36A811E1" w14:textId="2FB495A8" w:rsidR="00E571FF" w:rsidRDefault="00E571FF" w:rsidP="00E571FF">
      <w:pPr>
        <w:pStyle w:val="TOC2"/>
        <w:tabs>
          <w:tab w:val="right" w:leader="dot" w:pos="9350"/>
        </w:tabs>
        <w:rPr>
          <w:rFonts w:asciiTheme="minorHAnsi" w:eastAsiaTheme="minorEastAsia" w:hAnsiTheme="minorHAnsi"/>
          <w:noProof/>
        </w:rPr>
      </w:pPr>
      <w:hyperlink w:anchor="_Toc37754005" w:history="1">
        <w:r w:rsidRPr="005750B0">
          <w:rPr>
            <w:rStyle w:val="Hyperlink"/>
            <w:caps/>
            <w:noProof/>
          </w:rPr>
          <w:t>subpart 206.2--full and open competition after exclusion of sources</w:t>
        </w:r>
      </w:hyperlink>
    </w:p>
    <w:p w14:paraId="68C2AD1E" w14:textId="0D7315C9" w:rsidR="00E571FF" w:rsidRDefault="00E571FF" w:rsidP="00E571FF">
      <w:pPr>
        <w:pStyle w:val="TOC3"/>
        <w:tabs>
          <w:tab w:val="right" w:leader="dot" w:pos="9350"/>
        </w:tabs>
        <w:rPr>
          <w:rFonts w:asciiTheme="minorHAnsi" w:eastAsiaTheme="minorEastAsia" w:hAnsiTheme="minorHAnsi"/>
          <w:noProof/>
        </w:rPr>
      </w:pPr>
      <w:hyperlink w:anchor="_Toc37754006" w:history="1">
        <w:r w:rsidRPr="005750B0">
          <w:rPr>
            <w:rStyle w:val="Hyperlink"/>
            <w:noProof/>
          </w:rPr>
          <w:t>206.202  Establishing or maintaining alternative sources.</w:t>
        </w:r>
      </w:hyperlink>
    </w:p>
    <w:p w14:paraId="0F784393" w14:textId="03F914DC" w:rsidR="00E571FF" w:rsidRDefault="00E571FF" w:rsidP="00E571FF">
      <w:pPr>
        <w:pStyle w:val="TOC2"/>
        <w:tabs>
          <w:tab w:val="right" w:leader="dot" w:pos="9350"/>
        </w:tabs>
        <w:rPr>
          <w:rFonts w:asciiTheme="minorHAnsi" w:eastAsiaTheme="minorEastAsia" w:hAnsiTheme="minorHAnsi"/>
          <w:noProof/>
        </w:rPr>
      </w:pPr>
      <w:hyperlink w:anchor="_Toc37754007" w:history="1">
        <w:r w:rsidRPr="005750B0">
          <w:rPr>
            <w:rStyle w:val="Hyperlink"/>
            <w:caps/>
            <w:noProof/>
          </w:rPr>
          <w:t>SUBPART 206.3--OTHER THAN FULL AND OPEN COMPETITION</w:t>
        </w:r>
      </w:hyperlink>
    </w:p>
    <w:p w14:paraId="13C5128E" w14:textId="2E5625A7" w:rsidR="00E571FF" w:rsidRDefault="00E571FF" w:rsidP="00E571FF">
      <w:pPr>
        <w:pStyle w:val="TOC3"/>
        <w:tabs>
          <w:tab w:val="right" w:leader="dot" w:pos="9350"/>
        </w:tabs>
        <w:rPr>
          <w:rFonts w:asciiTheme="minorHAnsi" w:eastAsiaTheme="minorEastAsia" w:hAnsiTheme="minorHAnsi"/>
          <w:noProof/>
        </w:rPr>
      </w:pPr>
      <w:hyperlink w:anchor="_Toc37754008" w:history="1">
        <w:r w:rsidRPr="005750B0">
          <w:rPr>
            <w:rStyle w:val="Hyperlink"/>
            <w:noProof/>
          </w:rPr>
          <w:t>206.302  Circumstances permitting other than full and open competition.</w:t>
        </w:r>
      </w:hyperlink>
    </w:p>
    <w:p w14:paraId="0A659540" w14:textId="2C4AA315" w:rsidR="00E571FF" w:rsidRDefault="00E571FF" w:rsidP="00E571FF">
      <w:pPr>
        <w:pStyle w:val="TOC4"/>
        <w:tabs>
          <w:tab w:val="right" w:leader="dot" w:pos="9350"/>
        </w:tabs>
        <w:rPr>
          <w:rFonts w:asciiTheme="minorHAnsi" w:eastAsiaTheme="minorEastAsia" w:hAnsiTheme="minorHAnsi"/>
          <w:noProof/>
        </w:rPr>
      </w:pPr>
      <w:hyperlink w:anchor="_Toc37754009" w:history="1">
        <w:r w:rsidRPr="005750B0">
          <w:rPr>
            <w:rStyle w:val="Hyperlink"/>
            <w:noProof/>
          </w:rPr>
          <w:t>206.302-1  Only one responsible source and no other supplies or services will satisfy agency requirements.</w:t>
        </w:r>
      </w:hyperlink>
    </w:p>
    <w:p w14:paraId="761B6C8C" w14:textId="4B8324BE" w:rsidR="00E571FF" w:rsidRDefault="00E571FF" w:rsidP="00E571FF">
      <w:pPr>
        <w:pStyle w:val="TOC4"/>
        <w:tabs>
          <w:tab w:val="right" w:leader="dot" w:pos="9350"/>
        </w:tabs>
        <w:rPr>
          <w:rFonts w:asciiTheme="minorHAnsi" w:eastAsiaTheme="minorEastAsia" w:hAnsiTheme="minorHAnsi"/>
          <w:noProof/>
        </w:rPr>
      </w:pPr>
      <w:hyperlink w:anchor="_Toc37754010" w:history="1">
        <w:r w:rsidRPr="005750B0">
          <w:rPr>
            <w:rStyle w:val="Hyperlink"/>
            <w:noProof/>
          </w:rPr>
          <w:t>206.302-2  Unusual and compelling urgency.</w:t>
        </w:r>
      </w:hyperlink>
    </w:p>
    <w:p w14:paraId="15202ED3" w14:textId="13C55400" w:rsidR="00E571FF" w:rsidRDefault="00E571FF" w:rsidP="00E571FF">
      <w:pPr>
        <w:pStyle w:val="TOC4"/>
        <w:tabs>
          <w:tab w:val="right" w:leader="dot" w:pos="9350"/>
        </w:tabs>
        <w:rPr>
          <w:rFonts w:asciiTheme="minorHAnsi" w:eastAsiaTheme="minorEastAsia" w:hAnsiTheme="minorHAnsi"/>
          <w:noProof/>
        </w:rPr>
      </w:pPr>
      <w:hyperlink w:anchor="_Toc37754011" w:history="1">
        <w:r w:rsidRPr="005750B0">
          <w:rPr>
            <w:rStyle w:val="Hyperlink"/>
            <w:noProof/>
          </w:rPr>
          <w:t>206.302-3  Industrial mobilization, engineering, developmental, or research capability, or expert services.</w:t>
        </w:r>
      </w:hyperlink>
    </w:p>
    <w:p w14:paraId="0EB100CA" w14:textId="36601108" w:rsidR="00E571FF" w:rsidRDefault="00E571FF" w:rsidP="00E571FF">
      <w:pPr>
        <w:pStyle w:val="TOC3"/>
        <w:tabs>
          <w:tab w:val="right" w:leader="dot" w:pos="9350"/>
        </w:tabs>
        <w:rPr>
          <w:rFonts w:asciiTheme="minorHAnsi" w:eastAsiaTheme="minorEastAsia" w:hAnsiTheme="minorHAnsi"/>
          <w:noProof/>
        </w:rPr>
      </w:pPr>
      <w:hyperlink w:anchor="_Toc37754012" w:history="1">
        <w:r w:rsidRPr="005750B0">
          <w:rPr>
            <w:rStyle w:val="Hyperlink"/>
            <w:noProof/>
          </w:rPr>
          <w:t>206.302-3-70  Solicitation provision.</w:t>
        </w:r>
      </w:hyperlink>
    </w:p>
    <w:p w14:paraId="3777F856" w14:textId="51B71994" w:rsidR="00E571FF" w:rsidRDefault="00E571FF" w:rsidP="00E571FF">
      <w:pPr>
        <w:pStyle w:val="TOC4"/>
        <w:tabs>
          <w:tab w:val="right" w:leader="dot" w:pos="9350"/>
        </w:tabs>
        <w:rPr>
          <w:rFonts w:asciiTheme="minorHAnsi" w:eastAsiaTheme="minorEastAsia" w:hAnsiTheme="minorHAnsi"/>
          <w:noProof/>
        </w:rPr>
      </w:pPr>
      <w:hyperlink w:anchor="_Toc37754013" w:history="1">
        <w:r w:rsidRPr="005750B0">
          <w:rPr>
            <w:rStyle w:val="Hyperlink"/>
            <w:noProof/>
          </w:rPr>
          <w:t>206.302-4  International agreement.</w:t>
        </w:r>
      </w:hyperlink>
    </w:p>
    <w:p w14:paraId="107EC281" w14:textId="2644C1D0" w:rsidR="00E571FF" w:rsidRDefault="00E571FF" w:rsidP="00E571FF">
      <w:pPr>
        <w:pStyle w:val="TOC4"/>
        <w:tabs>
          <w:tab w:val="right" w:leader="dot" w:pos="9350"/>
        </w:tabs>
        <w:rPr>
          <w:rFonts w:asciiTheme="minorHAnsi" w:eastAsiaTheme="minorEastAsia" w:hAnsiTheme="minorHAnsi"/>
          <w:noProof/>
        </w:rPr>
      </w:pPr>
      <w:hyperlink w:anchor="_Toc37754014" w:history="1">
        <w:r w:rsidRPr="005750B0">
          <w:rPr>
            <w:rStyle w:val="Hyperlink"/>
            <w:noProof/>
          </w:rPr>
          <w:t>206.302-5  Authorized or required by statute.</w:t>
        </w:r>
      </w:hyperlink>
    </w:p>
    <w:p w14:paraId="69F8785F" w14:textId="4B76D2F5" w:rsidR="00E571FF" w:rsidRDefault="00E571FF" w:rsidP="00E571FF">
      <w:pPr>
        <w:pStyle w:val="TOC4"/>
        <w:tabs>
          <w:tab w:val="right" w:leader="dot" w:pos="9350"/>
        </w:tabs>
        <w:rPr>
          <w:rFonts w:asciiTheme="minorHAnsi" w:eastAsiaTheme="minorEastAsia" w:hAnsiTheme="minorHAnsi"/>
          <w:noProof/>
        </w:rPr>
      </w:pPr>
      <w:hyperlink w:anchor="_Toc37754015" w:history="1">
        <w:r w:rsidRPr="005750B0">
          <w:rPr>
            <w:rStyle w:val="Hyperlink"/>
            <w:noProof/>
          </w:rPr>
          <w:t>206.302-7  Public interest.</w:t>
        </w:r>
      </w:hyperlink>
    </w:p>
    <w:p w14:paraId="7C2EC679" w14:textId="01280805" w:rsidR="00E571FF" w:rsidRDefault="00E571FF" w:rsidP="00E571FF">
      <w:pPr>
        <w:pStyle w:val="TOC3"/>
        <w:tabs>
          <w:tab w:val="right" w:leader="dot" w:pos="9350"/>
        </w:tabs>
        <w:rPr>
          <w:rFonts w:asciiTheme="minorHAnsi" w:eastAsiaTheme="minorEastAsia" w:hAnsiTheme="minorHAnsi"/>
          <w:noProof/>
        </w:rPr>
      </w:pPr>
      <w:hyperlink w:anchor="_Toc37754016" w:history="1">
        <w:r w:rsidRPr="005750B0">
          <w:rPr>
            <w:rStyle w:val="Hyperlink"/>
            <w:rFonts w:cs="Courier New"/>
            <w:noProof/>
          </w:rPr>
          <w:t>206.303  Justifications.</w:t>
        </w:r>
      </w:hyperlink>
    </w:p>
    <w:p w14:paraId="29811ABA" w14:textId="5E0C8AC7" w:rsidR="00E571FF" w:rsidRDefault="00E571FF" w:rsidP="00E571FF">
      <w:pPr>
        <w:pStyle w:val="TOC4"/>
        <w:tabs>
          <w:tab w:val="right" w:leader="dot" w:pos="9350"/>
        </w:tabs>
        <w:rPr>
          <w:rFonts w:asciiTheme="minorHAnsi" w:eastAsiaTheme="minorEastAsia" w:hAnsiTheme="minorHAnsi"/>
          <w:noProof/>
        </w:rPr>
      </w:pPr>
      <w:hyperlink w:anchor="_Toc37754017" w:history="1">
        <w:r w:rsidRPr="005750B0">
          <w:rPr>
            <w:rStyle w:val="Hyperlink"/>
            <w:rFonts w:cs="Courier New"/>
            <w:noProof/>
          </w:rPr>
          <w:t>206.303-2  Content.</w:t>
        </w:r>
      </w:hyperlink>
    </w:p>
    <w:p w14:paraId="58EB1455" w14:textId="6113A628" w:rsidR="00E571FF" w:rsidRDefault="00E571FF" w:rsidP="00E571FF">
      <w:pPr>
        <w:pStyle w:val="TOC4"/>
        <w:tabs>
          <w:tab w:val="right" w:leader="dot" w:pos="9350"/>
        </w:tabs>
        <w:rPr>
          <w:rFonts w:asciiTheme="minorHAnsi" w:eastAsiaTheme="minorEastAsia" w:hAnsiTheme="minorHAnsi"/>
          <w:noProof/>
        </w:rPr>
      </w:pPr>
      <w:hyperlink w:anchor="_Toc37754018" w:history="1">
        <w:r w:rsidRPr="005750B0">
          <w:rPr>
            <w:rStyle w:val="Hyperlink"/>
            <w:rFonts w:cs="Courier New"/>
            <w:noProof/>
          </w:rPr>
          <w:t>206.303-70  Acquisitions in support of operations in Afghanistan.</w:t>
        </w:r>
      </w:hyperlink>
    </w:p>
    <w:p w14:paraId="4D77D4A6" w14:textId="53E47AD1" w:rsidR="00E571FF" w:rsidRDefault="00E571FF" w:rsidP="00E571FF">
      <w:pPr>
        <w:pStyle w:val="TOC3"/>
        <w:tabs>
          <w:tab w:val="right" w:leader="dot" w:pos="9350"/>
        </w:tabs>
        <w:rPr>
          <w:rFonts w:asciiTheme="minorHAnsi" w:eastAsiaTheme="minorEastAsia" w:hAnsiTheme="minorHAnsi"/>
          <w:noProof/>
        </w:rPr>
      </w:pPr>
      <w:hyperlink w:anchor="_Toc37754019" w:history="1">
        <w:r w:rsidRPr="005750B0">
          <w:rPr>
            <w:rStyle w:val="Hyperlink"/>
            <w:noProof/>
          </w:rPr>
          <w:t>206.304  Approval of the justification.</w:t>
        </w:r>
      </w:hyperlink>
    </w:p>
    <w:p w14:paraId="0925C0FF" w14:textId="1CA007C6" w:rsidR="00E571FF" w:rsidRDefault="00E571FF" w:rsidP="00E571FF">
      <w:pPr>
        <w:pStyle w:val="TOC3"/>
        <w:tabs>
          <w:tab w:val="right" w:leader="dot" w:pos="9350"/>
        </w:tabs>
        <w:rPr>
          <w:rFonts w:asciiTheme="minorHAnsi" w:eastAsiaTheme="minorEastAsia" w:hAnsiTheme="minorHAnsi"/>
          <w:noProof/>
        </w:rPr>
      </w:pPr>
      <w:hyperlink w:anchor="_Toc37754020" w:history="1">
        <w:r w:rsidRPr="005750B0">
          <w:rPr>
            <w:rStyle w:val="Hyperlink"/>
            <w:noProof/>
            <w:spacing w:val="-5"/>
            <w:kern w:val="20"/>
          </w:rPr>
          <w:t>206.305  Availability of the justification.</w:t>
        </w:r>
      </w:hyperlink>
    </w:p>
    <w:p w14:paraId="7B36EA76" w14:textId="08699E34" w:rsidR="005B7579" w:rsidRDefault="00E571FF" w:rsidP="00B10BF9">
      <w:pPr>
        <w:jc w:val="center"/>
        <w:rPr>
          <w:rFonts w:ascii="Arial" w:hAnsi="Arial" w:cs="Arial"/>
          <w:b/>
        </w:rPr>
      </w:pPr>
      <w:r>
        <w:rPr>
          <w:rStyle w:val="Hyperlink"/>
          <w:noProof/>
        </w:rPr>
        <w:fldChar w:fldCharType="end"/>
      </w:r>
    </w:p>
    <w:p w14:paraId="04CD9CB1" w14:textId="77777777" w:rsidR="00B10BF9" w:rsidRPr="00B10BF9" w:rsidRDefault="00B10BF9" w:rsidP="00B10BF9">
      <w:pPr>
        <w:jc w:val="center"/>
        <w:rPr>
          <w:rFonts w:ascii="Arial" w:hAnsi="Arial" w:cs="Arial"/>
          <w:b/>
        </w:rPr>
      </w:pPr>
    </w:p>
    <w:p w14:paraId="5F00F476" w14:textId="77777777" w:rsidR="00B10BF9" w:rsidRPr="00BD32FF" w:rsidRDefault="00B10BF9" w:rsidP="00D71FB9">
      <w:pPr>
        <w:jc w:val="center"/>
      </w:pPr>
      <w:bookmarkStart w:id="3" w:name="BM206_0"/>
      <w:r w:rsidRPr="00BD32FF">
        <w:rPr>
          <w:i/>
        </w:rPr>
        <w:t>(Revised April 20, 2015)</w:t>
      </w:r>
    </w:p>
    <w:p w14:paraId="42AF3B9E" w14:textId="77777777" w:rsidR="00B10BF9" w:rsidRPr="00217A64" w:rsidRDefault="00B10BF9" w:rsidP="00BD32FF">
      <w:pPr>
        <w:pStyle w:val="Heading3"/>
      </w:pPr>
      <w:r>
        <w:lastRenderedPageBreak/>
        <w:br/>
      </w:r>
      <w:bookmarkStart w:id="4" w:name="_Toc37345176"/>
      <w:bookmarkStart w:id="5" w:name="_Toc37675693"/>
      <w:bookmarkStart w:id="6" w:name="_Toc37676309"/>
      <w:bookmarkStart w:id="7" w:name="_Toc37754001"/>
      <w:proofErr w:type="gramStart"/>
      <w:r w:rsidRPr="001C5366">
        <w:t>206</w:t>
      </w:r>
      <w:r>
        <w:t>.</w:t>
      </w:r>
      <w:r w:rsidRPr="001C5366">
        <w:t>000</w:t>
      </w:r>
      <w:r>
        <w:t xml:space="preserve">  </w:t>
      </w:r>
      <w:r w:rsidRPr="001C5366">
        <w:t>Scope</w:t>
      </w:r>
      <w:proofErr w:type="gramEnd"/>
      <w:r>
        <w:t xml:space="preserve"> </w:t>
      </w:r>
      <w:r w:rsidRPr="001C5366">
        <w:t>of</w:t>
      </w:r>
      <w:r>
        <w:t xml:space="preserve"> </w:t>
      </w:r>
      <w:r w:rsidRPr="001C5366">
        <w:t>part</w:t>
      </w:r>
      <w:r w:rsidRPr="00217A64">
        <w:t>.</w:t>
      </w:r>
      <w:bookmarkEnd w:id="4"/>
      <w:bookmarkEnd w:id="5"/>
      <w:bookmarkEnd w:id="6"/>
      <w:bookmarkEnd w:id="7"/>
    </w:p>
    <w:p w14:paraId="578EF3B0" w14:textId="77777777" w:rsidR="00B10BF9" w:rsidRPr="00BD32FF" w:rsidRDefault="00B10BF9" w:rsidP="00BD32FF">
      <w:r w:rsidRPr="00BD32FF">
        <w:t xml:space="preserve">For information on the various approaches that may be used to competitively fulfill DoD requirements, see </w:t>
      </w:r>
      <w:hyperlink r:id="rId6" w:anchor="206.000" w:history="1">
        <w:r w:rsidRPr="00BD32FF">
          <w:rPr>
            <w:rStyle w:val="Hyperlink"/>
          </w:rPr>
          <w:t>PGI 206.000</w:t>
        </w:r>
      </w:hyperlink>
      <w:r w:rsidRPr="00BD32FF">
        <w:t>.</w:t>
      </w:r>
    </w:p>
    <w:p w14:paraId="2227983B" w14:textId="77777777" w:rsidR="00B10BF9" w:rsidRDefault="00B10BF9" w:rsidP="00BD32FF">
      <w:pPr>
        <w:pStyle w:val="Heading3"/>
      </w:pPr>
      <w:r>
        <w:br/>
      </w:r>
      <w:bookmarkStart w:id="8" w:name="_Toc37345177"/>
      <w:bookmarkStart w:id="9" w:name="_Toc37675694"/>
      <w:bookmarkStart w:id="10" w:name="_Toc37676310"/>
      <w:bookmarkStart w:id="11" w:name="_Toc37754002"/>
      <w:proofErr w:type="gramStart"/>
      <w:r w:rsidRPr="001C5366">
        <w:t>206</w:t>
      </w:r>
      <w:r>
        <w:t>.</w:t>
      </w:r>
      <w:r w:rsidRPr="001C5366">
        <w:t>001</w:t>
      </w:r>
      <w:r>
        <w:t xml:space="preserve">  </w:t>
      </w:r>
      <w:r w:rsidRPr="001C5366">
        <w:t>Applicability</w:t>
      </w:r>
      <w:proofErr w:type="gramEnd"/>
      <w:r>
        <w:t>.</w:t>
      </w:r>
      <w:bookmarkEnd w:id="8"/>
      <w:bookmarkEnd w:id="9"/>
      <w:bookmarkEnd w:id="10"/>
      <w:bookmarkEnd w:id="11"/>
    </w:p>
    <w:p w14:paraId="6407DB7C" w14:textId="77777777" w:rsidR="00B10BF9" w:rsidRDefault="00B10BF9" w:rsidP="00756DBC">
      <w:pPr>
        <w:pStyle w:val="List1"/>
      </w:pPr>
      <w:r>
        <w:rPr>
          <w:b/>
        </w:rPr>
        <w:br/>
      </w:r>
      <w:r>
        <w:t>(b)  As authorized by 10 U.S.C. 1091, contracts awarded to individuals using the procedures at 237.104(b)(ii) are exempt from the competition requirements of FAR Part 6.</w:t>
      </w:r>
    </w:p>
    <w:p w14:paraId="1C7C0BE6" w14:textId="77777777" w:rsidR="00B10BF9" w:rsidRPr="00BD32FF" w:rsidRDefault="00B10BF9" w:rsidP="00BD32FF">
      <w:r w:rsidRPr="00BD32FF">
        <w:br/>
        <w:t>(S-70</w:t>
      </w:r>
      <w:proofErr w:type="gramStart"/>
      <w:r w:rsidRPr="00BD32FF">
        <w:t>)  Also</w:t>
      </w:r>
      <w:proofErr w:type="gramEnd"/>
      <w:r w:rsidRPr="00BD32FF">
        <w:t xml:space="preserve"> excepted from this part are follow-on production contracts for products developed pursuant to the “other transactions” authority of 10 U.S.C. 2371 for prototype projects when—</w:t>
      </w:r>
    </w:p>
    <w:p w14:paraId="5DE146F4" w14:textId="77777777" w:rsidR="00B10BF9" w:rsidRDefault="00B10BF9" w:rsidP="00BD32FF">
      <w:pPr>
        <w:pStyle w:val="List2"/>
      </w:pPr>
      <w:r>
        <w:br/>
        <w:t xml:space="preserve">(1)  The other transaction agreement includes provisions for a follow-on production </w:t>
      </w:r>
      <w:proofErr w:type="gramStart"/>
      <w:r>
        <w:t>contract;</w:t>
      </w:r>
      <w:proofErr w:type="gramEnd"/>
    </w:p>
    <w:p w14:paraId="266BD4A9" w14:textId="77777777" w:rsidR="00B10BF9" w:rsidRDefault="00B10BF9" w:rsidP="00BD32FF">
      <w:pPr>
        <w:pStyle w:val="List2"/>
      </w:pPr>
      <w:r>
        <w:br/>
        <w:t>(2)  The contracting officer receives sufficient information from the agreements officer and the project manager for the prototype other transaction agreement, which documents that the conditions set forth in 10 U.S.C. 2371 note, subsections (f)(2)(A) and (B) (see 32 CFR 3.9(d)), have been met; and</w:t>
      </w:r>
    </w:p>
    <w:p w14:paraId="11CA1EF4" w14:textId="77777777" w:rsidR="00B10BF9" w:rsidRDefault="00B10BF9" w:rsidP="00BD32FF">
      <w:pPr>
        <w:pStyle w:val="List2"/>
      </w:pPr>
      <w:r>
        <w:br/>
        <w:t>(3)  The contracting officer establishes quantities and prices for the follow-on production contract that do not exceed the quantities and target prices established in the other transaction agreement.</w:t>
      </w:r>
    </w:p>
    <w:p w14:paraId="12123C07" w14:textId="77777777" w:rsidR="00B10BF9" w:rsidRPr="00BD32FF" w:rsidRDefault="00B10BF9" w:rsidP="00BD32FF">
      <w:r w:rsidRPr="00BD32FF">
        <w:br/>
      </w:r>
      <w:bookmarkEnd w:id="3"/>
    </w:p>
    <w:p w14:paraId="609593A9" w14:textId="77777777" w:rsidR="00B10BF9" w:rsidRDefault="00B10BF9">
      <w:pPr>
        <w:sectPr w:rsidR="00B10BF9" w:rsidSect="00E71652">
          <w:headerReference w:type="default" r:id="rId7"/>
          <w:footerReference w:type="default" r:id="rId8"/>
          <w:pgSz w:w="12240" w:h="15840"/>
          <w:pgMar w:top="1440" w:right="1440" w:bottom="1440" w:left="1440" w:header="720" w:footer="720" w:gutter="0"/>
          <w:cols w:space="720"/>
          <w:docGrid w:linePitch="360"/>
        </w:sectPr>
      </w:pPr>
    </w:p>
    <w:p w14:paraId="654EA04C" w14:textId="77777777" w:rsidR="00B10BF9" w:rsidRPr="00E76A08" w:rsidRDefault="00B10BF9" w:rsidP="00E76A08">
      <w:pPr>
        <w:pStyle w:val="Heading2"/>
      </w:pPr>
      <w:bookmarkStart w:id="12" w:name="_Toc37345178"/>
      <w:bookmarkStart w:id="13" w:name="_Toc37675695"/>
      <w:bookmarkStart w:id="14" w:name="_Toc37676311"/>
      <w:bookmarkStart w:id="15" w:name="BM206_2"/>
      <w:bookmarkStart w:id="16" w:name="_Toc37754003"/>
      <w:r w:rsidRPr="00E76A08">
        <w:rPr>
          <w:caps/>
        </w:rPr>
        <w:lastRenderedPageBreak/>
        <w:t>subpart 206.1--full and open competition</w:t>
      </w:r>
      <w:bookmarkEnd w:id="12"/>
      <w:bookmarkEnd w:id="13"/>
      <w:bookmarkEnd w:id="14"/>
      <w:bookmarkEnd w:id="16"/>
      <w:r w:rsidRPr="00E76A08">
        <w:rPr>
          <w:caps/>
        </w:rPr>
        <w:t xml:space="preserve"> </w:t>
      </w:r>
    </w:p>
    <w:p w14:paraId="14685EA6" w14:textId="77777777" w:rsidR="00B10BF9" w:rsidRPr="003C1C8C" w:rsidRDefault="00B10BF9" w:rsidP="00E76A08">
      <w:pPr>
        <w:jc w:val="center"/>
      </w:pPr>
      <w:r w:rsidRPr="003C1C8C">
        <w:rPr>
          <w:i/>
        </w:rPr>
        <w:t xml:space="preserve">(Added February 15, 2019) </w:t>
      </w:r>
    </w:p>
    <w:p w14:paraId="0303D462" w14:textId="77777777" w:rsidR="00B10BF9" w:rsidRDefault="00B10BF9" w:rsidP="003C1C8C">
      <w:pPr>
        <w:pStyle w:val="Heading3"/>
      </w:pPr>
      <w:r>
        <w:br/>
      </w:r>
      <w:bookmarkStart w:id="17" w:name="_Toc37345179"/>
      <w:bookmarkStart w:id="18" w:name="_Toc37675696"/>
      <w:bookmarkStart w:id="19" w:name="_Toc37676312"/>
      <w:bookmarkStart w:id="20" w:name="_Toc37754004"/>
      <w:proofErr w:type="gramStart"/>
      <w:r w:rsidRPr="003A7B14">
        <w:t>206</w:t>
      </w:r>
      <w:r w:rsidRPr="003A19F9">
        <w:t>.</w:t>
      </w:r>
      <w:r w:rsidRPr="003A7B14">
        <w:t>102</w:t>
      </w:r>
      <w:r w:rsidRPr="003A19F9">
        <w:t xml:space="preserve">  </w:t>
      </w:r>
      <w:r w:rsidRPr="003A7B14">
        <w:t>Use</w:t>
      </w:r>
      <w:proofErr w:type="gramEnd"/>
      <w:r w:rsidRPr="003A19F9">
        <w:t xml:space="preserve"> </w:t>
      </w:r>
      <w:r w:rsidRPr="003A7B14">
        <w:t>of</w:t>
      </w:r>
      <w:r w:rsidRPr="003A19F9">
        <w:t xml:space="preserve"> </w:t>
      </w:r>
      <w:r w:rsidRPr="003A7B14">
        <w:t>competitive</w:t>
      </w:r>
      <w:r w:rsidRPr="003A19F9">
        <w:t xml:space="preserve"> </w:t>
      </w:r>
      <w:r w:rsidRPr="003A7B14">
        <w:t>procedures</w:t>
      </w:r>
      <w:r w:rsidRPr="003A19F9">
        <w:t>.</w:t>
      </w:r>
      <w:bookmarkEnd w:id="17"/>
      <w:bookmarkEnd w:id="18"/>
      <w:bookmarkEnd w:id="19"/>
      <w:bookmarkEnd w:id="20"/>
    </w:p>
    <w:p w14:paraId="44F7716B" w14:textId="77777777" w:rsidR="00B10BF9" w:rsidRDefault="00B10BF9" w:rsidP="00756DBC">
      <w:pPr>
        <w:pStyle w:val="List1"/>
      </w:pPr>
      <w:r>
        <w:rPr>
          <w:b/>
        </w:rPr>
        <w:br/>
      </w:r>
      <w:r w:rsidRPr="003A19F9">
        <w:t xml:space="preserve">(d)  </w:t>
      </w:r>
      <w:r w:rsidRPr="003A19F9">
        <w:rPr>
          <w:i/>
        </w:rPr>
        <w:t>Other competitive procedures</w:t>
      </w:r>
      <w:r w:rsidRPr="003A19F9">
        <w:t>.</w:t>
      </w:r>
    </w:p>
    <w:p w14:paraId="63C6EA17" w14:textId="77777777" w:rsidR="00B10BF9" w:rsidRDefault="00B10BF9" w:rsidP="003C1C8C">
      <w:pPr>
        <w:pStyle w:val="List2"/>
      </w:pPr>
      <w:r>
        <w:br/>
      </w:r>
      <w:r w:rsidRPr="003A19F9">
        <w:t xml:space="preserve">(2)  In lieu of FAR 6.102(d)(2), competitive selection of science and technology proposals resulting from a broad agency announcement with peer or scientific review, as described in </w:t>
      </w:r>
      <w:hyperlink r:id="rId9" w:anchor="235.016" w:history="1">
        <w:r w:rsidRPr="00F40054">
          <w:rPr>
            <w:rStyle w:val="Hyperlink"/>
          </w:rPr>
          <w:t>235.016</w:t>
        </w:r>
      </w:hyperlink>
      <w:r w:rsidRPr="003A19F9">
        <w:t xml:space="preserve">(a) (10 U.S.C. 2302(2)(B)). </w:t>
      </w:r>
    </w:p>
    <w:p w14:paraId="610F6B7D" w14:textId="77777777" w:rsidR="00B10BF9" w:rsidRPr="003C1C8C" w:rsidRDefault="00B10BF9" w:rsidP="003C1C8C">
      <w:r w:rsidRPr="003C1C8C">
        <w:br/>
      </w:r>
      <w:bookmarkEnd w:id="15"/>
    </w:p>
    <w:p w14:paraId="279B9345" w14:textId="77777777" w:rsidR="00B10BF9" w:rsidRDefault="00B10BF9">
      <w:pPr>
        <w:sectPr w:rsidR="00B10BF9" w:rsidSect="00C36DC4">
          <w:headerReference w:type="default" r:id="rId10"/>
          <w:footerReference w:type="default" r:id="rId11"/>
          <w:pgSz w:w="12240" w:h="15840"/>
          <w:pgMar w:top="1440" w:right="1440" w:bottom="1440" w:left="1440" w:header="720" w:footer="720" w:gutter="0"/>
          <w:cols w:space="720"/>
          <w:docGrid w:linePitch="360"/>
        </w:sectPr>
      </w:pPr>
    </w:p>
    <w:p w14:paraId="166D9762" w14:textId="77777777" w:rsidR="00B10BF9" w:rsidRPr="007B506A" w:rsidRDefault="00B10BF9" w:rsidP="007B506A">
      <w:pPr>
        <w:pStyle w:val="Heading2"/>
      </w:pPr>
      <w:bookmarkStart w:id="21" w:name="_Toc37345180"/>
      <w:bookmarkStart w:id="22" w:name="_Toc37675697"/>
      <w:bookmarkStart w:id="23" w:name="_Toc37676313"/>
      <w:bookmarkStart w:id="24" w:name="_Toc37754005"/>
      <w:r w:rsidRPr="007B506A">
        <w:rPr>
          <w:caps/>
        </w:rPr>
        <w:lastRenderedPageBreak/>
        <w:t>subpart 206.2--full and open competition after exclusion of sources</w:t>
      </w:r>
      <w:bookmarkEnd w:id="21"/>
      <w:bookmarkEnd w:id="22"/>
      <w:bookmarkEnd w:id="23"/>
      <w:bookmarkEnd w:id="24"/>
    </w:p>
    <w:p w14:paraId="055551DD" w14:textId="77777777" w:rsidR="00B10BF9" w:rsidRPr="00817138" w:rsidRDefault="00B10BF9" w:rsidP="007B506A">
      <w:pPr>
        <w:jc w:val="center"/>
      </w:pPr>
      <w:r w:rsidRPr="00817138">
        <w:rPr>
          <w:i/>
        </w:rPr>
        <w:t xml:space="preserve">(Revised October 14, 2014) </w:t>
      </w:r>
    </w:p>
    <w:p w14:paraId="353234CC" w14:textId="77777777" w:rsidR="00B10BF9" w:rsidRDefault="00B10BF9" w:rsidP="00817138">
      <w:pPr>
        <w:pStyle w:val="Heading3"/>
      </w:pPr>
      <w:r>
        <w:br/>
      </w:r>
      <w:bookmarkStart w:id="25" w:name="_Toc37345181"/>
      <w:bookmarkStart w:id="26" w:name="_Toc37675698"/>
      <w:bookmarkStart w:id="27" w:name="_Toc37676314"/>
      <w:bookmarkStart w:id="28" w:name="_Toc37754006"/>
      <w:proofErr w:type="gramStart"/>
      <w:r w:rsidRPr="00AB1949">
        <w:t>206</w:t>
      </w:r>
      <w:r>
        <w:t>.</w:t>
      </w:r>
      <w:r w:rsidRPr="00AB1949">
        <w:t>202</w:t>
      </w:r>
      <w:r>
        <w:t xml:space="preserve">  </w:t>
      </w:r>
      <w:r w:rsidRPr="00AB1949">
        <w:t>Establishing</w:t>
      </w:r>
      <w:proofErr w:type="gramEnd"/>
      <w:r>
        <w:t xml:space="preserve"> </w:t>
      </w:r>
      <w:r w:rsidRPr="00AB1949">
        <w:t>or</w:t>
      </w:r>
      <w:r>
        <w:t xml:space="preserve"> </w:t>
      </w:r>
      <w:r w:rsidRPr="00AB1949">
        <w:t>maintaining</w:t>
      </w:r>
      <w:r>
        <w:t xml:space="preserve"> </w:t>
      </w:r>
      <w:r w:rsidRPr="00AB1949">
        <w:t>alternative</w:t>
      </w:r>
      <w:r>
        <w:t xml:space="preserve"> </w:t>
      </w:r>
      <w:r w:rsidRPr="00AB1949">
        <w:t>sources</w:t>
      </w:r>
      <w:r>
        <w:t>.</w:t>
      </w:r>
      <w:bookmarkEnd w:id="25"/>
      <w:bookmarkEnd w:id="26"/>
      <w:bookmarkEnd w:id="27"/>
      <w:bookmarkEnd w:id="28"/>
    </w:p>
    <w:p w14:paraId="622041B6" w14:textId="77777777" w:rsidR="00B10BF9" w:rsidRDefault="00B10BF9" w:rsidP="00756DBC">
      <w:pPr>
        <w:pStyle w:val="List1"/>
      </w:pPr>
      <w:r>
        <w:rPr>
          <w:b/>
        </w:rPr>
        <w:br/>
      </w:r>
      <w:r>
        <w:t xml:space="preserve">(a)  Agencies may use this authority to totally or partially exclude a </w:t>
      </w:r>
      <w:proofErr w:type="gramStart"/>
      <w:r>
        <w:t>particular source</w:t>
      </w:r>
      <w:proofErr w:type="gramEnd"/>
      <w:r>
        <w:t xml:space="preserve"> from a contract action.</w:t>
      </w:r>
    </w:p>
    <w:p w14:paraId="0A85C786" w14:textId="77777777" w:rsidR="00B10BF9" w:rsidRDefault="00B10BF9" w:rsidP="00756DBC">
      <w:pPr>
        <w:pStyle w:val="List1"/>
      </w:pPr>
      <w:r>
        <w:br/>
        <w:t xml:space="preserve">(b)  The determination and findings (D&amp;F) and the documentation supporting the D&amp;F shall identify the source to be excluded from the contract action.  Include the information at </w:t>
      </w:r>
      <w:hyperlink r:id="rId12" w:anchor="206.202" w:history="1">
        <w:r w:rsidRPr="00340D38">
          <w:rPr>
            <w:rStyle w:val="Hyperlink"/>
          </w:rPr>
          <w:t>PGI 206.202</w:t>
        </w:r>
      </w:hyperlink>
      <w:r>
        <w:t>(b), as applicable, and any other information that may be pertinent, in the supporting documentation.</w:t>
      </w:r>
    </w:p>
    <w:p w14:paraId="49442271" w14:textId="77777777" w:rsidR="00B10BF9" w:rsidRPr="00817138" w:rsidRDefault="00B10BF9" w:rsidP="00817138">
      <w:r w:rsidRPr="00817138">
        <w:br/>
      </w:r>
    </w:p>
    <w:p w14:paraId="55EA1CD2" w14:textId="77777777" w:rsidR="00B10BF9" w:rsidRDefault="00B10BF9">
      <w:pPr>
        <w:sectPr w:rsidR="00B10BF9" w:rsidSect="002C6276">
          <w:headerReference w:type="default" r:id="rId13"/>
          <w:footerReference w:type="default" r:id="rId14"/>
          <w:pgSz w:w="12240" w:h="15840"/>
          <w:pgMar w:top="1440" w:right="1440" w:bottom="1440" w:left="1440" w:header="720" w:footer="720" w:gutter="0"/>
          <w:cols w:space="720"/>
          <w:docGrid w:linePitch="360"/>
        </w:sectPr>
      </w:pPr>
    </w:p>
    <w:p w14:paraId="116080FB" w14:textId="77777777" w:rsidR="00B10BF9" w:rsidRPr="00AF4FF9" w:rsidRDefault="00B10BF9" w:rsidP="00AF4FF9">
      <w:pPr>
        <w:pStyle w:val="Heading2"/>
      </w:pPr>
      <w:bookmarkStart w:id="29" w:name="_Toc37345182"/>
      <w:bookmarkStart w:id="30" w:name="_Toc37675699"/>
      <w:bookmarkStart w:id="31" w:name="_Toc37676315"/>
      <w:bookmarkStart w:id="32" w:name="BM206_3"/>
      <w:bookmarkStart w:id="33" w:name="_Toc37754007"/>
      <w:r w:rsidRPr="00AF4FF9">
        <w:rPr>
          <w:caps/>
        </w:rPr>
        <w:lastRenderedPageBreak/>
        <w:t>SUBPART 206.3--OTHER THAN FULL AND OPEN COMPETITION</w:t>
      </w:r>
      <w:bookmarkEnd w:id="29"/>
      <w:bookmarkEnd w:id="30"/>
      <w:bookmarkEnd w:id="31"/>
      <w:bookmarkEnd w:id="33"/>
    </w:p>
    <w:p w14:paraId="3E40C4BF" w14:textId="77777777" w:rsidR="00B10BF9" w:rsidRPr="008C22E4" w:rsidRDefault="00B10BF9" w:rsidP="00AF4FF9">
      <w:pPr>
        <w:jc w:val="center"/>
      </w:pPr>
      <w:r w:rsidRPr="008C22E4">
        <w:rPr>
          <w:i/>
        </w:rPr>
        <w:t>(Revised May 31, 2019)</w:t>
      </w:r>
    </w:p>
    <w:p w14:paraId="55C8A9A1" w14:textId="77777777" w:rsidR="00B10BF9" w:rsidRDefault="00B10BF9" w:rsidP="008C22E4">
      <w:pPr>
        <w:pStyle w:val="Heading3"/>
      </w:pPr>
      <w:r>
        <w:rPr>
          <w:i/>
        </w:rPr>
        <w:br/>
      </w:r>
      <w:bookmarkStart w:id="34" w:name="_Toc37345183"/>
      <w:bookmarkStart w:id="35" w:name="_Toc37675700"/>
      <w:bookmarkStart w:id="36" w:name="_Toc37676316"/>
      <w:bookmarkStart w:id="37" w:name="_Toc37754008"/>
      <w:proofErr w:type="gramStart"/>
      <w:r w:rsidRPr="00453FA7">
        <w:t>206</w:t>
      </w:r>
      <w:r>
        <w:t>.</w:t>
      </w:r>
      <w:r w:rsidRPr="00453FA7">
        <w:t>302</w:t>
      </w:r>
      <w:r>
        <w:t xml:space="preserve">  </w:t>
      </w:r>
      <w:r w:rsidRPr="00453FA7">
        <w:t>Circumstances</w:t>
      </w:r>
      <w:proofErr w:type="gramEnd"/>
      <w:r>
        <w:t xml:space="preserve"> </w:t>
      </w:r>
      <w:r w:rsidRPr="00453FA7">
        <w:t>permitting</w:t>
      </w:r>
      <w:r>
        <w:t xml:space="preserve"> </w:t>
      </w:r>
      <w:r w:rsidRPr="00453FA7">
        <w:t>other</w:t>
      </w:r>
      <w:r>
        <w:t xml:space="preserve"> </w:t>
      </w:r>
      <w:r w:rsidRPr="00453FA7">
        <w:t>than</w:t>
      </w:r>
      <w:r>
        <w:t xml:space="preserve"> </w:t>
      </w:r>
      <w:r w:rsidRPr="00453FA7">
        <w:t>full</w:t>
      </w:r>
      <w:r>
        <w:t xml:space="preserve"> </w:t>
      </w:r>
      <w:r w:rsidRPr="00453FA7">
        <w:t>and</w:t>
      </w:r>
      <w:r>
        <w:t xml:space="preserve"> </w:t>
      </w:r>
      <w:r w:rsidRPr="00453FA7">
        <w:t>open</w:t>
      </w:r>
      <w:r>
        <w:t xml:space="preserve"> </w:t>
      </w:r>
      <w:r w:rsidRPr="00453FA7">
        <w:t>competition</w:t>
      </w:r>
      <w:r>
        <w:t>.</w:t>
      </w:r>
      <w:bookmarkEnd w:id="34"/>
      <w:bookmarkEnd w:id="35"/>
      <w:bookmarkEnd w:id="36"/>
      <w:bookmarkEnd w:id="37"/>
    </w:p>
    <w:p w14:paraId="0E2061F4" w14:textId="77777777" w:rsidR="00B10BF9" w:rsidRDefault="00B10BF9" w:rsidP="008C22E4">
      <w:pPr>
        <w:pStyle w:val="Heading4"/>
      </w:pPr>
      <w:r>
        <w:rPr>
          <w:b w:val="0"/>
        </w:rPr>
        <w:br/>
      </w:r>
      <w:bookmarkStart w:id="38" w:name="_Toc37675701"/>
      <w:bookmarkStart w:id="39" w:name="_Toc37676317"/>
      <w:bookmarkStart w:id="40" w:name="_Toc37754009"/>
      <w:r w:rsidRPr="00E911A2">
        <w:t>206</w:t>
      </w:r>
      <w:r>
        <w:t>.</w:t>
      </w:r>
      <w:r w:rsidRPr="00E911A2">
        <w:t>302</w:t>
      </w:r>
      <w:r>
        <w:t>-</w:t>
      </w:r>
      <w:proofErr w:type="gramStart"/>
      <w:r w:rsidRPr="00E911A2">
        <w:t>1</w:t>
      </w:r>
      <w:r>
        <w:t xml:space="preserve">  </w:t>
      </w:r>
      <w:r w:rsidRPr="00E911A2">
        <w:t>Only</w:t>
      </w:r>
      <w:proofErr w:type="gramEnd"/>
      <w:r>
        <w:t xml:space="preserve"> </w:t>
      </w:r>
      <w:r w:rsidRPr="00E911A2">
        <w:t>one</w:t>
      </w:r>
      <w:r>
        <w:t xml:space="preserve"> </w:t>
      </w:r>
      <w:r w:rsidRPr="00E911A2">
        <w:t>responsible</w:t>
      </w:r>
      <w:r>
        <w:t xml:space="preserve"> </w:t>
      </w:r>
      <w:r w:rsidRPr="00E911A2">
        <w:t>source</w:t>
      </w:r>
      <w:r>
        <w:t xml:space="preserve"> </w:t>
      </w:r>
      <w:r w:rsidRPr="00E911A2">
        <w:t>and</w:t>
      </w:r>
      <w:r>
        <w:t xml:space="preserve"> </w:t>
      </w:r>
      <w:r w:rsidRPr="00E911A2">
        <w:t>no</w:t>
      </w:r>
      <w:r>
        <w:t xml:space="preserve"> </w:t>
      </w:r>
      <w:r w:rsidRPr="00E911A2">
        <w:t>other</w:t>
      </w:r>
      <w:r>
        <w:t xml:space="preserve"> </w:t>
      </w:r>
      <w:r w:rsidRPr="00E911A2">
        <w:t>supplies</w:t>
      </w:r>
      <w:r>
        <w:t xml:space="preserve"> </w:t>
      </w:r>
      <w:r w:rsidRPr="00E911A2">
        <w:t>or</w:t>
      </w:r>
      <w:r>
        <w:t xml:space="preserve"> </w:t>
      </w:r>
      <w:r w:rsidRPr="00E911A2">
        <w:t>services</w:t>
      </w:r>
      <w:r>
        <w:t xml:space="preserve"> </w:t>
      </w:r>
      <w:r w:rsidRPr="00E911A2">
        <w:t>will</w:t>
      </w:r>
      <w:r>
        <w:t xml:space="preserve"> </w:t>
      </w:r>
      <w:r w:rsidRPr="00E911A2">
        <w:t>satisfy</w:t>
      </w:r>
      <w:r>
        <w:t xml:space="preserve"> </w:t>
      </w:r>
      <w:r w:rsidRPr="00E911A2">
        <w:t>agency</w:t>
      </w:r>
      <w:r>
        <w:t xml:space="preserve"> </w:t>
      </w:r>
      <w:r w:rsidRPr="00E911A2">
        <w:t>requirements</w:t>
      </w:r>
      <w:r>
        <w:t>.</w:t>
      </w:r>
      <w:bookmarkEnd w:id="38"/>
      <w:bookmarkEnd w:id="39"/>
      <w:bookmarkEnd w:id="40"/>
    </w:p>
    <w:p w14:paraId="0B5A86AA" w14:textId="77777777" w:rsidR="00B10BF9" w:rsidRDefault="00B10BF9" w:rsidP="00756DBC">
      <w:pPr>
        <w:pStyle w:val="List1"/>
      </w:pPr>
      <w:r>
        <w:rPr>
          <w:b/>
        </w:rPr>
        <w:br/>
      </w:r>
      <w:r>
        <w:t xml:space="preserve">(a)  </w:t>
      </w:r>
      <w:r>
        <w:rPr>
          <w:i/>
        </w:rPr>
        <w:t>Authority</w:t>
      </w:r>
      <w:r>
        <w:t>.</w:t>
      </w:r>
    </w:p>
    <w:p w14:paraId="2AECE400" w14:textId="77777777" w:rsidR="00B10BF9" w:rsidRDefault="00B10BF9" w:rsidP="008C22E4">
      <w:pPr>
        <w:pStyle w:val="List2"/>
      </w:pPr>
      <w:r>
        <w:br/>
        <w:t>(2)(</w:t>
      </w:r>
      <w:proofErr w:type="spellStart"/>
      <w:r>
        <w:t>i</w:t>
      </w:r>
      <w:proofErr w:type="spellEnd"/>
      <w:r>
        <w:t>)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14:paraId="5CF3AF56" w14:textId="77777777" w:rsidR="00B10BF9" w:rsidRDefault="00B10BF9" w:rsidP="008C22E4">
      <w:pPr>
        <w:pStyle w:val="List2"/>
      </w:pPr>
      <w:r>
        <w:br/>
      </w:r>
      <w:r>
        <w:rPr>
          <w:i/>
        </w:rPr>
        <w:t xml:space="preserve">(1)  </w:t>
      </w:r>
      <w:r>
        <w:t>The head of the contracting activity, or a designee no lower than chief of the contracting office, determines that—</w:t>
      </w:r>
    </w:p>
    <w:p w14:paraId="0B9A6032" w14:textId="77777777" w:rsidR="00B10BF9" w:rsidRDefault="00B10BF9" w:rsidP="008C22E4">
      <w:pPr>
        <w:pStyle w:val="List3"/>
      </w:pPr>
      <w:r>
        <w:br/>
      </w:r>
      <w:r>
        <w:rPr>
          <w:i/>
        </w:rPr>
        <w:t>(</w:t>
      </w:r>
      <w:proofErr w:type="spellStart"/>
      <w:r>
        <w:rPr>
          <w:i/>
        </w:rPr>
        <w:t>i</w:t>
      </w:r>
      <w:proofErr w:type="spellEnd"/>
      <w:r>
        <w:rPr>
          <w:i/>
        </w:rPr>
        <w:t>)</w:t>
      </w:r>
      <w:r>
        <w:t xml:space="preserve">  Following thorough technical evaluation, only one source is fully qualified to perform the proposed </w:t>
      </w:r>
      <w:proofErr w:type="gramStart"/>
      <w:r>
        <w:t>work;</w:t>
      </w:r>
      <w:proofErr w:type="gramEnd"/>
    </w:p>
    <w:p w14:paraId="3C690B7F" w14:textId="77777777" w:rsidR="00B10BF9" w:rsidRDefault="00B10BF9" w:rsidP="008C22E4">
      <w:pPr>
        <w:pStyle w:val="List3"/>
      </w:pPr>
      <w:r>
        <w:br/>
      </w:r>
      <w:r>
        <w:rPr>
          <w:i/>
        </w:rPr>
        <w:t xml:space="preserve">(ii)  </w:t>
      </w:r>
      <w:r>
        <w:t>The unsolicited proposal offers significant scientific or technological promise, represents the product of original thinking, and was submitted in confidence; or</w:t>
      </w:r>
    </w:p>
    <w:p w14:paraId="24EADCDB" w14:textId="77777777" w:rsidR="00B10BF9" w:rsidRDefault="00B10BF9" w:rsidP="008C22E4">
      <w:pPr>
        <w:pStyle w:val="List3"/>
      </w:pPr>
      <w:r>
        <w:br/>
      </w:r>
      <w:r>
        <w:rPr>
          <w:i/>
        </w:rPr>
        <w:t xml:space="preserve">(iii)  </w:t>
      </w:r>
      <w:r>
        <w:t xml:space="preserve">The contract benefits the national defense by taking advantage of a unique and significant industrial accomplishment or by ensuring financial support to a new product or </w:t>
      </w:r>
      <w:proofErr w:type="gramStart"/>
      <w:r>
        <w:t>idea;</w:t>
      </w:r>
      <w:proofErr w:type="gramEnd"/>
    </w:p>
    <w:p w14:paraId="61278F9A" w14:textId="77777777" w:rsidR="00B10BF9" w:rsidRDefault="00B10BF9" w:rsidP="008C22E4">
      <w:pPr>
        <w:pStyle w:val="List2"/>
      </w:pPr>
      <w:r>
        <w:br/>
      </w:r>
      <w:r>
        <w:rPr>
          <w:i/>
        </w:rPr>
        <w:t>(2)</w:t>
      </w:r>
      <w:r>
        <w:t xml:space="preserve">  A civilian official of the DoD, whose appointment has been confirmed by the Senate, determines the award to be in the interest of national defense; or</w:t>
      </w:r>
    </w:p>
    <w:p w14:paraId="45BD032D" w14:textId="77777777" w:rsidR="00B10BF9" w:rsidRDefault="00B10BF9" w:rsidP="008C22E4">
      <w:pPr>
        <w:pStyle w:val="List2"/>
      </w:pPr>
      <w:r>
        <w:br/>
      </w:r>
      <w:r>
        <w:rPr>
          <w:i/>
        </w:rPr>
        <w:t xml:space="preserve">(3)  </w:t>
      </w:r>
      <w:r>
        <w:t>The contract is related to improvement of equipment that is in development or production.</w:t>
      </w:r>
    </w:p>
    <w:p w14:paraId="7F2FB554" w14:textId="77777777" w:rsidR="00B10BF9" w:rsidRDefault="00B10BF9" w:rsidP="00756DBC">
      <w:pPr>
        <w:pStyle w:val="List1"/>
      </w:pPr>
      <w:r>
        <w:br/>
        <w:t xml:space="preserve">(b)  </w:t>
      </w:r>
      <w:r>
        <w:rPr>
          <w:i/>
        </w:rPr>
        <w:t>Application</w:t>
      </w:r>
      <w:r>
        <w:t xml:space="preserve">.  This authority may be used for acquisitions of test articles and associated </w:t>
      </w:r>
      <w:r>
        <w:lastRenderedPageBreak/>
        <w:t>support services from a designated foreign source under the DoD Foreign Comparative Testing Program.</w:t>
      </w:r>
    </w:p>
    <w:p w14:paraId="644C4B81" w14:textId="77777777" w:rsidR="00B10BF9" w:rsidRDefault="00B10BF9" w:rsidP="00756DBC">
      <w:pPr>
        <w:pStyle w:val="List1"/>
      </w:pPr>
      <w:r>
        <w:br/>
        <w:t xml:space="preserve">(c)  </w:t>
      </w:r>
      <w:r w:rsidRPr="004A710C">
        <w:rPr>
          <w:i/>
        </w:rPr>
        <w:t>Application for brand-name descriptions</w:t>
      </w:r>
      <w:r>
        <w:t xml:space="preserve">. </w:t>
      </w:r>
    </w:p>
    <w:p w14:paraId="5DF97498" w14:textId="77777777" w:rsidR="00B10BF9" w:rsidRDefault="00B10BF9" w:rsidP="008C22E4">
      <w:pPr>
        <w:pStyle w:val="List2"/>
      </w:pPr>
      <w:r>
        <w:br/>
        <w:t xml:space="preserve">(2)  Notwithstanding FAR 6.302-1(c)(2), in accordance with section 888(a) of the National Defense Authorization Act for Fiscal Year 2017 (Pub. L. 114-328), the justification and approval addressed in FAR 6.303 is required in order to use brand name or equal descriptions.  </w:t>
      </w:r>
    </w:p>
    <w:p w14:paraId="45FAD82A" w14:textId="77777777" w:rsidR="00B10BF9" w:rsidRPr="00BF15C6" w:rsidRDefault="00B10BF9" w:rsidP="00756DBC">
      <w:pPr>
        <w:pStyle w:val="List1"/>
      </w:pPr>
      <w:r>
        <w:br/>
      </w:r>
      <w:r w:rsidRPr="008B32B0">
        <w:t xml:space="preserve">(d)  </w:t>
      </w:r>
      <w:r w:rsidRPr="008B32B0">
        <w:rPr>
          <w:i/>
        </w:rPr>
        <w:t>Limitations</w:t>
      </w:r>
      <w:r w:rsidRPr="008B32B0">
        <w:t>.</w:t>
      </w:r>
      <w:r w:rsidRPr="00BF15C6">
        <w:t xml:space="preserve">  Follow the procedures at </w:t>
      </w:r>
      <w:hyperlink r:id="rId15" w:anchor="206.302-1" w:history="1">
        <w:r w:rsidRPr="00153D34">
          <w:rPr>
            <w:rStyle w:val="Hyperlink"/>
          </w:rPr>
          <w:t>PGI 206.302-1</w:t>
        </w:r>
      </w:hyperlink>
      <w:r w:rsidRPr="00BF15C6">
        <w:t>(d) prior to soliciting a proposal without providing for full and open competition under this authority.</w:t>
      </w:r>
    </w:p>
    <w:p w14:paraId="4343A125" w14:textId="77777777" w:rsidR="00B10BF9" w:rsidRPr="008C22E4" w:rsidRDefault="00B10BF9" w:rsidP="008C22E4">
      <w:r w:rsidRPr="008C22E4">
        <w:t>(S-70</w:t>
      </w:r>
      <w:proofErr w:type="gramStart"/>
      <w:r w:rsidRPr="008C22E4">
        <w:t xml:space="preserve">)  </w:t>
      </w:r>
      <w:r w:rsidRPr="008C22E4">
        <w:rPr>
          <w:i/>
        </w:rPr>
        <w:t>Application</w:t>
      </w:r>
      <w:proofErr w:type="gramEnd"/>
      <w:r w:rsidRPr="008C22E4">
        <w:rPr>
          <w:i/>
        </w:rPr>
        <w:t xml:space="preserve"> for proprietary specifications or standards</w:t>
      </w:r>
      <w:r w:rsidRPr="008C22E4">
        <w:t>.  In accordance with section 888(a) of the National Defense Authorization Act for Fiscal Year 2017 (Pub. L. 114-328), the justification and approval addressed in FAR 6.303 is required in order to use proprietary specifications and standards.</w:t>
      </w:r>
    </w:p>
    <w:p w14:paraId="1489D2C6" w14:textId="77777777" w:rsidR="00B10BF9" w:rsidRDefault="00B10BF9" w:rsidP="008C22E4">
      <w:pPr>
        <w:pStyle w:val="Heading4"/>
      </w:pPr>
      <w:r>
        <w:br/>
      </w:r>
      <w:bookmarkStart w:id="41" w:name="_Toc37675702"/>
      <w:bookmarkStart w:id="42" w:name="_Toc37676318"/>
      <w:bookmarkStart w:id="43" w:name="_Toc37754010"/>
      <w:r w:rsidRPr="00E911A2">
        <w:t>206</w:t>
      </w:r>
      <w:r>
        <w:t>.</w:t>
      </w:r>
      <w:r w:rsidRPr="00E911A2">
        <w:t>302</w:t>
      </w:r>
      <w:r>
        <w:t>-</w:t>
      </w:r>
      <w:proofErr w:type="gramStart"/>
      <w:r w:rsidRPr="00E911A2">
        <w:t>2</w:t>
      </w:r>
      <w:r>
        <w:t xml:space="preserve">  </w:t>
      </w:r>
      <w:r w:rsidRPr="00E911A2">
        <w:t>Unusual</w:t>
      </w:r>
      <w:proofErr w:type="gramEnd"/>
      <w:r>
        <w:t xml:space="preserve"> </w:t>
      </w:r>
      <w:r w:rsidRPr="00E911A2">
        <w:t>and</w:t>
      </w:r>
      <w:r>
        <w:t xml:space="preserve"> </w:t>
      </w:r>
      <w:r w:rsidRPr="00E911A2">
        <w:t>compelling</w:t>
      </w:r>
      <w:r>
        <w:t xml:space="preserve"> </w:t>
      </w:r>
      <w:r w:rsidRPr="00E911A2">
        <w:t>urgency</w:t>
      </w:r>
      <w:r>
        <w:t>.</w:t>
      </w:r>
      <w:bookmarkEnd w:id="41"/>
      <w:bookmarkEnd w:id="42"/>
      <w:bookmarkEnd w:id="43"/>
    </w:p>
    <w:p w14:paraId="0667B09A" w14:textId="77777777" w:rsidR="00B10BF9" w:rsidRDefault="00B10BF9" w:rsidP="00756DBC">
      <w:pPr>
        <w:pStyle w:val="List1"/>
      </w:pPr>
      <w:r>
        <w:rPr>
          <w:b/>
        </w:rPr>
        <w:br/>
      </w:r>
      <w:r>
        <w:t xml:space="preserve">(b)  </w:t>
      </w:r>
      <w:r>
        <w:rPr>
          <w:i/>
        </w:rPr>
        <w:t>Application</w:t>
      </w:r>
      <w:r>
        <w:t xml:space="preserve">.  For guidance on circumstances under which use of this authority may be appropriate, see </w:t>
      </w:r>
      <w:hyperlink r:id="rId16" w:anchor="206.302-2" w:history="1">
        <w:r w:rsidRPr="00153D34">
          <w:rPr>
            <w:rStyle w:val="Hyperlink"/>
          </w:rPr>
          <w:t>PGI 206.302-2</w:t>
        </w:r>
      </w:hyperlink>
      <w:r>
        <w:t>(b).</w:t>
      </w:r>
    </w:p>
    <w:p w14:paraId="52EEC009" w14:textId="77777777" w:rsidR="00B10BF9" w:rsidRDefault="00B10BF9" w:rsidP="008C22E4">
      <w:pPr>
        <w:pStyle w:val="Heading4"/>
      </w:pPr>
      <w:r>
        <w:br/>
      </w:r>
      <w:bookmarkStart w:id="44" w:name="_Toc37675703"/>
      <w:bookmarkStart w:id="45" w:name="_Toc37676319"/>
      <w:bookmarkStart w:id="46" w:name="_Toc37754011"/>
      <w:r w:rsidRPr="00E911A2">
        <w:t>206</w:t>
      </w:r>
      <w:r>
        <w:t>.</w:t>
      </w:r>
      <w:r w:rsidRPr="00E911A2">
        <w:t>302</w:t>
      </w:r>
      <w:r>
        <w:t>-</w:t>
      </w:r>
      <w:proofErr w:type="gramStart"/>
      <w:r w:rsidRPr="00E911A2">
        <w:t>3</w:t>
      </w:r>
      <w:r>
        <w:t xml:space="preserve">  </w:t>
      </w:r>
      <w:r w:rsidRPr="00E911A2">
        <w:t>Industrial</w:t>
      </w:r>
      <w:proofErr w:type="gramEnd"/>
      <w:r>
        <w:t xml:space="preserve"> </w:t>
      </w:r>
      <w:r w:rsidRPr="00E911A2">
        <w:t>mobilization</w:t>
      </w:r>
      <w:r>
        <w:t xml:space="preserve">, </w:t>
      </w:r>
      <w:r w:rsidRPr="00E911A2">
        <w:t>engineering</w:t>
      </w:r>
      <w:r>
        <w:t xml:space="preserve">, </w:t>
      </w:r>
      <w:r w:rsidRPr="00E911A2">
        <w:t>developmental</w:t>
      </w:r>
      <w:r>
        <w:t xml:space="preserve">, </w:t>
      </w:r>
      <w:r w:rsidRPr="00E911A2">
        <w:t>or</w:t>
      </w:r>
      <w:r>
        <w:t xml:space="preserve"> </w:t>
      </w:r>
      <w:r w:rsidRPr="00E911A2">
        <w:t>research</w:t>
      </w:r>
      <w:r>
        <w:t xml:space="preserve"> </w:t>
      </w:r>
      <w:r w:rsidRPr="00E911A2">
        <w:t>capability</w:t>
      </w:r>
      <w:r>
        <w:t xml:space="preserve">, </w:t>
      </w:r>
      <w:r w:rsidRPr="00E911A2">
        <w:t>or</w:t>
      </w:r>
      <w:r>
        <w:t xml:space="preserve"> </w:t>
      </w:r>
      <w:r w:rsidRPr="00E911A2">
        <w:t>expert</w:t>
      </w:r>
      <w:r>
        <w:t xml:space="preserve"> </w:t>
      </w:r>
      <w:r w:rsidRPr="00E911A2">
        <w:t>services</w:t>
      </w:r>
      <w:r>
        <w:t>.</w:t>
      </w:r>
      <w:bookmarkEnd w:id="44"/>
      <w:bookmarkEnd w:id="45"/>
      <w:bookmarkEnd w:id="46"/>
    </w:p>
    <w:p w14:paraId="2C4A0D09" w14:textId="77777777" w:rsidR="00B10BF9" w:rsidRDefault="00B10BF9" w:rsidP="008C22E4">
      <w:pPr>
        <w:pStyle w:val="Heading3"/>
      </w:pPr>
      <w:r>
        <w:rPr>
          <w:b w:val="0"/>
        </w:rPr>
        <w:br/>
      </w:r>
      <w:bookmarkStart w:id="47" w:name="_Toc37345184"/>
      <w:bookmarkStart w:id="48" w:name="_Toc37675704"/>
      <w:bookmarkStart w:id="49" w:name="_Toc37676320"/>
      <w:bookmarkStart w:id="50" w:name="_Toc37754012"/>
      <w:r w:rsidRPr="00453FA7">
        <w:t>206</w:t>
      </w:r>
      <w:r>
        <w:t>.</w:t>
      </w:r>
      <w:r w:rsidRPr="00453FA7">
        <w:t>302</w:t>
      </w:r>
      <w:r>
        <w:t>-</w:t>
      </w:r>
      <w:r w:rsidRPr="00453FA7">
        <w:t>3</w:t>
      </w:r>
      <w:r>
        <w:t>-</w:t>
      </w:r>
      <w:proofErr w:type="gramStart"/>
      <w:r w:rsidRPr="00453FA7">
        <w:t>70</w:t>
      </w:r>
      <w:r>
        <w:t xml:space="preserve">  </w:t>
      </w:r>
      <w:r w:rsidRPr="00453FA7">
        <w:t>Solicitation</w:t>
      </w:r>
      <w:proofErr w:type="gramEnd"/>
      <w:r>
        <w:t xml:space="preserve"> </w:t>
      </w:r>
      <w:r w:rsidRPr="00453FA7">
        <w:t>provision</w:t>
      </w:r>
      <w:r>
        <w:t>.</w:t>
      </w:r>
      <w:bookmarkEnd w:id="47"/>
      <w:bookmarkEnd w:id="48"/>
      <w:bookmarkEnd w:id="49"/>
      <w:bookmarkEnd w:id="50"/>
    </w:p>
    <w:p w14:paraId="2FE2DE19" w14:textId="77777777" w:rsidR="00B10BF9" w:rsidRPr="008C22E4" w:rsidRDefault="00B10BF9" w:rsidP="008C22E4">
      <w:r w:rsidRPr="008C22E4">
        <w:t xml:space="preserve">Use the provision at </w:t>
      </w:r>
      <w:hyperlink r:id="rId17" w:anchor="252.206-7000" w:history="1">
        <w:r w:rsidRPr="008C22E4">
          <w:rPr>
            <w:rStyle w:val="Hyperlink"/>
          </w:rPr>
          <w:t>252.206-7000</w:t>
        </w:r>
      </w:hyperlink>
      <w:r w:rsidRPr="008C22E4">
        <w:t>, Domestic Source Restriction, in all solicitations that are restricted to domestic sources under the authority of FAR 6.302-3.</w:t>
      </w:r>
    </w:p>
    <w:p w14:paraId="2D6F3807" w14:textId="77777777" w:rsidR="00B10BF9" w:rsidRDefault="00B10BF9" w:rsidP="008C22E4">
      <w:pPr>
        <w:pStyle w:val="Heading4"/>
      </w:pPr>
      <w:r>
        <w:br/>
      </w:r>
      <w:bookmarkStart w:id="51" w:name="_Toc37675705"/>
      <w:bookmarkStart w:id="52" w:name="_Toc37676321"/>
      <w:bookmarkStart w:id="53" w:name="_Toc37754013"/>
      <w:r w:rsidRPr="00E911A2">
        <w:t>206</w:t>
      </w:r>
      <w:r>
        <w:t>.</w:t>
      </w:r>
      <w:r w:rsidRPr="00E911A2">
        <w:t>302</w:t>
      </w:r>
      <w:r>
        <w:t>-</w:t>
      </w:r>
      <w:proofErr w:type="gramStart"/>
      <w:r w:rsidRPr="00E911A2">
        <w:t>4</w:t>
      </w:r>
      <w:r>
        <w:t xml:space="preserve">  </w:t>
      </w:r>
      <w:r w:rsidRPr="00E911A2">
        <w:t>International</w:t>
      </w:r>
      <w:proofErr w:type="gramEnd"/>
      <w:r>
        <w:t xml:space="preserve"> </w:t>
      </w:r>
      <w:r w:rsidRPr="00E911A2">
        <w:t>agreement</w:t>
      </w:r>
      <w:r>
        <w:t>.</w:t>
      </w:r>
      <w:bookmarkEnd w:id="51"/>
      <w:bookmarkEnd w:id="52"/>
      <w:bookmarkEnd w:id="53"/>
    </w:p>
    <w:p w14:paraId="1EC5414E" w14:textId="77777777" w:rsidR="00B10BF9" w:rsidRDefault="00B10BF9" w:rsidP="00756DBC">
      <w:pPr>
        <w:pStyle w:val="List1"/>
      </w:pPr>
      <w:r>
        <w:rPr>
          <w:b/>
        </w:rPr>
        <w:br/>
      </w: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w:t>
      </w:r>
      <w:r>
        <w:lastRenderedPageBreak/>
        <w:t>directions, such as a Letter of Offer and Acceptance, that have the effect of requiring the use of other than competitive procedures for the acquisition.</w:t>
      </w:r>
    </w:p>
    <w:p w14:paraId="1067223C" w14:textId="77777777" w:rsidR="00B10BF9" w:rsidRDefault="00B10BF9" w:rsidP="008C22E4">
      <w:pPr>
        <w:pStyle w:val="Heading4"/>
      </w:pPr>
      <w:r>
        <w:br/>
      </w:r>
      <w:bookmarkStart w:id="54" w:name="_Toc37675706"/>
      <w:bookmarkStart w:id="55" w:name="_Toc37676322"/>
      <w:bookmarkStart w:id="56" w:name="_Toc37754014"/>
      <w:r w:rsidRPr="00E911A2">
        <w:t>206</w:t>
      </w:r>
      <w:r>
        <w:t>.</w:t>
      </w:r>
      <w:r w:rsidRPr="00E911A2">
        <w:t>302</w:t>
      </w:r>
      <w:r>
        <w:t>-</w:t>
      </w:r>
      <w:proofErr w:type="gramStart"/>
      <w:r w:rsidRPr="00E911A2">
        <w:t>5</w:t>
      </w:r>
      <w:r>
        <w:t xml:space="preserve">  </w:t>
      </w:r>
      <w:r w:rsidRPr="00E911A2">
        <w:t>Authorized</w:t>
      </w:r>
      <w:proofErr w:type="gramEnd"/>
      <w:r>
        <w:t xml:space="preserve"> </w:t>
      </w:r>
      <w:r w:rsidRPr="00E911A2">
        <w:t>or</w:t>
      </w:r>
      <w:r>
        <w:t xml:space="preserve"> </w:t>
      </w:r>
      <w:r w:rsidRPr="00E911A2">
        <w:t>required</w:t>
      </w:r>
      <w:r>
        <w:t xml:space="preserve"> </w:t>
      </w:r>
      <w:r w:rsidRPr="00E911A2">
        <w:t>by</w:t>
      </w:r>
      <w:r>
        <w:t xml:space="preserve"> </w:t>
      </w:r>
      <w:r w:rsidRPr="00E911A2">
        <w:t>statute</w:t>
      </w:r>
      <w:r>
        <w:t>.</w:t>
      </w:r>
      <w:bookmarkEnd w:id="54"/>
      <w:bookmarkEnd w:id="55"/>
      <w:bookmarkEnd w:id="56"/>
    </w:p>
    <w:p w14:paraId="5F99038E" w14:textId="77777777" w:rsidR="00B10BF9" w:rsidRDefault="00B10BF9" w:rsidP="00756DBC">
      <w:pPr>
        <w:pStyle w:val="List1"/>
      </w:pPr>
      <w:r>
        <w:rPr>
          <w:b/>
        </w:rPr>
        <w:br/>
      </w:r>
      <w:r>
        <w:t xml:space="preserve">(b)  </w:t>
      </w:r>
      <w:r>
        <w:rPr>
          <w:i/>
        </w:rPr>
        <w:t xml:space="preserve">Application.  </w:t>
      </w:r>
      <w:r>
        <w:t>Agencies may use this authority to—</w:t>
      </w:r>
    </w:p>
    <w:p w14:paraId="0C2A3B6D" w14:textId="77777777" w:rsidR="00B10BF9" w:rsidRDefault="00B10BF9" w:rsidP="008C22E4">
      <w:pPr>
        <w:pStyle w:val="List3"/>
      </w:pPr>
      <w:r>
        <w:br/>
        <w:t>(</w:t>
      </w:r>
      <w:proofErr w:type="spellStart"/>
      <w:r>
        <w:t>i</w:t>
      </w:r>
      <w:proofErr w:type="spellEnd"/>
      <w:r>
        <w:t>)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14:paraId="4B367A19" w14:textId="77777777" w:rsidR="00B10BF9" w:rsidRDefault="00B10BF9" w:rsidP="008C22E4">
      <w:pPr>
        <w:pStyle w:val="List3"/>
      </w:pPr>
      <w:r>
        <w:br/>
        <w:t>(ii)  Acquire police, fire protection, airfield operation, or other community services from local governments at military installations to be closed under the circumstances in 237.7401 (Section 2907 of Fiscal Year 1994 Defense Authorization Act (Pub. L. 103-160)).</w:t>
      </w:r>
    </w:p>
    <w:p w14:paraId="03F6DF16" w14:textId="77777777" w:rsidR="00B10BF9" w:rsidRDefault="00B10BF9" w:rsidP="00756DBC">
      <w:pPr>
        <w:pStyle w:val="List1"/>
      </w:pPr>
      <w:r>
        <w:br/>
        <w:t xml:space="preserve">(c)  </w:t>
      </w:r>
      <w:r>
        <w:rPr>
          <w:i/>
        </w:rPr>
        <w:t>Limitations</w:t>
      </w:r>
      <w:r>
        <w:t>.</w:t>
      </w:r>
    </w:p>
    <w:p w14:paraId="30D905D7" w14:textId="77777777" w:rsidR="00B10BF9" w:rsidRDefault="00B10BF9" w:rsidP="008C22E4">
      <w:pPr>
        <w:pStyle w:val="List3"/>
      </w:pPr>
      <w:r>
        <w:br/>
        <w:t>(</w:t>
      </w:r>
      <w:proofErr w:type="spellStart"/>
      <w:r>
        <w:t>i</w:t>
      </w:r>
      <w:proofErr w:type="spellEnd"/>
      <w:r>
        <w:t>)  10 U.S.C. 2361 precludes use of this exception for awards to colleges or universities for the performance of research and development, or for the construction of any research or other facility, unless—</w:t>
      </w:r>
    </w:p>
    <w:p w14:paraId="10C1E173" w14:textId="77777777" w:rsidR="00B10BF9" w:rsidRDefault="00B10BF9" w:rsidP="008C22E4">
      <w:pPr>
        <w:pStyle w:val="List4"/>
      </w:pPr>
      <w:r>
        <w:br/>
        <w:t>(A)  The statute authorizing or requiring award specifically—</w:t>
      </w:r>
    </w:p>
    <w:p w14:paraId="78F2B22B" w14:textId="77777777" w:rsidR="00B10BF9" w:rsidRDefault="00B10BF9" w:rsidP="008C22E4">
      <w:pPr>
        <w:pStyle w:val="List2"/>
      </w:pPr>
      <w:r>
        <w:br/>
      </w:r>
      <w:r>
        <w:rPr>
          <w:i/>
        </w:rPr>
        <w:t>(1</w:t>
      </w:r>
      <w:r>
        <w:t>)  States that the statute modifies or supersedes the provisions of 10 U.S.C. 2361,</w:t>
      </w:r>
    </w:p>
    <w:p w14:paraId="11AA2112" w14:textId="77777777" w:rsidR="00B10BF9" w:rsidRDefault="00B10BF9" w:rsidP="008C22E4">
      <w:pPr>
        <w:pStyle w:val="List2"/>
      </w:pPr>
      <w:r>
        <w:br/>
      </w:r>
      <w:r>
        <w:rPr>
          <w:i/>
        </w:rPr>
        <w:t>(2)</w:t>
      </w:r>
      <w:r>
        <w:t xml:space="preserve">  Identifies the </w:t>
      </w:r>
      <w:proofErr w:type="gramStart"/>
      <w:r>
        <w:t>particular college</w:t>
      </w:r>
      <w:proofErr w:type="gramEnd"/>
      <w:r>
        <w:t xml:space="preserve"> or university involved, and</w:t>
      </w:r>
    </w:p>
    <w:p w14:paraId="46C37659" w14:textId="77777777" w:rsidR="00B10BF9" w:rsidRDefault="00B10BF9" w:rsidP="008C22E4">
      <w:pPr>
        <w:pStyle w:val="List2"/>
      </w:pPr>
      <w:r>
        <w:br/>
      </w:r>
      <w:r>
        <w:rPr>
          <w:i/>
        </w:rPr>
        <w:t>(3)</w:t>
      </w:r>
      <w:r>
        <w:t xml:space="preserve">  States that award is being made in contravention of 10 U.S.C. 2361(a); and</w:t>
      </w:r>
    </w:p>
    <w:p w14:paraId="53A000C2" w14:textId="77777777" w:rsidR="00B10BF9" w:rsidRDefault="00B10BF9" w:rsidP="008C22E4">
      <w:pPr>
        <w:pStyle w:val="List4"/>
      </w:pPr>
      <w:r>
        <w:br/>
        <w:t xml:space="preserve">(B)  The Secretary of Defense provides Congress written notice of intent to award.  The contract cannot be awarded until 180 days have elapsed since the date Congress received the notice of intent to award.  Contracting </w:t>
      </w:r>
      <w:r>
        <w:lastRenderedPageBreak/>
        <w:t>activities must submit a draft notice of intent with supporting documentation through channels to the Director of Defense Procurement and Acquisition Policy, Office of the Under Secretary of Defense (Acquisition, Technology, and Logistics).</w:t>
      </w:r>
    </w:p>
    <w:p w14:paraId="3C49F6CE" w14:textId="77777777" w:rsidR="00B10BF9" w:rsidRDefault="00B10BF9" w:rsidP="008C22E4">
      <w:pPr>
        <w:pStyle w:val="List3"/>
      </w:pPr>
      <w:r>
        <w:br/>
        <w:t>(ii)  The limitation in paragraph (c)(</w:t>
      </w:r>
      <w:proofErr w:type="spellStart"/>
      <w:r>
        <w:t>i</w:t>
      </w:r>
      <w:proofErr w:type="spellEnd"/>
      <w:r>
        <w:t xml:space="preserve">) of this subsection applies only if the statute authorizing or requiring award was enacted after </w:t>
      </w:r>
      <w:smartTag w:uri="urn:schemas-microsoft-com:office:smarttags" w:element="date">
        <w:smartTagPr>
          <w:attr w:name="Year" w:val="1989"/>
          <w:attr w:name="Day" w:val="30"/>
          <w:attr w:name="Month" w:val="9"/>
        </w:smartTagPr>
        <w:r>
          <w:t>September 30, 1989</w:t>
        </w:r>
      </w:smartTag>
      <w:r>
        <w:t>.</w:t>
      </w:r>
    </w:p>
    <w:p w14:paraId="7C8E1EFD" w14:textId="77777777" w:rsidR="00B10BF9" w:rsidRDefault="00B10BF9" w:rsidP="008C22E4">
      <w:pPr>
        <w:pStyle w:val="List3"/>
      </w:pPr>
      <w:r>
        <w:br/>
        <w:t>(iii)  Subsequent statutes may provide different or additional constraints on the award of contracts to specified colleges and universities.  Contracting officers should consult legal counsel on a case-by-case basis.</w:t>
      </w:r>
    </w:p>
    <w:p w14:paraId="7347CE29" w14:textId="77777777" w:rsidR="00B10BF9" w:rsidRDefault="00B10BF9" w:rsidP="008C22E4">
      <w:pPr>
        <w:pStyle w:val="Heading4"/>
      </w:pPr>
      <w:r>
        <w:br/>
      </w:r>
      <w:bookmarkStart w:id="57" w:name="_Toc37675707"/>
      <w:bookmarkStart w:id="58" w:name="_Toc37676323"/>
      <w:bookmarkStart w:id="59" w:name="_Toc37754015"/>
      <w:r w:rsidRPr="00E911A2">
        <w:t>206</w:t>
      </w:r>
      <w:r>
        <w:t>.</w:t>
      </w:r>
      <w:r w:rsidRPr="00E911A2">
        <w:t>302</w:t>
      </w:r>
      <w:r>
        <w:t>-</w:t>
      </w:r>
      <w:r w:rsidRPr="00E911A2">
        <w:t>7</w:t>
      </w:r>
      <w:r>
        <w:t xml:space="preserve">  </w:t>
      </w:r>
      <w:r w:rsidRPr="00E911A2">
        <w:t>Public</w:t>
      </w:r>
      <w:r>
        <w:t xml:space="preserve"> </w:t>
      </w:r>
      <w:r w:rsidRPr="00E911A2">
        <w:t>interest</w:t>
      </w:r>
      <w:r>
        <w:t>.</w:t>
      </w:r>
      <w:bookmarkEnd w:id="57"/>
      <w:bookmarkEnd w:id="58"/>
      <w:bookmarkEnd w:id="59"/>
    </w:p>
    <w:p w14:paraId="24BCFDA5" w14:textId="77777777" w:rsidR="00B10BF9" w:rsidRDefault="00B10BF9" w:rsidP="00756DBC">
      <w:pPr>
        <w:pStyle w:val="List1"/>
      </w:pPr>
      <w:r>
        <w:rPr>
          <w:b/>
        </w:rPr>
        <w:br/>
      </w:r>
      <w:r>
        <w:t xml:space="preserve">(c)  </w:t>
      </w:r>
      <w:r>
        <w:rPr>
          <w:i/>
        </w:rPr>
        <w:t>Limitations.</w:t>
      </w:r>
      <w:r>
        <w:t xml:space="preserve">  For the defense agencies, the written determination to use this authority must be made by the Secretary of Defense.</w:t>
      </w:r>
    </w:p>
    <w:p w14:paraId="015B7B70" w14:textId="77777777" w:rsidR="00B10BF9" w:rsidRDefault="00B10BF9" w:rsidP="008C22E4">
      <w:pPr>
        <w:pStyle w:val="Heading3"/>
      </w:pPr>
      <w:r>
        <w:br/>
      </w:r>
      <w:bookmarkStart w:id="60" w:name="_Toc37345185"/>
      <w:bookmarkStart w:id="61" w:name="_Toc37675708"/>
      <w:bookmarkStart w:id="62" w:name="_Toc37676324"/>
      <w:bookmarkStart w:id="63" w:name="_Toc37754016"/>
      <w:r w:rsidRPr="00453FA7">
        <w:rPr>
          <w:rFonts w:cs="Courier New"/>
          <w:szCs w:val="24"/>
        </w:rPr>
        <w:t>206</w:t>
      </w:r>
      <w:r w:rsidRPr="006F61F4">
        <w:rPr>
          <w:rFonts w:cs="Courier New"/>
          <w:szCs w:val="24"/>
        </w:rPr>
        <w:t>.</w:t>
      </w:r>
      <w:r w:rsidRPr="00453FA7">
        <w:rPr>
          <w:rFonts w:cs="Courier New"/>
          <w:szCs w:val="24"/>
        </w:rPr>
        <w:t>303</w:t>
      </w:r>
      <w:r w:rsidRPr="006F61F4">
        <w:rPr>
          <w:rFonts w:cs="Courier New"/>
          <w:szCs w:val="24"/>
        </w:rPr>
        <w:t xml:space="preserve">  </w:t>
      </w:r>
      <w:r w:rsidRPr="00453FA7">
        <w:rPr>
          <w:rFonts w:cs="Courier New"/>
          <w:szCs w:val="24"/>
        </w:rPr>
        <w:t>Justifications</w:t>
      </w:r>
      <w:r w:rsidRPr="006F61F4">
        <w:rPr>
          <w:rFonts w:cs="Courier New"/>
          <w:szCs w:val="24"/>
        </w:rPr>
        <w:t>.</w:t>
      </w:r>
      <w:bookmarkEnd w:id="60"/>
      <w:bookmarkEnd w:id="61"/>
      <w:bookmarkEnd w:id="62"/>
      <w:bookmarkEnd w:id="63"/>
    </w:p>
    <w:p w14:paraId="2D9B18A8" w14:textId="77777777" w:rsidR="00B10BF9" w:rsidRDefault="00B10BF9" w:rsidP="008C22E4">
      <w:pPr>
        <w:pStyle w:val="Heading4"/>
      </w:pPr>
      <w:r>
        <w:rPr>
          <w:rFonts w:cs="Courier New"/>
          <w:b w:val="0"/>
          <w:szCs w:val="24"/>
        </w:rPr>
        <w:br/>
      </w:r>
      <w:bookmarkStart w:id="64" w:name="_Toc37675709"/>
      <w:bookmarkStart w:id="65" w:name="_Toc37676325"/>
      <w:bookmarkStart w:id="66" w:name="_Toc37754017"/>
      <w:r w:rsidRPr="00E911A2">
        <w:rPr>
          <w:rFonts w:cs="Courier New"/>
          <w:szCs w:val="24"/>
        </w:rPr>
        <w:t>206</w:t>
      </w:r>
      <w:r w:rsidRPr="000C76CF">
        <w:rPr>
          <w:rFonts w:cs="Courier New"/>
          <w:szCs w:val="24"/>
        </w:rPr>
        <w:t>.</w:t>
      </w:r>
      <w:r w:rsidRPr="00E911A2">
        <w:rPr>
          <w:rFonts w:cs="Courier New"/>
          <w:szCs w:val="24"/>
        </w:rPr>
        <w:t>303</w:t>
      </w:r>
      <w:r w:rsidRPr="000C76CF">
        <w:rPr>
          <w:rFonts w:cs="Courier New"/>
          <w:szCs w:val="24"/>
        </w:rPr>
        <w:t>-</w:t>
      </w:r>
      <w:r w:rsidRPr="00E911A2">
        <w:rPr>
          <w:rFonts w:cs="Courier New"/>
          <w:szCs w:val="24"/>
        </w:rPr>
        <w:t>2</w:t>
      </w:r>
      <w:r w:rsidRPr="000C76CF">
        <w:rPr>
          <w:rFonts w:cs="Courier New"/>
          <w:szCs w:val="24"/>
        </w:rPr>
        <w:t xml:space="preserve">  </w:t>
      </w:r>
      <w:r w:rsidRPr="00E911A2">
        <w:rPr>
          <w:rFonts w:cs="Courier New"/>
          <w:szCs w:val="24"/>
        </w:rPr>
        <w:t>Content</w:t>
      </w:r>
      <w:r w:rsidRPr="000C76CF">
        <w:rPr>
          <w:rFonts w:cs="Courier New"/>
          <w:szCs w:val="24"/>
        </w:rPr>
        <w:t>.</w:t>
      </w:r>
      <w:bookmarkEnd w:id="64"/>
      <w:bookmarkEnd w:id="65"/>
      <w:bookmarkEnd w:id="66"/>
    </w:p>
    <w:p w14:paraId="320DBBE0" w14:textId="77777777" w:rsidR="00B10BF9" w:rsidRDefault="00B10BF9" w:rsidP="00756DBC">
      <w:pPr>
        <w:pStyle w:val="List1"/>
      </w:pPr>
      <w:r>
        <w:rPr>
          <w:rFonts w:cs="Courier New"/>
          <w:b/>
          <w:szCs w:val="24"/>
        </w:rPr>
        <w:br/>
      </w:r>
      <w:r w:rsidRPr="00813D64">
        <w:rPr>
          <w:rFonts w:cs="Courier New"/>
          <w:szCs w:val="24"/>
        </w:rPr>
        <w:t>(b)(</w:t>
      </w:r>
      <w:proofErr w:type="spellStart"/>
      <w:r w:rsidRPr="00813D64">
        <w:rPr>
          <w:rFonts w:cs="Courier New"/>
          <w:szCs w:val="24"/>
        </w:rPr>
        <w:t>i</w:t>
      </w:r>
      <w:proofErr w:type="spellEnd"/>
      <w:r w:rsidRPr="00813D64">
        <w:rPr>
          <w:rFonts w:cs="Courier New"/>
          <w:szCs w:val="24"/>
        </w:rPr>
        <w:t xml:space="preserve">)  Include the information required by </w:t>
      </w:r>
      <w:hyperlink r:id="rId18" w:anchor="206.303-2" w:history="1">
        <w:r w:rsidRPr="00BE0B24">
          <w:rPr>
            <w:rStyle w:val="Hyperlink"/>
            <w:rFonts w:cs="Courier New"/>
            <w:szCs w:val="24"/>
          </w:rPr>
          <w:t>PGI 206.303-2</w:t>
        </w:r>
      </w:hyperlink>
      <w:r w:rsidRPr="00813D64">
        <w:rPr>
          <w:rFonts w:cs="Courier New"/>
          <w:szCs w:val="24"/>
        </w:rPr>
        <w:t>(b)(</w:t>
      </w:r>
      <w:proofErr w:type="spellStart"/>
      <w:r w:rsidRPr="00813D64">
        <w:rPr>
          <w:rFonts w:cs="Courier New"/>
          <w:szCs w:val="24"/>
        </w:rPr>
        <w:t>i</w:t>
      </w:r>
      <w:proofErr w:type="spellEnd"/>
      <w:r w:rsidRPr="00813D64">
        <w:rPr>
          <w:rFonts w:cs="Courier New"/>
          <w:szCs w:val="24"/>
        </w:rPr>
        <w:t>) in justifications citing the authority at FAR 6.302-1.</w:t>
      </w:r>
    </w:p>
    <w:p w14:paraId="53ED535B" w14:textId="77777777" w:rsidR="00B10BF9" w:rsidRPr="006F61F4" w:rsidRDefault="00B10BF9" w:rsidP="008C22E4">
      <w:pPr>
        <w:pStyle w:val="Heading4"/>
      </w:pPr>
      <w:r>
        <w:rPr>
          <w:rFonts w:cs="Courier New"/>
          <w:szCs w:val="24"/>
        </w:rPr>
        <w:br/>
      </w:r>
      <w:bookmarkStart w:id="67" w:name="_Toc37675710"/>
      <w:bookmarkStart w:id="68" w:name="_Toc37676326"/>
      <w:bookmarkStart w:id="69" w:name="_Toc37754018"/>
      <w:r w:rsidRPr="00E911A2">
        <w:rPr>
          <w:rFonts w:cs="Courier New"/>
          <w:szCs w:val="24"/>
        </w:rPr>
        <w:t>206</w:t>
      </w:r>
      <w:r w:rsidRPr="006F61F4">
        <w:rPr>
          <w:rFonts w:cs="Courier New"/>
          <w:szCs w:val="24"/>
        </w:rPr>
        <w:t>.</w:t>
      </w:r>
      <w:r w:rsidRPr="00E911A2">
        <w:rPr>
          <w:rFonts w:cs="Courier New"/>
          <w:szCs w:val="24"/>
        </w:rPr>
        <w:t>303</w:t>
      </w:r>
      <w:r w:rsidRPr="006F61F4">
        <w:rPr>
          <w:rFonts w:cs="Courier New"/>
          <w:szCs w:val="24"/>
        </w:rPr>
        <w:t>-</w:t>
      </w:r>
      <w:r w:rsidRPr="00E911A2">
        <w:rPr>
          <w:rFonts w:cs="Courier New"/>
          <w:szCs w:val="24"/>
        </w:rPr>
        <w:t>70</w:t>
      </w:r>
      <w:r w:rsidRPr="006F61F4">
        <w:rPr>
          <w:rFonts w:cs="Courier New"/>
          <w:szCs w:val="24"/>
        </w:rPr>
        <w:t xml:space="preserve">  </w:t>
      </w:r>
      <w:r w:rsidRPr="00E911A2">
        <w:rPr>
          <w:rFonts w:cs="Courier New"/>
          <w:szCs w:val="24"/>
        </w:rPr>
        <w:t>Acquisitions</w:t>
      </w:r>
      <w:r w:rsidRPr="006F61F4">
        <w:rPr>
          <w:rFonts w:cs="Courier New"/>
          <w:szCs w:val="24"/>
        </w:rPr>
        <w:t xml:space="preserve"> </w:t>
      </w:r>
      <w:r w:rsidRPr="00E911A2">
        <w:rPr>
          <w:rFonts w:cs="Courier New"/>
          <w:szCs w:val="24"/>
        </w:rPr>
        <w:t>in</w:t>
      </w:r>
      <w:r w:rsidRPr="006F61F4">
        <w:rPr>
          <w:rFonts w:cs="Courier New"/>
          <w:szCs w:val="24"/>
        </w:rPr>
        <w:t xml:space="preserve"> </w:t>
      </w:r>
      <w:r w:rsidRPr="00E911A2">
        <w:rPr>
          <w:rFonts w:cs="Courier New"/>
          <w:szCs w:val="24"/>
        </w:rPr>
        <w:t>support</w:t>
      </w:r>
      <w:r w:rsidRPr="006F61F4">
        <w:rPr>
          <w:rFonts w:cs="Courier New"/>
          <w:szCs w:val="24"/>
        </w:rPr>
        <w:t xml:space="preserve"> </w:t>
      </w:r>
      <w:r w:rsidRPr="00E911A2">
        <w:rPr>
          <w:rFonts w:cs="Courier New"/>
          <w:szCs w:val="24"/>
        </w:rPr>
        <w:t>of</w:t>
      </w:r>
      <w:r w:rsidRPr="006F61F4">
        <w:rPr>
          <w:rFonts w:cs="Courier New"/>
          <w:szCs w:val="24"/>
        </w:rPr>
        <w:t xml:space="preserve"> </w:t>
      </w:r>
      <w:r w:rsidRPr="00E911A2">
        <w:rPr>
          <w:rFonts w:cs="Courier New"/>
          <w:szCs w:val="24"/>
        </w:rPr>
        <w:t>operations</w:t>
      </w:r>
      <w:r w:rsidRPr="006F61F4">
        <w:rPr>
          <w:rFonts w:cs="Courier New"/>
          <w:szCs w:val="24"/>
        </w:rPr>
        <w:t xml:space="preserve"> </w:t>
      </w:r>
      <w:r w:rsidRPr="00E911A2">
        <w:rPr>
          <w:rFonts w:cs="Courier New"/>
          <w:szCs w:val="24"/>
        </w:rPr>
        <w:t>in</w:t>
      </w:r>
      <w:r w:rsidRPr="006F61F4">
        <w:rPr>
          <w:rFonts w:cs="Courier New"/>
          <w:szCs w:val="24"/>
        </w:rPr>
        <w:t xml:space="preserve"> </w:t>
      </w:r>
      <w:r w:rsidRPr="00E911A2">
        <w:rPr>
          <w:rFonts w:cs="Courier New"/>
          <w:szCs w:val="24"/>
        </w:rPr>
        <w:t>Afghanistan</w:t>
      </w:r>
      <w:r w:rsidRPr="006F61F4">
        <w:rPr>
          <w:rFonts w:cs="Courier New"/>
          <w:szCs w:val="24"/>
        </w:rPr>
        <w:t>.</w:t>
      </w:r>
      <w:bookmarkEnd w:id="67"/>
      <w:bookmarkEnd w:id="68"/>
      <w:bookmarkEnd w:id="69"/>
    </w:p>
    <w:p w14:paraId="52A3BD7C" w14:textId="77777777" w:rsidR="00B10BF9" w:rsidRPr="008C22E4" w:rsidRDefault="00B10BF9" w:rsidP="008C22E4">
      <w:r w:rsidRPr="008C22E4">
        <w:rPr>
          <w:rFonts w:cs="Courier New"/>
          <w:szCs w:val="24"/>
        </w:rPr>
        <w:t xml:space="preserve">The justification and approval addressed in FAR 6.303 is not required for acquisitions conducted using a procedure specified in </w:t>
      </w:r>
      <w:hyperlink r:id="rId19" w:anchor="225.7703-1" w:history="1">
        <w:r w:rsidRPr="008C22E4">
          <w:rPr>
            <w:rStyle w:val="Hyperlink"/>
            <w:rFonts w:cs="Courier New"/>
            <w:szCs w:val="24"/>
          </w:rPr>
          <w:t>225.7703-1</w:t>
        </w:r>
      </w:hyperlink>
      <w:r w:rsidRPr="008C22E4">
        <w:rPr>
          <w:rFonts w:cs="Courier New"/>
          <w:szCs w:val="24"/>
        </w:rPr>
        <w:t>(a).</w:t>
      </w:r>
    </w:p>
    <w:p w14:paraId="6EA92419" w14:textId="77777777" w:rsidR="00B10BF9" w:rsidRDefault="00B10BF9" w:rsidP="008C22E4">
      <w:pPr>
        <w:pStyle w:val="Heading3"/>
      </w:pPr>
      <w:r>
        <w:rPr>
          <w:rFonts w:cs="Courier New"/>
          <w:szCs w:val="24"/>
        </w:rPr>
        <w:br/>
      </w:r>
      <w:bookmarkStart w:id="70" w:name="_Toc37345186"/>
      <w:bookmarkStart w:id="71" w:name="_Toc37675711"/>
      <w:bookmarkStart w:id="72" w:name="_Toc37676327"/>
      <w:bookmarkStart w:id="73" w:name="_Toc37754019"/>
      <w:r w:rsidRPr="00453FA7">
        <w:t>206</w:t>
      </w:r>
      <w:r>
        <w:t>.</w:t>
      </w:r>
      <w:r w:rsidRPr="00453FA7">
        <w:t>304</w:t>
      </w:r>
      <w:r>
        <w:t xml:space="preserve">  </w:t>
      </w:r>
      <w:r w:rsidRPr="00453FA7">
        <w:t>Approval</w:t>
      </w:r>
      <w:r>
        <w:t xml:space="preserve"> </w:t>
      </w:r>
      <w:r w:rsidRPr="00453FA7">
        <w:t>of</w:t>
      </w:r>
      <w:r>
        <w:t xml:space="preserve"> </w:t>
      </w:r>
      <w:r w:rsidRPr="00453FA7">
        <w:t>the</w:t>
      </w:r>
      <w:r>
        <w:t xml:space="preserve"> </w:t>
      </w:r>
      <w:r w:rsidRPr="00453FA7">
        <w:t>justification</w:t>
      </w:r>
      <w:r>
        <w:t>.</w:t>
      </w:r>
      <w:bookmarkEnd w:id="70"/>
      <w:bookmarkEnd w:id="71"/>
      <w:bookmarkEnd w:id="72"/>
      <w:bookmarkEnd w:id="73"/>
    </w:p>
    <w:p w14:paraId="69DABC0E" w14:textId="77777777" w:rsidR="00B10BF9" w:rsidRDefault="00B10BF9" w:rsidP="00756DBC">
      <w:pPr>
        <w:pStyle w:val="List1"/>
      </w:pPr>
      <w:r>
        <w:rPr>
          <w:b/>
        </w:rPr>
        <w:br/>
      </w:r>
      <w:r>
        <w:t>(a)(4)  The Under Secretary of Defense (Acquisition, Technology, and Logistics) may delegate this authority to—</w:t>
      </w:r>
    </w:p>
    <w:p w14:paraId="076D515C" w14:textId="77777777" w:rsidR="00B10BF9" w:rsidRDefault="00B10BF9" w:rsidP="008C22E4">
      <w:pPr>
        <w:pStyle w:val="List4"/>
      </w:pPr>
      <w:r>
        <w:br/>
        <w:t>(A)  An Assistant Secretary of Defense; or</w:t>
      </w:r>
    </w:p>
    <w:p w14:paraId="07D6FBF6" w14:textId="77777777" w:rsidR="00B10BF9" w:rsidRDefault="00B10BF9" w:rsidP="008C22E4">
      <w:pPr>
        <w:pStyle w:val="List4"/>
      </w:pPr>
      <w:r>
        <w:lastRenderedPageBreak/>
        <w:br/>
        <w:t>(B)  For a defense agency, an officer or employee serving in, assigned, or detailed to that agency who</w:t>
      </w:r>
      <w:r>
        <w:sym w:font="Symbol" w:char="F0BE"/>
      </w:r>
    </w:p>
    <w:p w14:paraId="5D8CAF0F" w14:textId="77777777" w:rsidR="00B10BF9" w:rsidRDefault="00B10BF9" w:rsidP="008C22E4">
      <w:pPr>
        <w:pStyle w:val="List2"/>
      </w:pPr>
      <w:r>
        <w:br/>
      </w:r>
      <w:r>
        <w:rPr>
          <w:i/>
        </w:rPr>
        <w:t xml:space="preserve">(1)  </w:t>
      </w:r>
      <w:r>
        <w:t>If a member of the armed forces, is serving in a rank above brigadier general or rear admiral (lower half); or</w:t>
      </w:r>
    </w:p>
    <w:p w14:paraId="7924B01B" w14:textId="77777777" w:rsidR="00B10BF9" w:rsidRDefault="00B10BF9" w:rsidP="008C22E4">
      <w:pPr>
        <w:pStyle w:val="List2"/>
      </w:pPr>
      <w:r>
        <w:br/>
      </w:r>
      <w:r>
        <w:rPr>
          <w:i/>
        </w:rPr>
        <w:t>(2)</w:t>
      </w:r>
      <w:r>
        <w:t xml:space="preserve">  If a civilian, is serving in a position with a grade under the General Schedule (or any other schedule for civilian officers or employees) that is comparable to or higher than the grade of major general or rear admiral.</w:t>
      </w:r>
      <w:bookmarkEnd w:id="32"/>
    </w:p>
    <w:p w14:paraId="0F84FDF6" w14:textId="77777777" w:rsidR="00B10BF9" w:rsidRPr="008C22E4" w:rsidRDefault="00B10BF9" w:rsidP="008C22E4">
      <w:r w:rsidRPr="008C22E4">
        <w:br/>
        <w:t xml:space="preserve">(S-70)  For a non-competitive follow-on acquisition to a previous award for the same supply or service supported by a justification for other than full and open competition citing the authority at FAR 6.302-1, follow the procedures at </w:t>
      </w:r>
      <w:hyperlink r:id="rId20" w:anchor="206.304" w:history="1">
        <w:r w:rsidRPr="008C22E4">
          <w:rPr>
            <w:rStyle w:val="Hyperlink"/>
          </w:rPr>
          <w:t>PGI 206.304</w:t>
        </w:r>
      </w:hyperlink>
      <w:r w:rsidRPr="008C22E4">
        <w:t>(a)(S-70).</w:t>
      </w:r>
    </w:p>
    <w:p w14:paraId="7C0F8D79" w14:textId="77777777" w:rsidR="00B10BF9" w:rsidRPr="00FB13EF" w:rsidRDefault="00B10BF9" w:rsidP="008C22E4">
      <w:pPr>
        <w:pStyle w:val="Heading3"/>
      </w:pPr>
      <w:r>
        <w:br/>
      </w:r>
      <w:bookmarkStart w:id="74" w:name="_Toc37345187"/>
      <w:bookmarkStart w:id="75" w:name="_Toc37675712"/>
      <w:bookmarkStart w:id="76" w:name="_Toc37676328"/>
      <w:bookmarkStart w:id="77" w:name="_Toc37754020"/>
      <w:r w:rsidRPr="00453FA7">
        <w:rPr>
          <w:spacing w:val="-5"/>
          <w:kern w:val="20"/>
          <w:szCs w:val="24"/>
        </w:rPr>
        <w:t>206</w:t>
      </w:r>
      <w:r w:rsidRPr="00FB13EF">
        <w:rPr>
          <w:spacing w:val="-5"/>
          <w:kern w:val="20"/>
          <w:szCs w:val="24"/>
        </w:rPr>
        <w:t>.</w:t>
      </w:r>
      <w:r w:rsidRPr="00453FA7">
        <w:rPr>
          <w:spacing w:val="-5"/>
          <w:kern w:val="20"/>
          <w:szCs w:val="24"/>
        </w:rPr>
        <w:t>305</w:t>
      </w:r>
      <w:r w:rsidRPr="00FB13EF">
        <w:rPr>
          <w:spacing w:val="-5"/>
          <w:kern w:val="20"/>
          <w:szCs w:val="24"/>
        </w:rPr>
        <w:t xml:space="preserve">  </w:t>
      </w:r>
      <w:r w:rsidRPr="00453FA7">
        <w:rPr>
          <w:spacing w:val="-5"/>
          <w:kern w:val="20"/>
          <w:szCs w:val="24"/>
        </w:rPr>
        <w:t>Availability</w:t>
      </w:r>
      <w:r w:rsidRPr="00FB13EF">
        <w:rPr>
          <w:spacing w:val="-5"/>
          <w:kern w:val="20"/>
          <w:szCs w:val="24"/>
        </w:rPr>
        <w:t xml:space="preserve"> </w:t>
      </w:r>
      <w:r w:rsidRPr="00453FA7">
        <w:rPr>
          <w:spacing w:val="-5"/>
          <w:kern w:val="20"/>
          <w:szCs w:val="24"/>
        </w:rPr>
        <w:t>of</w:t>
      </w:r>
      <w:r w:rsidRPr="00FB13EF">
        <w:rPr>
          <w:spacing w:val="-5"/>
          <w:kern w:val="20"/>
          <w:szCs w:val="24"/>
        </w:rPr>
        <w:t xml:space="preserve"> </w:t>
      </w:r>
      <w:r w:rsidRPr="00453FA7">
        <w:rPr>
          <w:spacing w:val="-5"/>
          <w:kern w:val="20"/>
          <w:szCs w:val="24"/>
        </w:rPr>
        <w:t>the</w:t>
      </w:r>
      <w:r w:rsidRPr="00FB13EF">
        <w:rPr>
          <w:spacing w:val="-5"/>
          <w:kern w:val="20"/>
          <w:szCs w:val="24"/>
        </w:rPr>
        <w:t xml:space="preserve"> </w:t>
      </w:r>
      <w:r w:rsidRPr="00453FA7">
        <w:rPr>
          <w:spacing w:val="-5"/>
          <w:kern w:val="20"/>
          <w:szCs w:val="24"/>
        </w:rPr>
        <w:t>justification</w:t>
      </w:r>
      <w:r w:rsidRPr="00FB13EF">
        <w:rPr>
          <w:spacing w:val="-5"/>
          <w:kern w:val="20"/>
          <w:szCs w:val="24"/>
        </w:rPr>
        <w:t>.</w:t>
      </w:r>
      <w:bookmarkEnd w:id="74"/>
      <w:bookmarkEnd w:id="75"/>
      <w:bookmarkEnd w:id="76"/>
      <w:bookmarkEnd w:id="77"/>
    </w:p>
    <w:p w14:paraId="7BB34341" w14:textId="77777777" w:rsidR="00B10BF9" w:rsidRPr="008C22E4" w:rsidRDefault="00B10BF9" w:rsidP="008C22E4">
      <w:pPr>
        <w:rPr>
          <w:rFonts w:eastAsia="Calibri"/>
        </w:rPr>
      </w:pPr>
      <w:r w:rsidRPr="008C22E4">
        <w:rPr>
          <w:rFonts w:eastAsia="Calibri"/>
          <w:szCs w:val="24"/>
        </w:rPr>
        <w:t xml:space="preserve">See </w:t>
      </w:r>
      <w:hyperlink r:id="rId21" w:anchor="206.305" w:history="1">
        <w:r w:rsidRPr="008C22E4">
          <w:rPr>
            <w:rStyle w:val="Hyperlink"/>
            <w:rFonts w:eastAsia="Calibri"/>
            <w:szCs w:val="24"/>
          </w:rPr>
          <w:t>PGI 206.305</w:t>
        </w:r>
      </w:hyperlink>
      <w:r w:rsidRPr="008C22E4">
        <w:rPr>
          <w:rFonts w:eastAsia="Calibri"/>
          <w:szCs w:val="24"/>
        </w:rPr>
        <w:t xml:space="preserve"> for further guidance on the requirements for preparing, obtaining approval, and posting justification and approval documents for contracts awarded using the authority of FAR 6.302-2.</w:t>
      </w:r>
    </w:p>
    <w:p w14:paraId="27280ED3" w14:textId="77777777" w:rsidR="00B10BF9" w:rsidRPr="008C22E4" w:rsidRDefault="00B10BF9" w:rsidP="008C22E4">
      <w:r w:rsidRPr="008C22E4">
        <w:rPr>
          <w:rFonts w:eastAsia="Calibri"/>
        </w:rPr>
        <w:br/>
      </w:r>
    </w:p>
    <w:p w14:paraId="46CD7205" w14:textId="77777777" w:rsidR="00850595" w:rsidRDefault="00850595"/>
    <w:sectPr w:rsidR="00850595" w:rsidSect="00F4243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607A5" w14:textId="77777777" w:rsidR="00C44CAA" w:rsidRDefault="00C44CAA">
      <w:pPr>
        <w:spacing w:after="0" w:line="240" w:lineRule="auto"/>
      </w:pPr>
      <w:r>
        <w:separator/>
      </w:r>
    </w:p>
  </w:endnote>
  <w:endnote w:type="continuationSeparator" w:id="0">
    <w:p w14:paraId="69EAC84B" w14:textId="77777777" w:rsidR="00C44CAA" w:rsidRDefault="00C4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D1C3" w14:textId="77777777" w:rsidR="0028733F" w:rsidRDefault="00C44CAA">
    <w:pPr>
      <w:pStyle w:val="Footer"/>
      <w:rPr>
        <w:sz w:val="20"/>
      </w:rPr>
    </w:pPr>
  </w:p>
  <w:p w14:paraId="0C5C08D3" w14:textId="77777777" w:rsidR="0028733F" w:rsidRDefault="00C44CAA">
    <w:pPr>
      <w:pStyle w:val="Footer"/>
      <w:tabs>
        <w:tab w:val="clear" w:pos="8640"/>
      </w:tabs>
      <w:rPr>
        <w:b/>
        <w:sz w:val="20"/>
      </w:rPr>
    </w:pPr>
  </w:p>
  <w:p w14:paraId="41CB381B" w14:textId="77777777" w:rsidR="0028733F" w:rsidRDefault="00B10BF9">
    <w:pPr>
      <w:pStyle w:val="Footer"/>
      <w:pBdr>
        <w:top w:val="single" w:sz="6" w:space="1" w:color="auto"/>
      </w:pBdr>
      <w:tabs>
        <w:tab w:val="clear" w:pos="8640"/>
        <w:tab w:val="right" w:pos="9260"/>
      </w:tabs>
      <w:rPr>
        <w:sz w:val="20"/>
      </w:rPr>
    </w:pPr>
    <w:r>
      <w:rPr>
        <w:sz w:val="20"/>
      </w:rPr>
      <w:t>1998 EDITION</w:t>
    </w:r>
    <w:r>
      <w:rPr>
        <w:sz w:val="20"/>
      </w:rPr>
      <w:tab/>
    </w:r>
    <w:r>
      <w:rPr>
        <w:sz w:val="20"/>
      </w:rPr>
      <w:tab/>
      <w:t>206.0-</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ACFB" w14:textId="77777777" w:rsidR="0082243D" w:rsidRDefault="00C44CAA">
    <w:pPr>
      <w:pStyle w:val="Footer"/>
      <w:rPr>
        <w:b/>
        <w:sz w:val="20"/>
      </w:rPr>
    </w:pPr>
  </w:p>
  <w:p w14:paraId="2F79C9AA" w14:textId="77777777" w:rsidR="0082243D" w:rsidRDefault="00C44CAA">
    <w:pPr>
      <w:pStyle w:val="Footer"/>
      <w:tabs>
        <w:tab w:val="clear" w:pos="8640"/>
      </w:tabs>
      <w:ind w:right="-800"/>
      <w:rPr>
        <w:b/>
        <w:sz w:val="20"/>
      </w:rPr>
    </w:pPr>
  </w:p>
  <w:p w14:paraId="6E3A463D" w14:textId="77777777" w:rsidR="0082243D" w:rsidRDefault="00B10BF9">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206.1-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B21C" w14:textId="77777777" w:rsidR="0082243D" w:rsidRDefault="00C44CAA">
    <w:pPr>
      <w:pStyle w:val="Footer"/>
      <w:rPr>
        <w:b/>
        <w:sz w:val="20"/>
      </w:rPr>
    </w:pPr>
  </w:p>
  <w:p w14:paraId="555DD03C" w14:textId="77777777" w:rsidR="0082243D" w:rsidRDefault="00C44CAA">
    <w:pPr>
      <w:pStyle w:val="Footer"/>
      <w:tabs>
        <w:tab w:val="clear" w:pos="8640"/>
      </w:tabs>
      <w:ind w:right="-800"/>
      <w:rPr>
        <w:b/>
        <w:sz w:val="20"/>
      </w:rPr>
    </w:pPr>
  </w:p>
  <w:p w14:paraId="0B0A7580" w14:textId="77777777" w:rsidR="0082243D" w:rsidRDefault="00B10BF9">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206.2-</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37B38" w14:textId="77777777" w:rsidR="00A012CC" w:rsidRDefault="00C44CAA">
    <w:pPr>
      <w:rPr>
        <w:b/>
        <w:sz w:val="20"/>
      </w:rPr>
    </w:pPr>
  </w:p>
  <w:p w14:paraId="262AD7D5" w14:textId="77777777" w:rsidR="00A012CC" w:rsidRDefault="00C44CAA">
    <w:pPr>
      <w:rPr>
        <w:b/>
        <w:sz w:val="20"/>
      </w:rPr>
    </w:pPr>
  </w:p>
  <w:p w14:paraId="54A6BA9A" w14:textId="77777777" w:rsidR="00A012CC" w:rsidRDefault="00B10BF9">
    <w:pPr>
      <w:pBdr>
        <w:top w:val="single" w:sz="6" w:space="1" w:color="auto"/>
      </w:pBdr>
      <w:tabs>
        <w:tab w:val="right" w:pos="9260"/>
      </w:tabs>
      <w:rPr>
        <w:sz w:val="20"/>
      </w:rPr>
    </w:pPr>
    <w:r>
      <w:rPr>
        <w:sz w:val="20"/>
      </w:rPr>
      <w:t>1998 EDITION</w:t>
    </w:r>
    <w:r>
      <w:rPr>
        <w:sz w:val="20"/>
      </w:rPr>
      <w:tab/>
      <w:t>206.3-</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518A3" w14:textId="77777777" w:rsidR="00C44CAA" w:rsidRDefault="00C44CAA">
      <w:pPr>
        <w:spacing w:after="0" w:line="240" w:lineRule="auto"/>
      </w:pPr>
      <w:r>
        <w:separator/>
      </w:r>
    </w:p>
  </w:footnote>
  <w:footnote w:type="continuationSeparator" w:id="0">
    <w:p w14:paraId="786A2305" w14:textId="77777777" w:rsidR="00C44CAA" w:rsidRDefault="00C44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338C" w14:textId="77777777" w:rsidR="0028733F" w:rsidRDefault="00B10BF9">
    <w:pPr>
      <w:pStyle w:val="Header"/>
      <w:tabs>
        <w:tab w:val="clear" w:pos="8640"/>
      </w:tabs>
      <w:jc w:val="center"/>
    </w:pPr>
    <w:r>
      <w:t>Defense Federal Acquisition Regulation Supplement</w:t>
    </w:r>
  </w:p>
  <w:p w14:paraId="01CC3830" w14:textId="77777777" w:rsidR="0028733F" w:rsidRDefault="00C44CAA">
    <w:pPr>
      <w:pStyle w:val="Header"/>
      <w:rPr>
        <w:b/>
        <w:sz w:val="20"/>
      </w:rPr>
    </w:pPr>
  </w:p>
  <w:p w14:paraId="12943101" w14:textId="77777777" w:rsidR="0028733F" w:rsidRDefault="00B10BF9">
    <w:pPr>
      <w:pStyle w:val="Header"/>
      <w:pBdr>
        <w:bottom w:val="single" w:sz="6" w:space="1" w:color="auto"/>
      </w:pBdr>
      <w:tabs>
        <w:tab w:val="clear" w:pos="8640"/>
        <w:tab w:val="right" w:pos="9260"/>
      </w:tabs>
      <w:spacing w:after="20"/>
      <w:rPr>
        <w:sz w:val="20"/>
      </w:rPr>
    </w:pPr>
    <w:r>
      <w:rPr>
        <w:sz w:val="20"/>
      </w:rPr>
      <w:t>Part 206—Competition Requirements</w:t>
    </w:r>
  </w:p>
  <w:p w14:paraId="5A28A33E" w14:textId="77777777" w:rsidR="0028733F" w:rsidRDefault="00C44CAA">
    <w:pPr>
      <w:pStyle w:val="Header"/>
      <w:tabs>
        <w:tab w:val="clear" w:pos="8640"/>
        <w:tab w:val="right" w:pos="9260"/>
      </w:tabs>
      <w:spacing w:before="20" w:line="20" w:lineRule="exact"/>
      <w:rPr>
        <w:rFonts w:ascii="Geneva" w:hAnsi="Geneva"/>
        <w:b/>
        <w:position w:val="6"/>
        <w:sz w:val="18"/>
      </w:rPr>
    </w:pPr>
  </w:p>
  <w:p w14:paraId="640B74FC" w14:textId="77777777" w:rsidR="0028733F" w:rsidRDefault="00C44CAA">
    <w:pPr>
      <w:pStyle w:val="Header"/>
      <w:tabs>
        <w:tab w:val="clear" w:pos="8640"/>
        <w:tab w:val="right" w:pos="9260"/>
      </w:tabs>
      <w:rPr>
        <w:b/>
        <w:sz w:val="20"/>
      </w:rPr>
    </w:pPr>
  </w:p>
  <w:p w14:paraId="2693E43B" w14:textId="77777777" w:rsidR="0028733F" w:rsidRDefault="00C44CAA">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62BC" w14:textId="77777777" w:rsidR="0082243D" w:rsidRDefault="00B10BF9">
    <w:pPr>
      <w:pStyle w:val="Header"/>
      <w:tabs>
        <w:tab w:val="clear" w:pos="8640"/>
      </w:tabs>
      <w:ind w:right="280"/>
      <w:jc w:val="center"/>
    </w:pPr>
    <w:r>
      <w:t>Defense Federal Acquisition Regulation Supplement</w:t>
    </w:r>
  </w:p>
  <w:p w14:paraId="00B5B0C6" w14:textId="77777777" w:rsidR="0082243D" w:rsidRDefault="00C44CAA">
    <w:pPr>
      <w:pStyle w:val="Header"/>
      <w:rPr>
        <w:b/>
        <w:sz w:val="20"/>
      </w:rPr>
    </w:pPr>
  </w:p>
  <w:p w14:paraId="554B53AD" w14:textId="77777777" w:rsidR="0082243D" w:rsidRDefault="00B10BF9">
    <w:pPr>
      <w:pStyle w:val="Header"/>
      <w:pBdr>
        <w:bottom w:val="single" w:sz="6" w:space="1" w:color="auto"/>
      </w:pBdr>
      <w:tabs>
        <w:tab w:val="clear" w:pos="8640"/>
        <w:tab w:val="right" w:pos="9260"/>
      </w:tabs>
      <w:spacing w:after="20"/>
      <w:ind w:right="-440"/>
      <w:rPr>
        <w:sz w:val="20"/>
      </w:rPr>
    </w:pPr>
    <w:r>
      <w:rPr>
        <w:sz w:val="20"/>
      </w:rPr>
      <w:t>Part 206—Competition Requirements</w:t>
    </w:r>
  </w:p>
  <w:p w14:paraId="45D5F315" w14:textId="77777777" w:rsidR="0082243D" w:rsidRDefault="00C44CAA">
    <w:pPr>
      <w:pStyle w:val="Header"/>
      <w:tabs>
        <w:tab w:val="clear" w:pos="8640"/>
        <w:tab w:val="right" w:pos="9260"/>
      </w:tabs>
      <w:spacing w:before="20" w:line="20" w:lineRule="exact"/>
      <w:ind w:right="-440"/>
      <w:rPr>
        <w:rFonts w:ascii="Geneva" w:hAnsi="Geneva"/>
        <w:b/>
        <w:position w:val="6"/>
        <w:sz w:val="18"/>
      </w:rPr>
    </w:pPr>
  </w:p>
  <w:p w14:paraId="3BDB4CC3" w14:textId="77777777" w:rsidR="0082243D" w:rsidRDefault="00C44CAA">
    <w:pPr>
      <w:pStyle w:val="Header"/>
      <w:tabs>
        <w:tab w:val="clear" w:pos="8640"/>
        <w:tab w:val="right" w:pos="9260"/>
      </w:tabs>
      <w:ind w:right="-440"/>
      <w:rPr>
        <w:b/>
        <w:sz w:val="20"/>
      </w:rPr>
    </w:pPr>
  </w:p>
  <w:p w14:paraId="671CB066" w14:textId="77777777" w:rsidR="0082243D" w:rsidRDefault="00C44CAA">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0BADF" w14:textId="77777777" w:rsidR="0082243D" w:rsidRDefault="00B10BF9">
    <w:pPr>
      <w:pStyle w:val="Header"/>
      <w:tabs>
        <w:tab w:val="clear" w:pos="8640"/>
      </w:tabs>
      <w:ind w:right="280"/>
      <w:jc w:val="center"/>
    </w:pPr>
    <w:r>
      <w:t>Defense Federal Acquisition Regulation Supplement</w:t>
    </w:r>
  </w:p>
  <w:p w14:paraId="1C9D9CC9" w14:textId="77777777" w:rsidR="0082243D" w:rsidRDefault="00C44CAA">
    <w:pPr>
      <w:pStyle w:val="Header"/>
      <w:rPr>
        <w:b/>
        <w:sz w:val="20"/>
      </w:rPr>
    </w:pPr>
  </w:p>
  <w:p w14:paraId="65947F18" w14:textId="77777777" w:rsidR="0082243D" w:rsidRDefault="00B10BF9">
    <w:pPr>
      <w:pStyle w:val="Header"/>
      <w:pBdr>
        <w:bottom w:val="single" w:sz="6" w:space="1" w:color="auto"/>
      </w:pBdr>
      <w:tabs>
        <w:tab w:val="clear" w:pos="8640"/>
        <w:tab w:val="right" w:pos="9260"/>
      </w:tabs>
      <w:spacing w:after="20"/>
      <w:ind w:right="-440"/>
      <w:rPr>
        <w:sz w:val="20"/>
      </w:rPr>
    </w:pPr>
    <w:r>
      <w:rPr>
        <w:sz w:val="20"/>
      </w:rPr>
      <w:t>Part 206—Competition Requirements</w:t>
    </w:r>
  </w:p>
  <w:p w14:paraId="0CDCB5C8" w14:textId="77777777" w:rsidR="0082243D" w:rsidRDefault="00C44CAA">
    <w:pPr>
      <w:pStyle w:val="Header"/>
      <w:tabs>
        <w:tab w:val="clear" w:pos="8640"/>
        <w:tab w:val="right" w:pos="9260"/>
      </w:tabs>
      <w:spacing w:before="20" w:line="20" w:lineRule="exact"/>
      <w:ind w:right="-440"/>
      <w:rPr>
        <w:rFonts w:ascii="Geneva" w:hAnsi="Geneva"/>
        <w:b/>
        <w:position w:val="6"/>
        <w:sz w:val="18"/>
      </w:rPr>
    </w:pPr>
  </w:p>
  <w:p w14:paraId="0A366904" w14:textId="77777777" w:rsidR="0082243D" w:rsidRDefault="00C44CAA">
    <w:pPr>
      <w:pStyle w:val="Header"/>
      <w:tabs>
        <w:tab w:val="clear" w:pos="8640"/>
        <w:tab w:val="right" w:pos="9260"/>
      </w:tabs>
      <w:ind w:right="-440"/>
      <w:rPr>
        <w:b/>
        <w:sz w:val="20"/>
      </w:rPr>
    </w:pPr>
  </w:p>
  <w:p w14:paraId="64676A22" w14:textId="77777777" w:rsidR="0082243D" w:rsidRDefault="00C44CAA">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C8A0" w14:textId="77777777" w:rsidR="00A012CC" w:rsidRDefault="00B10BF9">
    <w:pPr>
      <w:jc w:val="center"/>
    </w:pPr>
    <w:r>
      <w:t>Defense Federal Acquisition Regulation Supplement</w:t>
    </w:r>
  </w:p>
  <w:p w14:paraId="1FD78F4C" w14:textId="77777777" w:rsidR="00A012CC" w:rsidRDefault="00C44CAA">
    <w:pPr>
      <w:rPr>
        <w:b/>
        <w:sz w:val="20"/>
      </w:rPr>
    </w:pPr>
  </w:p>
  <w:p w14:paraId="2BA1230A" w14:textId="77777777" w:rsidR="00A012CC" w:rsidRDefault="00B10BF9">
    <w:pPr>
      <w:pBdr>
        <w:bottom w:val="single" w:sz="6" w:space="1" w:color="auto"/>
      </w:pBdr>
      <w:tabs>
        <w:tab w:val="right" w:pos="9260"/>
      </w:tabs>
      <w:spacing w:after="20"/>
      <w:rPr>
        <w:sz w:val="20"/>
      </w:rPr>
    </w:pPr>
    <w:r>
      <w:rPr>
        <w:sz w:val="20"/>
      </w:rPr>
      <w:t>Part 206—Competition Requirements</w:t>
    </w:r>
  </w:p>
  <w:p w14:paraId="5FC9F499" w14:textId="77777777" w:rsidR="00A012CC" w:rsidRDefault="00C44CAA">
    <w:pPr>
      <w:tabs>
        <w:tab w:val="right" w:pos="9260"/>
      </w:tabs>
      <w:spacing w:before="20" w:line="20" w:lineRule="exact"/>
      <w:rPr>
        <w:rFonts w:ascii="Geneva" w:hAnsi="Geneva"/>
        <w:b/>
        <w:position w:val="6"/>
        <w:sz w:val="18"/>
      </w:rPr>
    </w:pPr>
  </w:p>
  <w:p w14:paraId="61B973BD" w14:textId="77777777" w:rsidR="00A012CC" w:rsidRDefault="00C44CAA">
    <w:pPr>
      <w:tabs>
        <w:tab w:val="right" w:pos="9260"/>
      </w:tabs>
      <w:rPr>
        <w:b/>
        <w:sz w:val="20"/>
      </w:rPr>
    </w:pPr>
  </w:p>
  <w:p w14:paraId="2299F18E" w14:textId="77777777" w:rsidR="00A012CC" w:rsidRDefault="00C44CAA">
    <w:pP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F9"/>
    <w:rsid w:val="00505901"/>
    <w:rsid w:val="005B7579"/>
    <w:rsid w:val="00756DBC"/>
    <w:rsid w:val="007D6208"/>
    <w:rsid w:val="00850595"/>
    <w:rsid w:val="00A74065"/>
    <w:rsid w:val="00B10BF9"/>
    <w:rsid w:val="00B8095C"/>
    <w:rsid w:val="00BF48DE"/>
    <w:rsid w:val="00C44CAA"/>
    <w:rsid w:val="00E571FF"/>
    <w:rsid w:val="00EE23E5"/>
    <w:rsid w:val="00F210F4"/>
    <w:rsid w:val="00FB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4461912E"/>
  <w15:chartTrackingRefBased/>
  <w15:docId w15:val="{0567915F-01A9-4B5A-9E29-5D438215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B10BF9"/>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B10BF9"/>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B10BF9"/>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B10BF9"/>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F9"/>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B10BF9"/>
    <w:rPr>
      <w:rFonts w:ascii="Century Schoolbook" w:eastAsia="Times New Roman" w:hAnsi="Century Schoolbook" w:cs="Times New Roman"/>
      <w:b/>
      <w:sz w:val="24"/>
      <w:szCs w:val="20"/>
    </w:rPr>
  </w:style>
  <w:style w:type="paragraph" w:styleId="Footer">
    <w:name w:val="footer"/>
    <w:basedOn w:val="Normal"/>
    <w:link w:val="FooterChar"/>
    <w:semiHidden/>
    <w:rsid w:val="00B10BF9"/>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semiHidden/>
    <w:rsid w:val="00B10BF9"/>
    <w:rPr>
      <w:rFonts w:ascii="Century Schoolbook" w:eastAsia="Times New Roman" w:hAnsi="Century Schoolbook" w:cs="Times New Roman"/>
      <w:szCs w:val="20"/>
    </w:rPr>
  </w:style>
  <w:style w:type="paragraph" w:styleId="Header">
    <w:name w:val="header"/>
    <w:basedOn w:val="Normal"/>
    <w:link w:val="HeaderChar"/>
    <w:semiHidden/>
    <w:rsid w:val="00B10BF9"/>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semiHidden/>
    <w:rsid w:val="00B10BF9"/>
    <w:rPr>
      <w:rFonts w:ascii="Century Schoolbook" w:eastAsia="Times New Roman" w:hAnsi="Century Schoolbook" w:cs="Times New Roman"/>
      <w:szCs w:val="20"/>
    </w:rPr>
  </w:style>
  <w:style w:type="character" w:styleId="Hyperlink">
    <w:name w:val="Hyperlink"/>
    <w:uiPriority w:val="99"/>
    <w:unhideWhenUsed/>
    <w:rsid w:val="00B10BF9"/>
    <w:rPr>
      <w:color w:val="0000FF"/>
      <w:u w:val="single"/>
    </w:rPr>
  </w:style>
  <w:style w:type="paragraph" w:styleId="List2">
    <w:name w:val="List 2"/>
    <w:link w:val="List2Char"/>
    <w:unhideWhenUsed/>
    <w:rsid w:val="00B10BF9"/>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756DBC"/>
    <w:pPr>
      <w:spacing w:after="160" w:line="259" w:lineRule="auto"/>
      <w:ind w:left="0" w:firstLine="0"/>
    </w:pPr>
  </w:style>
  <w:style w:type="character" w:customStyle="1" w:styleId="ListChar">
    <w:name w:val="List Char"/>
    <w:basedOn w:val="DefaultParagraphFont"/>
    <w:link w:val="List"/>
    <w:uiPriority w:val="99"/>
    <w:semiHidden/>
    <w:rsid w:val="00756DBC"/>
  </w:style>
  <w:style w:type="character" w:customStyle="1" w:styleId="List2Char">
    <w:name w:val="List 2 Char"/>
    <w:basedOn w:val="DefaultParagraphFont"/>
    <w:link w:val="List2"/>
    <w:uiPriority w:val="99"/>
    <w:semiHidden/>
    <w:rsid w:val="00B10BF9"/>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B10BF9"/>
    <w:rPr>
      <w:rFonts w:ascii="Century Schoolbook" w:eastAsiaTheme="majorEastAsia" w:hAnsi="Century Schoolbook" w:cstheme="majorBidi"/>
      <w:b/>
      <w:sz w:val="28"/>
      <w:szCs w:val="26"/>
    </w:rPr>
  </w:style>
  <w:style w:type="character" w:customStyle="1" w:styleId="Heading4Char">
    <w:name w:val="Heading 4 Char"/>
    <w:basedOn w:val="DefaultParagraphFont"/>
    <w:link w:val="Heading4"/>
    <w:rsid w:val="00B10BF9"/>
    <w:rPr>
      <w:rFonts w:ascii="Century Schoolbook" w:eastAsia="Times New Roman" w:hAnsi="Century Schoolbook" w:cs="Times New Roman"/>
      <w:b/>
      <w:sz w:val="24"/>
      <w:szCs w:val="20"/>
    </w:rPr>
  </w:style>
  <w:style w:type="paragraph" w:styleId="List3">
    <w:name w:val="List 3"/>
    <w:rsid w:val="00B10BF9"/>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rsid w:val="00B10BF9"/>
    <w:pPr>
      <w:spacing w:after="0" w:line="240" w:lineRule="auto"/>
      <w:ind w:left="1440" w:hanging="360"/>
      <w:contextualSpacing/>
    </w:pPr>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B10BF9"/>
    <w:pPr>
      <w:spacing w:after="100"/>
    </w:pPr>
    <w:rPr>
      <w:rFonts w:cs="Arial"/>
    </w:rPr>
  </w:style>
  <w:style w:type="paragraph" w:styleId="TOC3">
    <w:name w:val="toc 3"/>
    <w:basedOn w:val="Normal"/>
    <w:next w:val="Normal"/>
    <w:autoRedefine/>
    <w:uiPriority w:val="39"/>
    <w:unhideWhenUsed/>
    <w:rsid w:val="00B10BF9"/>
    <w:pPr>
      <w:spacing w:after="100"/>
      <w:ind w:left="440"/>
    </w:pPr>
  </w:style>
  <w:style w:type="paragraph" w:styleId="TOC2">
    <w:name w:val="toc 2"/>
    <w:basedOn w:val="Normal"/>
    <w:next w:val="Normal"/>
    <w:autoRedefine/>
    <w:uiPriority w:val="39"/>
    <w:unhideWhenUsed/>
    <w:rsid w:val="00B10BF9"/>
    <w:pPr>
      <w:spacing w:after="100"/>
      <w:ind w:left="220"/>
    </w:pPr>
  </w:style>
  <w:style w:type="paragraph" w:styleId="TOC4">
    <w:name w:val="toc 4"/>
    <w:basedOn w:val="Normal"/>
    <w:next w:val="Normal"/>
    <w:autoRedefine/>
    <w:uiPriority w:val="39"/>
    <w:unhideWhenUsed/>
    <w:rsid w:val="00B10BF9"/>
    <w:pPr>
      <w:spacing w:after="100"/>
      <w:ind w:left="660"/>
    </w:pPr>
  </w:style>
  <w:style w:type="paragraph" w:styleId="TOC5">
    <w:name w:val="toc 5"/>
    <w:basedOn w:val="Normal"/>
    <w:next w:val="Normal"/>
    <w:autoRedefine/>
    <w:uiPriority w:val="39"/>
    <w:semiHidden/>
    <w:unhideWhenUsed/>
    <w:rsid w:val="00B10BF9"/>
    <w:pPr>
      <w:spacing w:after="100"/>
      <w:ind w:left="880"/>
    </w:pPr>
  </w:style>
  <w:style w:type="paragraph" w:styleId="TOC6">
    <w:name w:val="toc 6"/>
    <w:basedOn w:val="Normal"/>
    <w:next w:val="Normal"/>
    <w:autoRedefine/>
    <w:uiPriority w:val="39"/>
    <w:semiHidden/>
    <w:unhideWhenUsed/>
    <w:rsid w:val="00B10BF9"/>
    <w:pPr>
      <w:spacing w:after="100"/>
      <w:ind w:left="1100"/>
    </w:pPr>
  </w:style>
  <w:style w:type="paragraph" w:styleId="TOC7">
    <w:name w:val="toc 7"/>
    <w:basedOn w:val="Normal"/>
    <w:next w:val="Normal"/>
    <w:autoRedefine/>
    <w:uiPriority w:val="39"/>
    <w:semiHidden/>
    <w:unhideWhenUsed/>
    <w:rsid w:val="00B10BF9"/>
    <w:pPr>
      <w:spacing w:after="100"/>
      <w:ind w:left="1320"/>
    </w:pPr>
  </w:style>
  <w:style w:type="paragraph" w:styleId="TOC8">
    <w:name w:val="toc 8"/>
    <w:basedOn w:val="Normal"/>
    <w:next w:val="Normal"/>
    <w:autoRedefine/>
    <w:uiPriority w:val="39"/>
    <w:semiHidden/>
    <w:unhideWhenUsed/>
    <w:rsid w:val="00B10BF9"/>
    <w:pPr>
      <w:spacing w:after="100"/>
      <w:ind w:left="1540"/>
    </w:pPr>
  </w:style>
  <w:style w:type="paragraph" w:styleId="TOC9">
    <w:name w:val="toc 9"/>
    <w:basedOn w:val="Normal"/>
    <w:next w:val="Normal"/>
    <w:autoRedefine/>
    <w:uiPriority w:val="39"/>
    <w:semiHidden/>
    <w:unhideWhenUsed/>
    <w:rsid w:val="00B10BF9"/>
    <w:pPr>
      <w:spacing w:after="100"/>
      <w:ind w:left="1760"/>
    </w:pPr>
  </w:style>
  <w:style w:type="paragraph" w:styleId="List">
    <w:name w:val="List"/>
    <w:basedOn w:val="Normal"/>
    <w:link w:val="ListChar"/>
    <w:uiPriority w:val="99"/>
    <w:semiHidden/>
    <w:unhideWhenUsed/>
    <w:rsid w:val="00756DBC"/>
    <w:pPr>
      <w:ind w:left="360" w:hanging="360"/>
      <w:contextualSpacing/>
    </w:pPr>
  </w:style>
  <w:style w:type="character" w:customStyle="1" w:styleId="List1Char">
    <w:name w:val="List 1 Char"/>
    <w:basedOn w:val="ListChar"/>
    <w:link w:val="List1"/>
    <w:rsid w:val="00756DBC"/>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www.acq.osd.mil/dpap/dars/pgi/pgi_htm/PGI206_3.htm" TargetMode="External"/><Relationship Id="rId3" Type="http://schemas.openxmlformats.org/officeDocument/2006/relationships/webSettings" Target="webSettings.xml"/><Relationship Id="rId21" Type="http://schemas.openxmlformats.org/officeDocument/2006/relationships/hyperlink" Target="https://www.acq.osd.mil/dpap/dars/pgi/pgi_htm/PGI206_3.htm" TargetMode="External"/><Relationship Id="rId7" Type="http://schemas.openxmlformats.org/officeDocument/2006/relationships/header" Target="header1.xml"/><Relationship Id="rId12" Type="http://schemas.openxmlformats.org/officeDocument/2006/relationships/hyperlink" Target="http://www.acq.osd.mil/dpap/dars/pgi/pgi_htm/PGI206_2.htm" TargetMode="External"/><Relationship Id="rId17" Type="http://schemas.openxmlformats.org/officeDocument/2006/relationships/hyperlink" Target="http://www.acq.osd.mil/dpap/dars/dfars/html/current/252206.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cq.osd.mil/dpap/dars/pgi/pgi_htm/PGI206_3.htm" TargetMode="External"/><Relationship Id="rId20" Type="http://schemas.openxmlformats.org/officeDocument/2006/relationships/hyperlink" Target="https://www.acq.osd.mil/dpap/dars/pgi/pgi_htm/PGI206_3.htm" TargetMode="External"/><Relationship Id="rId1" Type="http://schemas.openxmlformats.org/officeDocument/2006/relationships/styles" Target="styles.xml"/><Relationship Id="rId6" Type="http://schemas.openxmlformats.org/officeDocument/2006/relationships/hyperlink" Target="http://www.acq.osd.mil/dpap/dars/pgi/pgi_htm/PGI206_0.htm" TargetMode="Externa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acq.osd.mil/dpap/dars/pgi/pgi_htm/PGI206_3.htm"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acq.osd.mil/dpap/dars/dfars/html/current/225_77.htm" TargetMode="External"/><Relationship Id="rId4" Type="http://schemas.openxmlformats.org/officeDocument/2006/relationships/footnotes" Target="footnotes.xml"/><Relationship Id="rId9" Type="http://schemas.openxmlformats.org/officeDocument/2006/relationships/hyperlink" Target="https://www.acq.osd.mil/dpap/dars/dfars/html/current/235_0.htm" TargetMode="Externa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2020-04-14T14:51:00Z</dcterms:modified>
</cp:coreProperties>
</file>