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2C791" w14:textId="77777777" w:rsidR="0006202D" w:rsidRDefault="0006202D">
      <w:pPr>
        <w:sectPr w:rsidR="0006202D">
          <w:pgSz w:w="12240" w:h="15840"/>
          <w:pgMar w:top="1440" w:right="1440" w:bottom="1440" w:left="1440" w:header="720" w:footer="720" w:gutter="0"/>
          <w:cols w:space="720"/>
          <w:docGrid w:linePitch="360"/>
        </w:sectPr>
      </w:pPr>
    </w:p>
    <w:p w14:paraId="187ECE36" w14:textId="77777777" w:rsidR="0006202D" w:rsidRDefault="0006202D" w:rsidP="00143992">
      <w:pPr>
        <w:pStyle w:val="Heading1"/>
      </w:pPr>
      <w:bookmarkStart w:id="0" w:name="_Toc37675838"/>
      <w:bookmarkStart w:id="1" w:name="_Toc37676454"/>
      <w:bookmarkStart w:id="2" w:name="_Toc37754146"/>
      <w:r w:rsidRPr="007B495C">
        <w:lastRenderedPageBreak/>
        <w:t>PART 2</w:t>
      </w:r>
      <w:r>
        <w:t>10</w:t>
      </w:r>
      <w:r w:rsidRPr="007B495C">
        <w:t xml:space="preserve"> - </w:t>
      </w:r>
      <w:r>
        <w:br/>
      </w:r>
      <w:r w:rsidRPr="00046E95">
        <w:t>MARKET RESEARCH</w:t>
      </w:r>
      <w:bookmarkEnd w:id="0"/>
      <w:bookmarkEnd w:id="1"/>
      <w:bookmarkEnd w:id="2"/>
    </w:p>
    <w:p w14:paraId="53B99A80" w14:textId="77777777" w:rsidR="0006202D" w:rsidRDefault="0006202D">
      <w:r>
        <w:br w:type="page"/>
      </w:r>
      <w:r>
        <w:lastRenderedPageBreak/>
        <w:br/>
      </w:r>
    </w:p>
    <w:p w14:paraId="1268F2C6" w14:textId="77777777" w:rsidR="00491DE2" w:rsidRDefault="00491DE2" w:rsidP="0006202D">
      <w:pPr>
        <w:jc w:val="center"/>
        <w:rPr>
          <w:rFonts w:ascii="Arial" w:hAnsi="Arial" w:cs="Arial"/>
          <w:b/>
        </w:rPr>
      </w:pPr>
      <w:r>
        <w:rPr>
          <w:rFonts w:ascii="Arial" w:hAnsi="Arial" w:cs="Arial"/>
          <w:b/>
        </w:rPr>
        <w:t>Table of Contents</w:t>
      </w:r>
    </w:p>
    <w:p w14:paraId="1E8D7D2E" w14:textId="31E1AF50" w:rsidR="003D022A" w:rsidRDefault="003D022A" w:rsidP="003D022A">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146" w:history="1">
        <w:r w:rsidRPr="00733845">
          <w:rPr>
            <w:rStyle w:val="Hyperlink"/>
            <w:noProof/>
          </w:rPr>
          <w:t>PART 210 -  MARKET RESEARCH</w:t>
        </w:r>
      </w:hyperlink>
    </w:p>
    <w:p w14:paraId="35080216" w14:textId="7D7B3EC9" w:rsidR="003D022A" w:rsidRDefault="003D022A" w:rsidP="003D022A">
      <w:pPr>
        <w:pStyle w:val="TOC3"/>
        <w:tabs>
          <w:tab w:val="right" w:leader="dot" w:pos="9350"/>
        </w:tabs>
        <w:rPr>
          <w:rFonts w:asciiTheme="minorHAnsi" w:eastAsiaTheme="minorEastAsia" w:hAnsiTheme="minorHAnsi"/>
          <w:noProof/>
        </w:rPr>
      </w:pPr>
      <w:hyperlink w:anchor="_Toc37754147" w:history="1">
        <w:r w:rsidRPr="00733845">
          <w:rPr>
            <w:rStyle w:val="Hyperlink"/>
            <w:rFonts w:cs="Courier New"/>
            <w:noProof/>
          </w:rPr>
          <w:t>210.001  Policy.</w:t>
        </w:r>
      </w:hyperlink>
    </w:p>
    <w:p w14:paraId="0F44DE90" w14:textId="258FC5B2" w:rsidR="003D022A" w:rsidRDefault="003D022A" w:rsidP="003D022A">
      <w:pPr>
        <w:pStyle w:val="TOC3"/>
        <w:tabs>
          <w:tab w:val="right" w:leader="dot" w:pos="9350"/>
        </w:tabs>
        <w:rPr>
          <w:rFonts w:asciiTheme="minorHAnsi" w:eastAsiaTheme="minorEastAsia" w:hAnsiTheme="minorHAnsi"/>
          <w:noProof/>
        </w:rPr>
      </w:pPr>
      <w:hyperlink w:anchor="_Toc37754148" w:history="1">
        <w:r w:rsidRPr="00733845">
          <w:rPr>
            <w:rStyle w:val="Hyperlink"/>
            <w:noProof/>
          </w:rPr>
          <w:t>210.002  Procedures.</w:t>
        </w:r>
      </w:hyperlink>
    </w:p>
    <w:p w14:paraId="65ACB874" w14:textId="601AE23F" w:rsidR="000C753E" w:rsidRDefault="003D022A" w:rsidP="0006202D">
      <w:pPr>
        <w:jc w:val="center"/>
        <w:rPr>
          <w:rFonts w:ascii="Arial" w:hAnsi="Arial" w:cs="Arial"/>
          <w:b/>
        </w:rPr>
      </w:pPr>
      <w:r>
        <w:rPr>
          <w:rStyle w:val="Hyperlink"/>
          <w:rFonts w:cs="Arial"/>
          <w:noProof/>
        </w:rPr>
        <w:fldChar w:fldCharType="end"/>
      </w:r>
    </w:p>
    <w:p w14:paraId="2E2D3600" w14:textId="77777777" w:rsidR="0006202D" w:rsidRPr="0006202D" w:rsidRDefault="0006202D" w:rsidP="0006202D">
      <w:pPr>
        <w:jc w:val="center"/>
        <w:rPr>
          <w:rFonts w:ascii="Arial" w:hAnsi="Arial" w:cs="Arial"/>
          <w:b/>
        </w:rPr>
      </w:pPr>
    </w:p>
    <w:p w14:paraId="177D5B25" w14:textId="77777777" w:rsidR="0006202D" w:rsidRPr="006A60CA" w:rsidRDefault="0006202D" w:rsidP="006E517C">
      <w:pPr>
        <w:jc w:val="center"/>
      </w:pPr>
      <w:r w:rsidRPr="006A60CA">
        <w:rPr>
          <w:i/>
        </w:rPr>
        <w:t>(Revised April 13, 2018)</w:t>
      </w:r>
    </w:p>
    <w:p w14:paraId="3F1E564F" w14:textId="77777777" w:rsidR="0006202D" w:rsidRDefault="0006202D" w:rsidP="006A60CA">
      <w:pPr>
        <w:pStyle w:val="Heading3"/>
      </w:pPr>
      <w:r>
        <w:rPr>
          <w:i/>
        </w:rPr>
        <w:br/>
      </w:r>
      <w:bookmarkStart w:id="3" w:name="_Toc37345271"/>
      <w:bookmarkStart w:id="4" w:name="_Toc37675839"/>
      <w:bookmarkStart w:id="5" w:name="_Toc37676455"/>
      <w:bookmarkStart w:id="6" w:name="_Toc37754147"/>
      <w:proofErr w:type="gramStart"/>
      <w:r w:rsidRPr="00203616">
        <w:rPr>
          <w:rFonts w:cs="Courier New"/>
        </w:rPr>
        <w:t>210</w:t>
      </w:r>
      <w:r w:rsidRPr="00B34BFB">
        <w:rPr>
          <w:rFonts w:cs="Courier New"/>
        </w:rPr>
        <w:t>.</w:t>
      </w:r>
      <w:r w:rsidRPr="00203616">
        <w:rPr>
          <w:rFonts w:cs="Courier New"/>
        </w:rPr>
        <w:t>001</w:t>
      </w:r>
      <w:r w:rsidRPr="00B34BFB">
        <w:rPr>
          <w:rFonts w:cs="Courier New"/>
        </w:rPr>
        <w:t xml:space="preserve">  </w:t>
      </w:r>
      <w:r w:rsidRPr="00203616">
        <w:rPr>
          <w:rFonts w:cs="Courier New"/>
        </w:rPr>
        <w:t>Policy</w:t>
      </w:r>
      <w:proofErr w:type="gramEnd"/>
      <w:r w:rsidRPr="00B34BFB">
        <w:rPr>
          <w:rFonts w:cs="Courier New"/>
        </w:rPr>
        <w:t>.</w:t>
      </w:r>
      <w:bookmarkEnd w:id="3"/>
      <w:bookmarkEnd w:id="4"/>
      <w:bookmarkEnd w:id="5"/>
      <w:bookmarkEnd w:id="6"/>
    </w:p>
    <w:p w14:paraId="09E1F390" w14:textId="77777777" w:rsidR="0006202D" w:rsidRDefault="0006202D" w:rsidP="00B73C54">
      <w:pPr>
        <w:pStyle w:val="List1"/>
      </w:pPr>
      <w:r w:rsidRPr="00203616">
        <w:rPr>
          <w:b/>
        </w:rPr>
        <w:br/>
      </w:r>
      <w:r w:rsidRPr="00203616">
        <w:t>(a)</w:t>
      </w:r>
      <w:r w:rsidRPr="00075234">
        <w:rPr>
          <w:szCs w:val="24"/>
        </w:rPr>
        <w:t xml:space="preserve">  In addition to the requirements of FAR 10.001(a), agencies shall—</w:t>
      </w:r>
    </w:p>
    <w:p w14:paraId="3C498D24" w14:textId="77777777" w:rsidR="0006202D" w:rsidRDefault="0006202D" w:rsidP="006A60CA">
      <w:pPr>
        <w:pStyle w:val="List3"/>
      </w:pPr>
      <w:r>
        <w:rPr>
          <w:rFonts w:cs="Courier New"/>
          <w:szCs w:val="24"/>
        </w:rPr>
        <w:br/>
      </w:r>
      <w:r w:rsidRPr="00075234">
        <w:rPr>
          <w:rFonts w:cs="Courier New"/>
          <w:szCs w:val="24"/>
        </w:rPr>
        <w:t>(</w:t>
      </w:r>
      <w:proofErr w:type="spellStart"/>
      <w:r w:rsidRPr="00075234">
        <w:rPr>
          <w:rFonts w:cs="Courier New"/>
          <w:szCs w:val="24"/>
        </w:rPr>
        <w:t>i</w:t>
      </w:r>
      <w:proofErr w:type="spellEnd"/>
      <w:r w:rsidRPr="00075234">
        <w:rPr>
          <w:rFonts w:cs="Courier New"/>
          <w:szCs w:val="24"/>
        </w:rPr>
        <w:t>)  Conduct market research appropriate to the circumstances before</w:t>
      </w:r>
      <w:r>
        <w:rPr>
          <w:rFonts w:cs="Courier New"/>
          <w:szCs w:val="24"/>
        </w:rPr>
        <w:t xml:space="preserve"> i</w:t>
      </w:r>
      <w:r w:rsidRPr="00075234">
        <w:rPr>
          <w:rFonts w:cs="Courier New"/>
          <w:szCs w:val="24"/>
        </w:rPr>
        <w:t>ssuing a solicitation with tiered evaluation of offers (</w:t>
      </w:r>
      <w:r>
        <w:rPr>
          <w:rFonts w:cs="Courier New"/>
          <w:szCs w:val="24"/>
        </w:rPr>
        <w:t>s</w:t>
      </w:r>
      <w:r w:rsidRPr="00075234">
        <w:rPr>
          <w:rFonts w:cs="Courier New"/>
          <w:szCs w:val="24"/>
        </w:rPr>
        <w:t>ection 816 of Pub. L. 109-163); and</w:t>
      </w:r>
    </w:p>
    <w:p w14:paraId="6CB86FE6" w14:textId="77777777" w:rsidR="0006202D" w:rsidRDefault="0006202D" w:rsidP="006A60CA">
      <w:pPr>
        <w:pStyle w:val="List3"/>
      </w:pPr>
      <w:r>
        <w:rPr>
          <w:rFonts w:cs="Courier New"/>
          <w:szCs w:val="24"/>
        </w:rPr>
        <w:br/>
      </w:r>
      <w:r w:rsidRPr="00075234">
        <w:rPr>
          <w:rFonts w:cs="Courier New"/>
          <w:szCs w:val="24"/>
        </w:rPr>
        <w:t>(ii)  Use the results of market research to determine</w:t>
      </w:r>
      <w:r>
        <w:rPr>
          <w:rFonts w:cs="Courier New"/>
          <w:szCs w:val="24"/>
        </w:rPr>
        <w:t xml:space="preserve"> w</w:t>
      </w:r>
      <w:r w:rsidRPr="00075234">
        <w:rPr>
          <w:rFonts w:cs="Courier New"/>
          <w:szCs w:val="24"/>
        </w:rPr>
        <w:t xml:space="preserve">hether the criteria in FAR </w:t>
      </w:r>
      <w:r>
        <w:rPr>
          <w:rFonts w:cs="Courier New"/>
          <w:szCs w:val="24"/>
        </w:rPr>
        <w:t>p</w:t>
      </w:r>
      <w:r w:rsidRPr="00075234">
        <w:rPr>
          <w:rFonts w:cs="Courier New"/>
          <w:szCs w:val="24"/>
        </w:rPr>
        <w:t>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w:t>
      </w:r>
      <w:r>
        <w:rPr>
          <w:rFonts w:cs="Courier New"/>
          <w:szCs w:val="24"/>
        </w:rPr>
        <w:t>s</w:t>
      </w:r>
      <w:r w:rsidRPr="00075234">
        <w:rPr>
          <w:rFonts w:cs="Courier New"/>
          <w:szCs w:val="24"/>
        </w:rPr>
        <w:t>ection 816 of Pub. L. 109-163).</w:t>
      </w:r>
    </w:p>
    <w:p w14:paraId="7AA9B1E1" w14:textId="77777777" w:rsidR="0006202D" w:rsidRDefault="0006202D" w:rsidP="00B73C54">
      <w:pPr>
        <w:pStyle w:val="List1"/>
      </w:pPr>
      <w:r>
        <w:rPr>
          <w:szCs w:val="24"/>
        </w:rPr>
        <w:br/>
      </w:r>
      <w:r w:rsidRPr="00980FB4">
        <w:rPr>
          <w:szCs w:val="24"/>
        </w:rPr>
        <w:t>(c)(2)  In addition to the notification requirements at FAR 10.001(c)(2)(</w:t>
      </w:r>
      <w:proofErr w:type="spellStart"/>
      <w:r w:rsidRPr="00980FB4">
        <w:rPr>
          <w:szCs w:val="24"/>
        </w:rPr>
        <w:t>i</w:t>
      </w:r>
      <w:proofErr w:type="spellEnd"/>
      <w:r w:rsidRPr="00980FB4">
        <w:rPr>
          <w:szCs w:val="24"/>
        </w:rPr>
        <w:t xml:space="preserve">) and (ii), see </w:t>
      </w:r>
      <w:hyperlink r:id="rId6" w:anchor="205.205-70" w:history="1">
        <w:r w:rsidRPr="004033CB">
          <w:rPr>
            <w:rStyle w:val="Hyperlink"/>
            <w:szCs w:val="24"/>
          </w:rPr>
          <w:t>205.205-70</w:t>
        </w:r>
      </w:hyperlink>
      <w:r w:rsidRPr="00980FB4">
        <w:rPr>
          <w:szCs w:val="24"/>
        </w:rPr>
        <w:t xml:space="preserve"> for the bundling notification publication requirement.</w:t>
      </w:r>
    </w:p>
    <w:p w14:paraId="5B19F128" w14:textId="77777777" w:rsidR="0006202D" w:rsidRDefault="0006202D" w:rsidP="006A60CA">
      <w:pPr>
        <w:pStyle w:val="Heading3"/>
      </w:pPr>
      <w:r>
        <w:rPr>
          <w:szCs w:val="24"/>
        </w:rPr>
        <w:br/>
      </w:r>
      <w:bookmarkStart w:id="7" w:name="_Toc37345272"/>
      <w:bookmarkStart w:id="8" w:name="_Toc37675840"/>
      <w:bookmarkStart w:id="9" w:name="_Toc37676456"/>
      <w:bookmarkStart w:id="10" w:name="_Toc37754148"/>
      <w:proofErr w:type="gramStart"/>
      <w:r w:rsidRPr="00203616">
        <w:t>210</w:t>
      </w:r>
      <w:r>
        <w:t>.</w:t>
      </w:r>
      <w:r w:rsidRPr="00203616">
        <w:t>002</w:t>
      </w:r>
      <w:r>
        <w:t xml:space="preserve">  </w:t>
      </w:r>
      <w:r w:rsidRPr="00203616">
        <w:t>Procedures</w:t>
      </w:r>
      <w:proofErr w:type="gramEnd"/>
      <w:r>
        <w:t>.</w:t>
      </w:r>
      <w:bookmarkEnd w:id="7"/>
      <w:bookmarkEnd w:id="8"/>
      <w:bookmarkEnd w:id="9"/>
      <w:bookmarkEnd w:id="10"/>
    </w:p>
    <w:p w14:paraId="0D458571" w14:textId="77777777" w:rsidR="0006202D" w:rsidRDefault="0006202D" w:rsidP="00B73C54">
      <w:pPr>
        <w:pStyle w:val="List1"/>
      </w:pPr>
      <w:r>
        <w:br/>
      </w:r>
      <w:r w:rsidRPr="00D24A8D">
        <w:rPr>
          <w:szCs w:val="24"/>
        </w:rPr>
        <w:t>(e)(</w:t>
      </w:r>
      <w:proofErr w:type="spellStart"/>
      <w:r w:rsidRPr="00D24A8D">
        <w:rPr>
          <w:szCs w:val="24"/>
        </w:rPr>
        <w:t>i</w:t>
      </w:r>
      <w:proofErr w:type="spellEnd"/>
      <w:r w:rsidRPr="00D24A8D">
        <w:rPr>
          <w:szCs w:val="24"/>
        </w:rPr>
        <w:t xml:space="preserve">) When contracting for services, see </w:t>
      </w:r>
      <w:hyperlink r:id="rId7" w:anchor="210.070" w:history="1">
        <w:r w:rsidRPr="00406D55">
          <w:rPr>
            <w:rStyle w:val="Hyperlink"/>
            <w:szCs w:val="24"/>
          </w:rPr>
          <w:t>PGI 210.070</w:t>
        </w:r>
      </w:hyperlink>
      <w:r w:rsidRPr="00D24A8D">
        <w:rPr>
          <w:szCs w:val="24"/>
        </w:rPr>
        <w:t>, for the “Market Research Report Guide for Improving the Tradecraft in Services Acquisition”.</w:t>
      </w:r>
    </w:p>
    <w:p w14:paraId="3F1D07D5" w14:textId="77777777" w:rsidR="0006202D" w:rsidRDefault="0006202D" w:rsidP="006A60CA">
      <w:pPr>
        <w:pStyle w:val="List3"/>
      </w:pPr>
      <w:r>
        <w:rPr>
          <w:rFonts w:cs="Courier New"/>
          <w:szCs w:val="24"/>
        </w:rPr>
        <w:br/>
      </w:r>
      <w:r w:rsidRPr="00D24A8D">
        <w:rPr>
          <w:rFonts w:cs="Courier New"/>
          <w:szCs w:val="24"/>
        </w:rPr>
        <w:t xml:space="preserve">(ii)  See </w:t>
      </w:r>
      <w:hyperlink r:id="rId8" w:anchor="210.002" w:history="1">
        <w:r w:rsidRPr="00406D55">
          <w:rPr>
            <w:rStyle w:val="Hyperlink"/>
            <w:rFonts w:cs="Courier New"/>
            <w:szCs w:val="24"/>
          </w:rPr>
          <w:t>PGI 210.002</w:t>
        </w:r>
      </w:hyperlink>
      <w:r w:rsidRPr="00D24A8D">
        <w:rPr>
          <w:rFonts w:cs="Courier New"/>
          <w:szCs w:val="24"/>
        </w:rPr>
        <w:t>(e)(ii) regarding potential offerors that express an interest in an acquisition.</w:t>
      </w:r>
    </w:p>
    <w:p w14:paraId="57C250AB" w14:textId="77777777" w:rsidR="0006202D" w:rsidRDefault="0006202D" w:rsidP="006A60CA">
      <w:pPr>
        <w:pStyle w:val="List3"/>
      </w:pPr>
      <w:r>
        <w:rPr>
          <w:rFonts w:cs="Courier New"/>
          <w:szCs w:val="24"/>
        </w:rPr>
        <w:lastRenderedPageBreak/>
        <w:br/>
      </w:r>
      <w:r w:rsidRPr="00323049">
        <w:rPr>
          <w:rFonts w:cs="Courier New"/>
          <w:szCs w:val="24"/>
        </w:rPr>
        <w:t xml:space="preserve">(iii)  Follow the procedures at </w:t>
      </w:r>
      <w:hyperlink r:id="rId9" w:anchor="210.002" w:history="1">
        <w:r w:rsidRPr="00406D55">
          <w:rPr>
            <w:rStyle w:val="Hyperlink"/>
            <w:rFonts w:cs="Courier New"/>
            <w:szCs w:val="24"/>
          </w:rPr>
          <w:t>PGI 210.002</w:t>
        </w:r>
      </w:hyperlink>
      <w:r w:rsidRPr="00323049">
        <w:rPr>
          <w:rFonts w:cs="Courier New"/>
          <w:szCs w:val="24"/>
        </w:rPr>
        <w:t>(e)(iii) regarding contract file documentation.</w:t>
      </w:r>
    </w:p>
    <w:p w14:paraId="549D853D" w14:textId="77777777" w:rsidR="0006202D" w:rsidRPr="00130AB8" w:rsidRDefault="0006202D" w:rsidP="006A60CA">
      <w:r>
        <w:br/>
      </w:r>
    </w:p>
    <w:p w14:paraId="3A0D5C30" w14:textId="77777777" w:rsidR="00850595" w:rsidRDefault="00850595"/>
    <w:sectPr w:rsidR="00850595" w:rsidSect="004854A0">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C20CA" w14:textId="77777777" w:rsidR="00B20CCC" w:rsidRDefault="00B20CCC">
      <w:pPr>
        <w:spacing w:after="0" w:line="240" w:lineRule="auto"/>
      </w:pPr>
      <w:r>
        <w:separator/>
      </w:r>
    </w:p>
  </w:endnote>
  <w:endnote w:type="continuationSeparator" w:id="0">
    <w:p w14:paraId="6D6B73AE" w14:textId="77777777" w:rsidR="00B20CCC" w:rsidRDefault="00B20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6FF1" w14:textId="77777777" w:rsidR="00DD43B8" w:rsidRDefault="00B20CCC">
    <w:pPr>
      <w:tabs>
        <w:tab w:val="left" w:pos="80"/>
      </w:tabs>
      <w:rPr>
        <w:rFonts w:ascii="Arial" w:hAnsi="Arial"/>
        <w:sz w:val="18"/>
      </w:rPr>
    </w:pPr>
  </w:p>
  <w:p w14:paraId="2A676524" w14:textId="77777777" w:rsidR="00DD43B8" w:rsidRDefault="00B20CCC">
    <w:pPr>
      <w:rPr>
        <w:rFonts w:ascii="Arial" w:hAnsi="Arial"/>
        <w:sz w:val="18"/>
      </w:rPr>
    </w:pPr>
  </w:p>
  <w:p w14:paraId="5B9FE1D4" w14:textId="77777777" w:rsidR="00DD43B8" w:rsidRDefault="00B20CCC">
    <w:pPr>
      <w:tabs>
        <w:tab w:val="right" w:pos="9720"/>
      </w:tabs>
      <w:rPr>
        <w:rFonts w:ascii="Arial" w:hAnsi="Arial"/>
        <w:b/>
        <w:sz w:val="18"/>
      </w:rPr>
    </w:pPr>
  </w:p>
  <w:p w14:paraId="1FA7745C" w14:textId="77777777" w:rsidR="00DD43B8" w:rsidRDefault="0006202D">
    <w:pPr>
      <w:pBdr>
        <w:top w:val="single" w:sz="6" w:space="1" w:color="auto"/>
      </w:pBdr>
      <w:tabs>
        <w:tab w:val="right" w:pos="9260"/>
      </w:tabs>
      <w:rPr>
        <w:sz w:val="20"/>
      </w:rPr>
    </w:pPr>
    <w:r>
      <w:rPr>
        <w:sz w:val="20"/>
      </w:rPr>
      <w:t>209.4-</w:t>
    </w:r>
    <w:r>
      <w:rPr>
        <w:sz w:val="20"/>
      </w:rPr>
      <w:pgNum/>
    </w:r>
    <w:r>
      <w:rPr>
        <w:sz w:val="20"/>
      </w:rPr>
      <w:tab/>
    </w:r>
    <w:r>
      <w:rPr>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29D11" w14:textId="77777777" w:rsidR="00DD43B8" w:rsidRDefault="00B20CCC">
    <w:pPr>
      <w:pStyle w:val="Footer"/>
      <w:rPr>
        <w:b/>
        <w:sz w:val="20"/>
      </w:rPr>
    </w:pPr>
  </w:p>
  <w:p w14:paraId="6430912E" w14:textId="77777777" w:rsidR="00DD43B8" w:rsidRDefault="00B20CCC">
    <w:pPr>
      <w:pStyle w:val="Footer"/>
      <w:tabs>
        <w:tab w:val="clear" w:pos="8640"/>
      </w:tabs>
      <w:rPr>
        <w:b/>
        <w:sz w:val="20"/>
      </w:rPr>
    </w:pPr>
  </w:p>
  <w:p w14:paraId="363E8327" w14:textId="77777777" w:rsidR="00DD43B8" w:rsidRDefault="0006202D">
    <w:pPr>
      <w:pStyle w:val="Footer"/>
      <w:pBdr>
        <w:top w:val="single" w:sz="6" w:space="1" w:color="auto"/>
      </w:pBdr>
      <w:tabs>
        <w:tab w:val="clear" w:pos="8640"/>
        <w:tab w:val="right" w:pos="9260"/>
      </w:tabs>
      <w:rPr>
        <w:sz w:val="20"/>
      </w:rPr>
    </w:pPr>
    <w:r>
      <w:rPr>
        <w:sz w:val="20"/>
      </w:rPr>
      <w:t>1998 EDITION</w:t>
    </w:r>
    <w:r>
      <w:rPr>
        <w:sz w:val="20"/>
      </w:rPr>
      <w:tab/>
    </w:r>
    <w:r>
      <w:rPr>
        <w:sz w:val="20"/>
      </w:rPr>
      <w:tab/>
      <w:t>210.0-1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BABD8" w14:textId="77777777" w:rsidR="00B20CCC" w:rsidRDefault="00B20CCC">
      <w:pPr>
        <w:spacing w:after="0" w:line="240" w:lineRule="auto"/>
      </w:pPr>
      <w:r>
        <w:separator/>
      </w:r>
    </w:p>
  </w:footnote>
  <w:footnote w:type="continuationSeparator" w:id="0">
    <w:p w14:paraId="1E4D86AE" w14:textId="77777777" w:rsidR="00B20CCC" w:rsidRDefault="00B20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27B59" w14:textId="77777777" w:rsidR="00DD43B8" w:rsidRDefault="0006202D">
    <w:pPr>
      <w:pStyle w:val="Header"/>
      <w:tabs>
        <w:tab w:val="clear" w:pos="8640"/>
      </w:tabs>
      <w:jc w:val="center"/>
      <w:rPr>
        <w:rFonts w:ascii="Arial" w:hAnsi="Arial"/>
        <w:b/>
        <w:sz w:val="18"/>
      </w:rPr>
    </w:pPr>
    <w:r>
      <w:t>Defense Federal Acquisition Regulation Supplement</w:t>
    </w:r>
  </w:p>
  <w:p w14:paraId="2962E2EB" w14:textId="77777777" w:rsidR="00DD43B8" w:rsidRDefault="00B20CCC">
    <w:pPr>
      <w:pStyle w:val="Header"/>
      <w:rPr>
        <w:rFonts w:ascii="Arial" w:hAnsi="Arial"/>
        <w:sz w:val="18"/>
      </w:rPr>
    </w:pPr>
  </w:p>
  <w:p w14:paraId="51A82630" w14:textId="77777777" w:rsidR="00DD43B8" w:rsidRDefault="0006202D">
    <w:pPr>
      <w:pStyle w:val="Header"/>
      <w:pBdr>
        <w:bottom w:val="single" w:sz="6" w:space="1" w:color="auto"/>
      </w:pBdr>
      <w:spacing w:after="10"/>
      <w:rPr>
        <w:sz w:val="20"/>
      </w:rPr>
    </w:pPr>
    <w:r>
      <w:rPr>
        <w:sz w:val="20"/>
      </w:rPr>
      <w:t>Part 209—Contractor Qualifications</w:t>
    </w:r>
  </w:p>
  <w:p w14:paraId="3ACDF0F4" w14:textId="77777777" w:rsidR="00DD43B8" w:rsidRDefault="00B20CCC">
    <w:pPr>
      <w:pStyle w:val="Header"/>
      <w:spacing w:before="10" w:line="40" w:lineRule="exact"/>
      <w:rPr>
        <w:rFonts w:ascii="Arial" w:hAnsi="Arial"/>
        <w:b/>
        <w:position w:val="6"/>
        <w:sz w:val="18"/>
      </w:rPr>
    </w:pPr>
  </w:p>
  <w:p w14:paraId="09A1A19A" w14:textId="77777777" w:rsidR="00DD43B8" w:rsidRDefault="00B20CCC">
    <w:pPr>
      <w:pStyle w:val="Header"/>
      <w:tabs>
        <w:tab w:val="right" w:pos="10260"/>
      </w:tabs>
      <w:rPr>
        <w:rFonts w:ascii="Arial" w:hAnsi="Arial"/>
        <w:sz w:val="20"/>
        <w:u w:val="single"/>
      </w:rPr>
    </w:pPr>
  </w:p>
  <w:p w14:paraId="18C14612" w14:textId="77777777" w:rsidR="00DD43B8" w:rsidRDefault="00B20CCC">
    <w:pPr>
      <w:pStyle w:val="Header"/>
      <w:tabs>
        <w:tab w:val="right" w:pos="10260"/>
      </w:tabs>
      <w:rPr>
        <w:rFonts w:ascii="Arial" w:hAnsi="Arial"/>
        <w:sz w:val="2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81B45" w14:textId="77777777" w:rsidR="00DD43B8" w:rsidRDefault="0006202D">
    <w:pPr>
      <w:pStyle w:val="Header"/>
      <w:tabs>
        <w:tab w:val="clear" w:pos="8640"/>
      </w:tabs>
      <w:jc w:val="center"/>
    </w:pPr>
    <w:r>
      <w:t>Defense Federal Acquisition Regulation Supplement</w:t>
    </w:r>
  </w:p>
  <w:p w14:paraId="0CFAD62C" w14:textId="77777777" w:rsidR="00DD43B8" w:rsidRDefault="00B20CCC">
    <w:pPr>
      <w:pStyle w:val="Header"/>
      <w:rPr>
        <w:b/>
        <w:sz w:val="20"/>
      </w:rPr>
    </w:pPr>
  </w:p>
  <w:p w14:paraId="0DF720FE" w14:textId="77777777" w:rsidR="00DD43B8" w:rsidRDefault="0006202D">
    <w:pPr>
      <w:pStyle w:val="Header"/>
      <w:pBdr>
        <w:bottom w:val="single" w:sz="6" w:space="1" w:color="auto"/>
      </w:pBdr>
      <w:tabs>
        <w:tab w:val="clear" w:pos="8640"/>
        <w:tab w:val="right" w:pos="9260"/>
      </w:tabs>
      <w:spacing w:after="20"/>
      <w:rPr>
        <w:rFonts w:ascii="Arial" w:hAnsi="Arial"/>
        <w:b/>
        <w:sz w:val="20"/>
      </w:rPr>
    </w:pPr>
    <w:r>
      <w:rPr>
        <w:sz w:val="20"/>
      </w:rPr>
      <w:t>Part 210—Market Research</w:t>
    </w:r>
  </w:p>
  <w:p w14:paraId="5CB95CEE" w14:textId="77777777" w:rsidR="00DD43B8" w:rsidRDefault="00B20CCC">
    <w:pPr>
      <w:pStyle w:val="Header"/>
      <w:tabs>
        <w:tab w:val="clear" w:pos="8640"/>
        <w:tab w:val="right" w:pos="9260"/>
      </w:tabs>
      <w:spacing w:before="20" w:line="20" w:lineRule="exact"/>
      <w:rPr>
        <w:rFonts w:ascii="Geneva" w:hAnsi="Geneva"/>
        <w:b/>
        <w:position w:val="6"/>
        <w:sz w:val="18"/>
      </w:rPr>
    </w:pPr>
  </w:p>
  <w:p w14:paraId="4E2EFA31" w14:textId="77777777" w:rsidR="00DD43B8" w:rsidRDefault="00B20CCC">
    <w:pPr>
      <w:pStyle w:val="Header"/>
      <w:tabs>
        <w:tab w:val="clear" w:pos="8640"/>
        <w:tab w:val="right" w:pos="9260"/>
      </w:tabs>
      <w:rPr>
        <w:b/>
        <w:sz w:val="20"/>
      </w:rPr>
    </w:pPr>
  </w:p>
  <w:p w14:paraId="7B40FA92" w14:textId="77777777" w:rsidR="00DD43B8" w:rsidRDefault="00B20CCC">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2D"/>
    <w:rsid w:val="0006202D"/>
    <w:rsid w:val="000C753E"/>
    <w:rsid w:val="003D022A"/>
    <w:rsid w:val="00491DE2"/>
    <w:rsid w:val="00505901"/>
    <w:rsid w:val="00636697"/>
    <w:rsid w:val="007D6208"/>
    <w:rsid w:val="00850595"/>
    <w:rsid w:val="00B20CCC"/>
    <w:rsid w:val="00B73C54"/>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D90C"/>
  <w15:chartTrackingRefBased/>
  <w15:docId w15:val="{18DB2825-D7C6-4D9E-BAD1-25638BAD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06202D"/>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basedOn w:val="Normal"/>
    <w:next w:val="Normal"/>
    <w:link w:val="Heading2Char"/>
    <w:uiPriority w:val="9"/>
    <w:semiHidden/>
    <w:unhideWhenUsed/>
    <w:qFormat/>
    <w:rsid w:val="000C7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link w:val="Heading3Char"/>
    <w:qFormat/>
    <w:rsid w:val="0006202D"/>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uiPriority w:val="9"/>
    <w:semiHidden/>
    <w:unhideWhenUsed/>
    <w:qFormat/>
    <w:rsid w:val="000C75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02D"/>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rsid w:val="0006202D"/>
    <w:rPr>
      <w:rFonts w:ascii="Century Schoolbook" w:eastAsia="Times New Roman" w:hAnsi="Century Schoolbook" w:cs="Times New Roman"/>
      <w:b/>
      <w:sz w:val="24"/>
      <w:szCs w:val="20"/>
    </w:rPr>
  </w:style>
  <w:style w:type="paragraph" w:styleId="Footer">
    <w:name w:val="footer"/>
    <w:basedOn w:val="Normal"/>
    <w:link w:val="FooterChar"/>
    <w:rsid w:val="0006202D"/>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rsid w:val="0006202D"/>
    <w:rPr>
      <w:rFonts w:ascii="Century Schoolbook" w:eastAsia="Times New Roman" w:hAnsi="Century Schoolbook" w:cs="Times New Roman"/>
      <w:szCs w:val="20"/>
    </w:rPr>
  </w:style>
  <w:style w:type="paragraph" w:styleId="Header">
    <w:name w:val="header"/>
    <w:basedOn w:val="Normal"/>
    <w:link w:val="HeaderChar"/>
    <w:rsid w:val="0006202D"/>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rsid w:val="0006202D"/>
    <w:rPr>
      <w:rFonts w:ascii="Century Schoolbook" w:eastAsia="Times New Roman" w:hAnsi="Century Schoolbook" w:cs="Times New Roman"/>
      <w:szCs w:val="20"/>
    </w:rPr>
  </w:style>
  <w:style w:type="character" w:styleId="Hyperlink">
    <w:name w:val="Hyperlink"/>
    <w:uiPriority w:val="99"/>
    <w:unhideWhenUsed/>
    <w:rsid w:val="0006202D"/>
    <w:rPr>
      <w:color w:val="0000FF"/>
      <w:u w:val="single"/>
    </w:rPr>
  </w:style>
  <w:style w:type="paragraph" w:styleId="List3">
    <w:name w:val="List 3"/>
    <w:link w:val="List3Char"/>
    <w:uiPriority w:val="99"/>
    <w:semiHidden/>
    <w:unhideWhenUsed/>
    <w:rsid w:val="0006202D"/>
    <w:pPr>
      <w:spacing w:after="0" w:line="240" w:lineRule="auto"/>
      <w:ind w:left="108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B73C54"/>
    <w:pPr>
      <w:ind w:left="0" w:firstLine="0"/>
    </w:pPr>
  </w:style>
  <w:style w:type="character" w:customStyle="1" w:styleId="ListChar">
    <w:name w:val="List Char"/>
    <w:basedOn w:val="DefaultParagraphFont"/>
    <w:link w:val="List"/>
    <w:uiPriority w:val="99"/>
    <w:semiHidden/>
    <w:rsid w:val="00B73C54"/>
  </w:style>
  <w:style w:type="character" w:customStyle="1" w:styleId="List3Char">
    <w:name w:val="List 3 Char"/>
    <w:basedOn w:val="DefaultParagraphFont"/>
    <w:link w:val="List3"/>
    <w:uiPriority w:val="99"/>
    <w:semiHidden/>
    <w:rsid w:val="0006202D"/>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06202D"/>
    <w:pPr>
      <w:spacing w:after="100"/>
    </w:pPr>
    <w:rPr>
      <w:rFonts w:cs="Arial"/>
    </w:rPr>
  </w:style>
  <w:style w:type="paragraph" w:styleId="TOC3">
    <w:name w:val="toc 3"/>
    <w:basedOn w:val="Normal"/>
    <w:next w:val="Normal"/>
    <w:autoRedefine/>
    <w:uiPriority w:val="39"/>
    <w:unhideWhenUsed/>
    <w:rsid w:val="0006202D"/>
    <w:pPr>
      <w:spacing w:after="100"/>
      <w:ind w:left="440"/>
    </w:pPr>
  </w:style>
  <w:style w:type="paragraph" w:styleId="TOC2">
    <w:name w:val="toc 2"/>
    <w:basedOn w:val="Normal"/>
    <w:next w:val="Normal"/>
    <w:autoRedefine/>
    <w:uiPriority w:val="39"/>
    <w:unhideWhenUsed/>
    <w:rsid w:val="0006202D"/>
    <w:pPr>
      <w:spacing w:after="100"/>
      <w:ind w:left="220"/>
    </w:pPr>
  </w:style>
  <w:style w:type="paragraph" w:styleId="TOC4">
    <w:name w:val="toc 4"/>
    <w:basedOn w:val="Normal"/>
    <w:next w:val="Normal"/>
    <w:autoRedefine/>
    <w:uiPriority w:val="39"/>
    <w:semiHidden/>
    <w:unhideWhenUsed/>
    <w:rsid w:val="0006202D"/>
    <w:pPr>
      <w:spacing w:after="100"/>
      <w:ind w:left="660"/>
    </w:pPr>
  </w:style>
  <w:style w:type="paragraph" w:styleId="TOC5">
    <w:name w:val="toc 5"/>
    <w:basedOn w:val="Normal"/>
    <w:next w:val="Normal"/>
    <w:autoRedefine/>
    <w:uiPriority w:val="39"/>
    <w:semiHidden/>
    <w:unhideWhenUsed/>
    <w:rsid w:val="0006202D"/>
    <w:pPr>
      <w:spacing w:after="100"/>
      <w:ind w:left="880"/>
    </w:pPr>
  </w:style>
  <w:style w:type="paragraph" w:styleId="TOC6">
    <w:name w:val="toc 6"/>
    <w:basedOn w:val="Normal"/>
    <w:next w:val="Normal"/>
    <w:autoRedefine/>
    <w:uiPriority w:val="39"/>
    <w:semiHidden/>
    <w:unhideWhenUsed/>
    <w:rsid w:val="0006202D"/>
    <w:pPr>
      <w:spacing w:after="100"/>
      <w:ind w:left="1100"/>
    </w:pPr>
  </w:style>
  <w:style w:type="paragraph" w:styleId="TOC7">
    <w:name w:val="toc 7"/>
    <w:basedOn w:val="Normal"/>
    <w:next w:val="Normal"/>
    <w:autoRedefine/>
    <w:uiPriority w:val="39"/>
    <w:semiHidden/>
    <w:unhideWhenUsed/>
    <w:rsid w:val="0006202D"/>
    <w:pPr>
      <w:spacing w:after="100"/>
      <w:ind w:left="1320"/>
    </w:pPr>
  </w:style>
  <w:style w:type="paragraph" w:styleId="TOC8">
    <w:name w:val="toc 8"/>
    <w:basedOn w:val="Normal"/>
    <w:next w:val="Normal"/>
    <w:autoRedefine/>
    <w:uiPriority w:val="39"/>
    <w:semiHidden/>
    <w:unhideWhenUsed/>
    <w:rsid w:val="0006202D"/>
    <w:pPr>
      <w:spacing w:after="100"/>
      <w:ind w:left="1540"/>
    </w:pPr>
  </w:style>
  <w:style w:type="paragraph" w:styleId="TOC9">
    <w:name w:val="toc 9"/>
    <w:basedOn w:val="Normal"/>
    <w:next w:val="Normal"/>
    <w:autoRedefine/>
    <w:uiPriority w:val="39"/>
    <w:semiHidden/>
    <w:unhideWhenUsed/>
    <w:rsid w:val="0006202D"/>
    <w:pPr>
      <w:spacing w:after="100"/>
      <w:ind w:left="1760"/>
    </w:pPr>
  </w:style>
  <w:style w:type="paragraph" w:styleId="List">
    <w:name w:val="List"/>
    <w:basedOn w:val="Normal"/>
    <w:link w:val="ListChar"/>
    <w:uiPriority w:val="99"/>
    <w:semiHidden/>
    <w:unhideWhenUsed/>
    <w:rsid w:val="00B73C54"/>
    <w:pPr>
      <w:ind w:left="360" w:hanging="360"/>
      <w:contextualSpacing/>
    </w:pPr>
  </w:style>
  <w:style w:type="character" w:customStyle="1" w:styleId="List1Char">
    <w:name w:val="List 1 Char"/>
    <w:basedOn w:val="ListChar"/>
    <w:link w:val="List1"/>
    <w:rsid w:val="00B73C54"/>
    <w:rPr>
      <w:rFonts w:ascii="Century Schoolbook" w:hAnsi="Century Schoolbook"/>
    </w:rPr>
  </w:style>
  <w:style w:type="character" w:customStyle="1" w:styleId="Heading2Char">
    <w:name w:val="Heading 2 Char"/>
    <w:basedOn w:val="DefaultParagraphFont"/>
    <w:link w:val="Heading2"/>
    <w:uiPriority w:val="9"/>
    <w:semiHidden/>
    <w:rsid w:val="000C753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C753E"/>
    <w:rPr>
      <w:rFonts w:asciiTheme="majorHAnsi" w:eastAsiaTheme="majorEastAsia" w:hAnsiTheme="majorHAnsi" w:cstheme="majorBidi"/>
      <w:i/>
      <w:iCs/>
      <w:color w:val="2F5496" w:themeColor="accent1" w:themeShade="BF"/>
    </w:rPr>
  </w:style>
  <w:style w:type="paragraph" w:styleId="List2">
    <w:name w:val="List 2"/>
    <w:basedOn w:val="Normal"/>
    <w:uiPriority w:val="99"/>
    <w:semiHidden/>
    <w:unhideWhenUsed/>
    <w:rsid w:val="000C753E"/>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pgi/pgi_htm/PGI210_0.ht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acq.osd.mil/dpap/dars/pgi/pgi_htm/PGI210_0.ht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q.osd.mil/dpap/dars/dfars/html/current/205_2.ht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acq.osd.mil/dpap/dars/pgi/pgi_htm/PGI210_0.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2020-04-09T21:18:00Z</dcterms:created>
  <dcterms:modified xsi:type="dcterms:W3CDTF">2020-04-14T14:52:00Z</dcterms:modified>
</cp:coreProperties>
</file>