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F30A6" w14:textId="77777777" w:rsidR="006E2D94" w:rsidRDefault="006E2D94">
      <w:pPr>
        <w:sectPr w:rsidR="006E2D94">
          <w:pgSz w:w="12240" w:h="15840"/>
          <w:pgMar w:top="1440" w:right="1440" w:bottom="1440" w:left="1440" w:header="720" w:footer="720" w:gutter="0"/>
          <w:cols w:space="720"/>
          <w:docGrid w:linePitch="360"/>
        </w:sectPr>
      </w:pPr>
    </w:p>
    <w:p w14:paraId="0E7A1791" w14:textId="77777777" w:rsidR="006E2D94" w:rsidRDefault="006E2D94" w:rsidP="00951F98">
      <w:pPr>
        <w:pStyle w:val="Heading1"/>
      </w:pPr>
      <w:bookmarkStart w:id="0" w:name="_Toc37675943"/>
      <w:bookmarkStart w:id="1" w:name="_Toc37676559"/>
      <w:bookmarkStart w:id="2" w:name="_Toc37754377"/>
      <w:r w:rsidRPr="007B495C">
        <w:lastRenderedPageBreak/>
        <w:t>PART 2</w:t>
      </w:r>
      <w:r>
        <w:t>14</w:t>
      </w:r>
      <w:r w:rsidRPr="007B495C">
        <w:t xml:space="preserve"> - </w:t>
      </w:r>
      <w:r>
        <w:br/>
      </w:r>
      <w:r w:rsidRPr="00086FBA">
        <w:t>SEALED BIDDING</w:t>
      </w:r>
      <w:bookmarkEnd w:id="0"/>
      <w:bookmarkEnd w:id="1"/>
      <w:bookmarkEnd w:id="2"/>
    </w:p>
    <w:p w14:paraId="7CE6BF2F" w14:textId="77777777" w:rsidR="006E2D94" w:rsidRDefault="006E2D94">
      <w:r>
        <w:br w:type="page"/>
      </w:r>
      <w:r>
        <w:lastRenderedPageBreak/>
        <w:br/>
      </w:r>
    </w:p>
    <w:p w14:paraId="3B41600A" w14:textId="77777777" w:rsidR="002A4641" w:rsidRDefault="002A4641" w:rsidP="006E2D94">
      <w:pPr>
        <w:jc w:val="center"/>
        <w:rPr>
          <w:rFonts w:ascii="Arial" w:hAnsi="Arial" w:cs="Arial"/>
          <w:b/>
        </w:rPr>
      </w:pPr>
      <w:r>
        <w:rPr>
          <w:rFonts w:ascii="Arial" w:hAnsi="Arial" w:cs="Arial"/>
          <w:b/>
        </w:rPr>
        <w:t>Table of Contents</w:t>
      </w:r>
    </w:p>
    <w:p w14:paraId="425FD9C5" w14:textId="17B35C5E" w:rsidR="00D22511" w:rsidRDefault="00D22511" w:rsidP="00D22511">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4377" w:history="1">
        <w:r w:rsidRPr="00DC7068">
          <w:rPr>
            <w:rStyle w:val="Hyperlink"/>
            <w:noProof/>
          </w:rPr>
          <w:t>PART 214 -  SEALED BIDDING</w:t>
        </w:r>
      </w:hyperlink>
    </w:p>
    <w:p w14:paraId="72324590" w14:textId="1AE7B09B" w:rsidR="00D22511" w:rsidRDefault="00D22511" w:rsidP="00D22511">
      <w:pPr>
        <w:pStyle w:val="TOC2"/>
        <w:tabs>
          <w:tab w:val="right" w:leader="dot" w:pos="9350"/>
        </w:tabs>
        <w:rPr>
          <w:rFonts w:asciiTheme="minorHAnsi" w:eastAsiaTheme="minorEastAsia" w:hAnsiTheme="minorHAnsi"/>
          <w:noProof/>
        </w:rPr>
      </w:pPr>
      <w:hyperlink w:anchor="_Toc37754378" w:history="1">
        <w:r w:rsidRPr="00DC7068">
          <w:rPr>
            <w:rStyle w:val="Hyperlink"/>
            <w:caps/>
            <w:noProof/>
          </w:rPr>
          <w:t>subpart 214.2--solicitation of bids</w:t>
        </w:r>
      </w:hyperlink>
    </w:p>
    <w:p w14:paraId="0DA38DD7" w14:textId="4C8693EE" w:rsidR="00D22511" w:rsidRDefault="00D22511" w:rsidP="00D22511">
      <w:pPr>
        <w:pStyle w:val="TOC4"/>
        <w:tabs>
          <w:tab w:val="right" w:leader="dot" w:pos="9350"/>
        </w:tabs>
        <w:rPr>
          <w:rFonts w:asciiTheme="minorHAnsi" w:eastAsiaTheme="minorEastAsia" w:hAnsiTheme="minorHAnsi"/>
          <w:noProof/>
        </w:rPr>
      </w:pPr>
      <w:hyperlink w:anchor="_Toc37754379" w:history="1">
        <w:r w:rsidRPr="00DC7068">
          <w:rPr>
            <w:rStyle w:val="Hyperlink"/>
            <w:noProof/>
          </w:rPr>
          <w:t>214.201-5  Part IV—Representations and instructions.</w:t>
        </w:r>
      </w:hyperlink>
    </w:p>
    <w:p w14:paraId="56853391" w14:textId="4A5313BC" w:rsidR="00D22511" w:rsidRDefault="00D22511" w:rsidP="00D22511">
      <w:pPr>
        <w:pStyle w:val="TOC4"/>
        <w:tabs>
          <w:tab w:val="right" w:leader="dot" w:pos="9350"/>
        </w:tabs>
        <w:rPr>
          <w:rFonts w:asciiTheme="minorHAnsi" w:eastAsiaTheme="minorEastAsia" w:hAnsiTheme="minorHAnsi"/>
          <w:noProof/>
        </w:rPr>
      </w:pPr>
      <w:hyperlink w:anchor="_Toc37754380" w:history="1">
        <w:r w:rsidRPr="00DC7068">
          <w:rPr>
            <w:rStyle w:val="Hyperlink"/>
            <w:noProof/>
          </w:rPr>
          <w:t>214.201-6  Solicitation provisions.</w:t>
        </w:r>
      </w:hyperlink>
    </w:p>
    <w:p w14:paraId="4F181FEF" w14:textId="6C2134C4" w:rsidR="00D22511" w:rsidRDefault="00D22511" w:rsidP="00D22511">
      <w:pPr>
        <w:pStyle w:val="TOC3"/>
        <w:tabs>
          <w:tab w:val="right" w:leader="dot" w:pos="9350"/>
        </w:tabs>
        <w:rPr>
          <w:rFonts w:asciiTheme="minorHAnsi" w:eastAsiaTheme="minorEastAsia" w:hAnsiTheme="minorHAnsi"/>
          <w:noProof/>
        </w:rPr>
      </w:pPr>
      <w:hyperlink w:anchor="_Toc37754381" w:history="1">
        <w:r w:rsidRPr="00DC7068">
          <w:rPr>
            <w:rStyle w:val="Hyperlink"/>
            <w:noProof/>
          </w:rPr>
          <w:t>214.202  General rules for solicitation of bids.</w:t>
        </w:r>
      </w:hyperlink>
    </w:p>
    <w:p w14:paraId="6B8E00FE" w14:textId="75E06341" w:rsidR="00D22511" w:rsidRDefault="00D22511" w:rsidP="00D22511">
      <w:pPr>
        <w:pStyle w:val="TOC4"/>
        <w:tabs>
          <w:tab w:val="right" w:leader="dot" w:pos="9350"/>
        </w:tabs>
        <w:rPr>
          <w:rFonts w:asciiTheme="minorHAnsi" w:eastAsiaTheme="minorEastAsia" w:hAnsiTheme="minorHAnsi"/>
          <w:noProof/>
        </w:rPr>
      </w:pPr>
      <w:hyperlink w:anchor="_Toc37754382" w:history="1">
        <w:r w:rsidRPr="00DC7068">
          <w:rPr>
            <w:rStyle w:val="Hyperlink"/>
            <w:noProof/>
          </w:rPr>
          <w:t>214.202-5  Descriptive literature.</w:t>
        </w:r>
      </w:hyperlink>
    </w:p>
    <w:p w14:paraId="41C90310" w14:textId="63E73D16" w:rsidR="00D22511" w:rsidRDefault="00D22511" w:rsidP="00D22511">
      <w:pPr>
        <w:pStyle w:val="TOC3"/>
        <w:tabs>
          <w:tab w:val="right" w:leader="dot" w:pos="9350"/>
        </w:tabs>
        <w:rPr>
          <w:rFonts w:asciiTheme="minorHAnsi" w:eastAsiaTheme="minorEastAsia" w:hAnsiTheme="minorHAnsi"/>
          <w:noProof/>
        </w:rPr>
      </w:pPr>
      <w:hyperlink w:anchor="_Toc37754383" w:history="1">
        <w:r w:rsidRPr="00DC7068">
          <w:rPr>
            <w:rStyle w:val="Hyperlink"/>
            <w:noProof/>
          </w:rPr>
          <w:t>214.209  Cancellation of invitations before opening.</w:t>
        </w:r>
      </w:hyperlink>
    </w:p>
    <w:p w14:paraId="57876124" w14:textId="01902E03" w:rsidR="00D22511" w:rsidRDefault="00D22511" w:rsidP="00D22511">
      <w:pPr>
        <w:pStyle w:val="TOC2"/>
        <w:tabs>
          <w:tab w:val="right" w:leader="dot" w:pos="9350"/>
        </w:tabs>
        <w:rPr>
          <w:rFonts w:asciiTheme="minorHAnsi" w:eastAsiaTheme="minorEastAsia" w:hAnsiTheme="minorHAnsi"/>
          <w:noProof/>
        </w:rPr>
      </w:pPr>
      <w:hyperlink w:anchor="_Toc37754384" w:history="1">
        <w:r w:rsidRPr="00DC7068">
          <w:rPr>
            <w:rStyle w:val="Hyperlink"/>
            <w:caps/>
            <w:noProof/>
          </w:rPr>
          <w:t>subpart 214.4--opening of bids and award of contract</w:t>
        </w:r>
      </w:hyperlink>
    </w:p>
    <w:p w14:paraId="7FA6843B" w14:textId="5F8F65AB" w:rsidR="00D22511" w:rsidRDefault="00D22511" w:rsidP="00D22511">
      <w:pPr>
        <w:pStyle w:val="TOC3"/>
        <w:tabs>
          <w:tab w:val="right" w:leader="dot" w:pos="9350"/>
        </w:tabs>
        <w:rPr>
          <w:rFonts w:asciiTheme="minorHAnsi" w:eastAsiaTheme="minorEastAsia" w:hAnsiTheme="minorHAnsi"/>
          <w:noProof/>
        </w:rPr>
      </w:pPr>
      <w:hyperlink w:anchor="_Toc37754385" w:history="1">
        <w:r w:rsidRPr="00DC7068">
          <w:rPr>
            <w:rStyle w:val="Hyperlink"/>
            <w:noProof/>
          </w:rPr>
          <w:t>214.404  Rejection of bids.</w:t>
        </w:r>
      </w:hyperlink>
    </w:p>
    <w:p w14:paraId="322BC9B0" w14:textId="704FC9A8" w:rsidR="00D22511" w:rsidRDefault="00D22511" w:rsidP="00D22511">
      <w:pPr>
        <w:pStyle w:val="TOC4"/>
        <w:tabs>
          <w:tab w:val="right" w:leader="dot" w:pos="9350"/>
        </w:tabs>
        <w:rPr>
          <w:rFonts w:asciiTheme="minorHAnsi" w:eastAsiaTheme="minorEastAsia" w:hAnsiTheme="minorHAnsi"/>
          <w:noProof/>
        </w:rPr>
      </w:pPr>
      <w:hyperlink w:anchor="_Toc37754386" w:history="1">
        <w:r w:rsidRPr="00DC7068">
          <w:rPr>
            <w:rStyle w:val="Hyperlink"/>
            <w:noProof/>
          </w:rPr>
          <w:t>214.404-1  Cancellation of invitations after opening.</w:t>
        </w:r>
      </w:hyperlink>
    </w:p>
    <w:p w14:paraId="54E54153" w14:textId="2CD79A23" w:rsidR="00D22511" w:rsidRDefault="00D22511" w:rsidP="00D22511">
      <w:pPr>
        <w:pStyle w:val="TOC3"/>
        <w:tabs>
          <w:tab w:val="right" w:leader="dot" w:pos="9350"/>
        </w:tabs>
        <w:rPr>
          <w:rFonts w:asciiTheme="minorHAnsi" w:eastAsiaTheme="minorEastAsia" w:hAnsiTheme="minorHAnsi"/>
          <w:noProof/>
        </w:rPr>
      </w:pPr>
      <w:hyperlink w:anchor="_Toc37754387" w:history="1">
        <w:r w:rsidRPr="00DC7068">
          <w:rPr>
            <w:rStyle w:val="Hyperlink"/>
            <w:noProof/>
          </w:rPr>
          <w:t>214.407  Mistakes in bids.</w:t>
        </w:r>
      </w:hyperlink>
    </w:p>
    <w:p w14:paraId="7A07E591" w14:textId="63E08D90" w:rsidR="00D22511" w:rsidRDefault="00D22511" w:rsidP="00D22511">
      <w:pPr>
        <w:pStyle w:val="TOC4"/>
        <w:tabs>
          <w:tab w:val="right" w:leader="dot" w:pos="9350"/>
        </w:tabs>
        <w:rPr>
          <w:rFonts w:asciiTheme="minorHAnsi" w:eastAsiaTheme="minorEastAsia" w:hAnsiTheme="minorHAnsi"/>
          <w:noProof/>
        </w:rPr>
      </w:pPr>
      <w:hyperlink w:anchor="_Toc37754388" w:history="1">
        <w:r w:rsidRPr="00DC7068">
          <w:rPr>
            <w:rStyle w:val="Hyperlink"/>
            <w:noProof/>
          </w:rPr>
          <w:t>214.407-3  Other mistakes disclosed before award.</w:t>
        </w:r>
      </w:hyperlink>
    </w:p>
    <w:p w14:paraId="1BFED268" w14:textId="7DC5817E" w:rsidR="00D22511" w:rsidRDefault="00D22511" w:rsidP="00D22511">
      <w:pPr>
        <w:pStyle w:val="TOC3"/>
        <w:tabs>
          <w:tab w:val="right" w:leader="dot" w:pos="9350"/>
        </w:tabs>
        <w:rPr>
          <w:rFonts w:asciiTheme="minorHAnsi" w:eastAsiaTheme="minorEastAsia" w:hAnsiTheme="minorHAnsi"/>
          <w:noProof/>
        </w:rPr>
      </w:pPr>
      <w:hyperlink w:anchor="_Toc37754389" w:history="1">
        <w:r w:rsidRPr="00DC7068">
          <w:rPr>
            <w:rStyle w:val="Hyperlink"/>
            <w:noProof/>
          </w:rPr>
          <w:t>214.408  Award.</w:t>
        </w:r>
      </w:hyperlink>
    </w:p>
    <w:p w14:paraId="19DA9475" w14:textId="02735804" w:rsidR="00D22511" w:rsidRDefault="00D22511" w:rsidP="00D22511">
      <w:pPr>
        <w:pStyle w:val="TOC4"/>
        <w:tabs>
          <w:tab w:val="right" w:leader="dot" w:pos="9350"/>
        </w:tabs>
        <w:rPr>
          <w:rFonts w:asciiTheme="minorHAnsi" w:eastAsiaTheme="minorEastAsia" w:hAnsiTheme="minorHAnsi"/>
          <w:noProof/>
        </w:rPr>
      </w:pPr>
      <w:hyperlink w:anchor="_Toc37754390" w:history="1">
        <w:r w:rsidRPr="00DC7068">
          <w:rPr>
            <w:rStyle w:val="Hyperlink"/>
            <w:noProof/>
          </w:rPr>
          <w:t>214.408-1  General.</w:t>
        </w:r>
      </w:hyperlink>
    </w:p>
    <w:p w14:paraId="717E1A94" w14:textId="2242EDC1" w:rsidR="00D22511" w:rsidRDefault="00D22511" w:rsidP="00D22511">
      <w:pPr>
        <w:pStyle w:val="TOC2"/>
        <w:tabs>
          <w:tab w:val="right" w:leader="dot" w:pos="9350"/>
        </w:tabs>
        <w:rPr>
          <w:rFonts w:asciiTheme="minorHAnsi" w:eastAsiaTheme="minorEastAsia" w:hAnsiTheme="minorHAnsi"/>
          <w:noProof/>
        </w:rPr>
      </w:pPr>
      <w:hyperlink w:anchor="_Toc37754391" w:history="1">
        <w:r w:rsidRPr="00DC7068">
          <w:rPr>
            <w:rStyle w:val="Hyperlink"/>
            <w:caps/>
            <w:noProof/>
          </w:rPr>
          <w:t>SUBPART 214.5—Two-Step Sealed Bidding</w:t>
        </w:r>
      </w:hyperlink>
    </w:p>
    <w:p w14:paraId="0DCE83F3" w14:textId="4A753E1D" w:rsidR="00D22511" w:rsidRDefault="00D22511" w:rsidP="00D22511">
      <w:pPr>
        <w:pStyle w:val="TOC3"/>
        <w:tabs>
          <w:tab w:val="right" w:leader="dot" w:pos="9350"/>
        </w:tabs>
        <w:rPr>
          <w:rFonts w:asciiTheme="minorHAnsi" w:eastAsiaTheme="minorEastAsia" w:hAnsiTheme="minorHAnsi"/>
          <w:noProof/>
        </w:rPr>
      </w:pPr>
      <w:hyperlink w:anchor="_Toc37754392" w:history="1">
        <w:r w:rsidRPr="00DC7068">
          <w:rPr>
            <w:rStyle w:val="Hyperlink"/>
            <w:noProof/>
            <w:lang w:val="en"/>
          </w:rPr>
          <w:t>214.503  Procedures.</w:t>
        </w:r>
      </w:hyperlink>
    </w:p>
    <w:p w14:paraId="46A8AF35" w14:textId="42C2A1C2" w:rsidR="00D22511" w:rsidRDefault="00D22511" w:rsidP="00D22511">
      <w:pPr>
        <w:pStyle w:val="TOC4"/>
        <w:tabs>
          <w:tab w:val="right" w:leader="dot" w:pos="9350"/>
        </w:tabs>
        <w:rPr>
          <w:rFonts w:asciiTheme="minorHAnsi" w:eastAsiaTheme="minorEastAsia" w:hAnsiTheme="minorHAnsi"/>
          <w:noProof/>
        </w:rPr>
      </w:pPr>
      <w:hyperlink w:anchor="_Toc37754393" w:history="1">
        <w:r w:rsidRPr="00DC7068">
          <w:rPr>
            <w:rStyle w:val="Hyperlink"/>
            <w:noProof/>
            <w:lang w:val="en"/>
          </w:rPr>
          <w:t>214.503-1  Step one.</w:t>
        </w:r>
      </w:hyperlink>
    </w:p>
    <w:p w14:paraId="7B6BA4CF" w14:textId="50566B5B" w:rsidR="00485685" w:rsidRDefault="00D22511" w:rsidP="006E2D94">
      <w:pPr>
        <w:jc w:val="center"/>
        <w:rPr>
          <w:rFonts w:ascii="Arial" w:hAnsi="Arial" w:cs="Arial"/>
          <w:b/>
        </w:rPr>
      </w:pPr>
      <w:r>
        <w:rPr>
          <w:rStyle w:val="Hyperlink"/>
          <w:rFonts w:cs="Arial"/>
          <w:caps/>
          <w:noProof/>
        </w:rPr>
        <w:fldChar w:fldCharType="end"/>
      </w:r>
    </w:p>
    <w:p w14:paraId="6B9E8E4F" w14:textId="77777777" w:rsidR="006E2D94" w:rsidRPr="006E2D94" w:rsidRDefault="006E2D94" w:rsidP="006E2D94">
      <w:pPr>
        <w:jc w:val="center"/>
        <w:rPr>
          <w:rFonts w:ascii="Arial" w:hAnsi="Arial" w:cs="Arial"/>
          <w:b/>
        </w:rPr>
      </w:pPr>
    </w:p>
    <w:p w14:paraId="3CC6694E" w14:textId="77777777" w:rsidR="006E2D94" w:rsidRPr="00BE7DFA" w:rsidRDefault="006E2D94" w:rsidP="00BE7DFA">
      <w:pPr>
        <w:pStyle w:val="Heading2"/>
      </w:pPr>
      <w:bookmarkStart w:id="3" w:name="_Toc37345349"/>
      <w:bookmarkStart w:id="4" w:name="_Toc37675944"/>
      <w:bookmarkStart w:id="5" w:name="_Toc37676560"/>
      <w:bookmarkStart w:id="6" w:name="BM214_2"/>
      <w:bookmarkStart w:id="7" w:name="_Toc37754378"/>
      <w:r w:rsidRPr="00BE7DFA">
        <w:rPr>
          <w:caps/>
        </w:rPr>
        <w:t>subpart 214.2--solicitation of bids</w:t>
      </w:r>
      <w:bookmarkEnd w:id="3"/>
      <w:bookmarkEnd w:id="4"/>
      <w:bookmarkEnd w:id="5"/>
      <w:bookmarkEnd w:id="7"/>
    </w:p>
    <w:p w14:paraId="22C2B1E0" w14:textId="77777777" w:rsidR="006E2D94" w:rsidRPr="001C6AD4" w:rsidRDefault="006E2D94" w:rsidP="00BE7DFA">
      <w:pPr>
        <w:jc w:val="center"/>
      </w:pPr>
      <w:r w:rsidRPr="001C6AD4">
        <w:rPr>
          <w:i/>
        </w:rPr>
        <w:t>(Revised June 29, 2018)</w:t>
      </w:r>
    </w:p>
    <w:p w14:paraId="222E9E5E" w14:textId="77777777" w:rsidR="006E2D94" w:rsidRDefault="006E2D94" w:rsidP="001C6AD4">
      <w:pPr>
        <w:pStyle w:val="Heading4"/>
      </w:pPr>
      <w:r>
        <w:rPr>
          <w:i/>
        </w:rPr>
        <w:br/>
      </w:r>
      <w:bookmarkStart w:id="8" w:name="_Toc37675945"/>
      <w:bookmarkStart w:id="9" w:name="_Toc37676561"/>
      <w:bookmarkStart w:id="10" w:name="_Toc37754379"/>
      <w:r w:rsidRPr="00F527A2">
        <w:t>214</w:t>
      </w:r>
      <w:r w:rsidRPr="001255FA">
        <w:t>.</w:t>
      </w:r>
      <w:r w:rsidRPr="00F527A2">
        <w:t>201</w:t>
      </w:r>
      <w:r w:rsidRPr="001255FA">
        <w:t>-</w:t>
      </w:r>
      <w:proofErr w:type="gramStart"/>
      <w:r w:rsidRPr="00F527A2">
        <w:t>5</w:t>
      </w:r>
      <w:r w:rsidRPr="001255FA">
        <w:t xml:space="preserve">  </w:t>
      </w:r>
      <w:r w:rsidRPr="00F527A2">
        <w:t>Part</w:t>
      </w:r>
      <w:proofErr w:type="gramEnd"/>
      <w:r w:rsidRPr="001255FA">
        <w:t xml:space="preserve"> </w:t>
      </w:r>
      <w:r w:rsidRPr="00F527A2">
        <w:t>IV</w:t>
      </w:r>
      <w:r w:rsidRPr="001255FA">
        <w:t>—</w:t>
      </w:r>
      <w:r w:rsidRPr="00F527A2">
        <w:t>Representations</w:t>
      </w:r>
      <w:r w:rsidRPr="001255FA">
        <w:t xml:space="preserve"> </w:t>
      </w:r>
      <w:r w:rsidRPr="00F527A2">
        <w:t>and</w:t>
      </w:r>
      <w:r w:rsidRPr="001255FA">
        <w:t xml:space="preserve"> </w:t>
      </w:r>
      <w:r w:rsidRPr="00F527A2">
        <w:t>instructions</w:t>
      </w:r>
      <w:r w:rsidRPr="001255FA">
        <w:t>.</w:t>
      </w:r>
      <w:bookmarkEnd w:id="8"/>
      <w:bookmarkEnd w:id="9"/>
      <w:bookmarkEnd w:id="10"/>
    </w:p>
    <w:p w14:paraId="717E3444" w14:textId="77777777" w:rsidR="006E2D94" w:rsidRDefault="006E2D94" w:rsidP="00325CD8">
      <w:pPr>
        <w:pStyle w:val="List1"/>
      </w:pPr>
      <w:r>
        <w:rPr>
          <w:b/>
        </w:rPr>
        <w:br/>
      </w:r>
      <w:r w:rsidRPr="001255FA">
        <w:t xml:space="preserve">(c)  Include an evaluation factor regarding supply chain risk (see subpart </w:t>
      </w:r>
      <w:hyperlink r:id="rId6" w:history="1">
        <w:r w:rsidRPr="001255FA">
          <w:rPr>
            <w:rStyle w:val="Hyperlink"/>
          </w:rPr>
          <w:t>239.73</w:t>
        </w:r>
      </w:hyperlink>
      <w:r w:rsidRPr="001255FA">
        <w:t xml:space="preserve">) when acquiring information technology, whether as a service or as a supply, that is a covered system, is a part of a covered system, or is in support of a covered system, as defined in </w:t>
      </w:r>
      <w:hyperlink r:id="rId7" w:anchor="239.7301" w:history="1">
        <w:r w:rsidRPr="00F115F8">
          <w:rPr>
            <w:rStyle w:val="Hyperlink"/>
          </w:rPr>
          <w:t>239.7301</w:t>
        </w:r>
      </w:hyperlink>
      <w:r w:rsidRPr="001255FA">
        <w:t>.</w:t>
      </w:r>
    </w:p>
    <w:p w14:paraId="11A816C8" w14:textId="77777777" w:rsidR="006E2D94" w:rsidRDefault="006E2D94" w:rsidP="001C6AD4">
      <w:pPr>
        <w:pStyle w:val="Heading4"/>
      </w:pPr>
      <w:r>
        <w:br/>
      </w:r>
      <w:bookmarkStart w:id="11" w:name="_Toc37675946"/>
      <w:bookmarkStart w:id="12" w:name="_Toc37676562"/>
      <w:bookmarkStart w:id="13" w:name="_Toc37754380"/>
      <w:r w:rsidRPr="00F527A2">
        <w:t>214</w:t>
      </w:r>
      <w:r w:rsidRPr="008262D3">
        <w:t>.</w:t>
      </w:r>
      <w:r w:rsidRPr="00F527A2">
        <w:t>201</w:t>
      </w:r>
      <w:r w:rsidRPr="008262D3">
        <w:t>-</w:t>
      </w:r>
      <w:proofErr w:type="gramStart"/>
      <w:r w:rsidRPr="00F527A2">
        <w:t>6</w:t>
      </w:r>
      <w:r w:rsidRPr="008262D3">
        <w:t xml:space="preserve">  </w:t>
      </w:r>
      <w:r w:rsidRPr="00F527A2">
        <w:t>Solicitation</w:t>
      </w:r>
      <w:proofErr w:type="gramEnd"/>
      <w:r w:rsidRPr="008262D3">
        <w:t xml:space="preserve"> </w:t>
      </w:r>
      <w:r w:rsidRPr="00F527A2">
        <w:t>provisions</w:t>
      </w:r>
      <w:r w:rsidRPr="008262D3">
        <w:t>.</w:t>
      </w:r>
      <w:bookmarkEnd w:id="11"/>
      <w:bookmarkEnd w:id="12"/>
      <w:bookmarkEnd w:id="13"/>
    </w:p>
    <w:p w14:paraId="787EB6B8" w14:textId="77777777" w:rsidR="006E2D94" w:rsidRDefault="006E2D94" w:rsidP="001C6AD4">
      <w:pPr>
        <w:pStyle w:val="List2"/>
      </w:pPr>
      <w:r>
        <w:rPr>
          <w:b/>
        </w:rPr>
        <w:lastRenderedPageBreak/>
        <w:br/>
      </w:r>
      <w:r w:rsidRPr="008262D3">
        <w:t xml:space="preserve">(2)  Use the provisions at </w:t>
      </w:r>
      <w:hyperlink r:id="rId8" w:anchor="252.215-7007" w:history="1">
        <w:r w:rsidRPr="0081466C">
          <w:rPr>
            <w:rStyle w:val="Hyperlink"/>
          </w:rPr>
          <w:t>252.215-7007</w:t>
        </w:r>
      </w:hyperlink>
      <w:r w:rsidRPr="008262D3">
        <w:t>, Notice of Intent to Resolicit, and</w:t>
      </w:r>
      <w:r>
        <w:t xml:space="preserve"> </w:t>
      </w:r>
    </w:p>
    <w:p w14:paraId="3034964C" w14:textId="77777777" w:rsidR="006E2D94" w:rsidRPr="001C6AD4" w:rsidRDefault="00D77FD3" w:rsidP="001C6AD4">
      <w:hyperlink r:id="rId9" w:anchor="252.215-7008" w:history="1">
        <w:r w:rsidR="006E2D94" w:rsidRPr="001C6AD4">
          <w:rPr>
            <w:rStyle w:val="Hyperlink"/>
          </w:rPr>
          <w:t>252.215-7008</w:t>
        </w:r>
      </w:hyperlink>
      <w:r w:rsidR="006E2D94" w:rsidRPr="001C6AD4">
        <w:t xml:space="preserve">, Only One Offer, as prescribed at </w:t>
      </w:r>
      <w:hyperlink r:id="rId10" w:anchor="215.371-6" w:history="1">
        <w:r w:rsidR="006E2D94" w:rsidRPr="001C6AD4">
          <w:rPr>
            <w:rStyle w:val="Hyperlink"/>
          </w:rPr>
          <w:t>215.371-6</w:t>
        </w:r>
      </w:hyperlink>
      <w:r w:rsidR="006E2D94" w:rsidRPr="001C6AD4">
        <w:t xml:space="preserve"> and </w:t>
      </w:r>
      <w:hyperlink r:id="rId11" w:anchor="215.408" w:history="1">
        <w:r w:rsidR="006E2D94" w:rsidRPr="001C6AD4">
          <w:rPr>
            <w:rStyle w:val="Hyperlink"/>
          </w:rPr>
          <w:t>215.408</w:t>
        </w:r>
      </w:hyperlink>
      <w:r w:rsidR="006E2D94" w:rsidRPr="001C6AD4">
        <w:t>(3), respectively.</w:t>
      </w:r>
    </w:p>
    <w:p w14:paraId="6C76B959" w14:textId="77777777" w:rsidR="006E2D94" w:rsidRDefault="006E2D94" w:rsidP="001C6AD4">
      <w:pPr>
        <w:pStyle w:val="Heading3"/>
      </w:pPr>
      <w:r>
        <w:br/>
      </w:r>
      <w:bookmarkStart w:id="14" w:name="_Toc37345350"/>
      <w:bookmarkStart w:id="15" w:name="_Toc37675947"/>
      <w:bookmarkStart w:id="16" w:name="_Toc37676563"/>
      <w:bookmarkStart w:id="17" w:name="_Toc37754381"/>
      <w:proofErr w:type="gramStart"/>
      <w:r w:rsidRPr="000A7B98">
        <w:t>214</w:t>
      </w:r>
      <w:r>
        <w:t>.</w:t>
      </w:r>
      <w:r w:rsidRPr="000A7B98">
        <w:t>202</w:t>
      </w:r>
      <w:r>
        <w:t xml:space="preserve">  </w:t>
      </w:r>
      <w:r w:rsidRPr="000A7B98">
        <w:t>General</w:t>
      </w:r>
      <w:proofErr w:type="gramEnd"/>
      <w:r>
        <w:t xml:space="preserve"> </w:t>
      </w:r>
      <w:r w:rsidRPr="000A7B98">
        <w:t>rules</w:t>
      </w:r>
      <w:r>
        <w:t xml:space="preserve"> </w:t>
      </w:r>
      <w:r w:rsidRPr="000A7B98">
        <w:t>for</w:t>
      </w:r>
      <w:r>
        <w:t xml:space="preserve"> </w:t>
      </w:r>
      <w:r w:rsidRPr="000A7B98">
        <w:t>solicitation</w:t>
      </w:r>
      <w:r>
        <w:t xml:space="preserve"> </w:t>
      </w:r>
      <w:r w:rsidRPr="000A7B98">
        <w:t>of</w:t>
      </w:r>
      <w:r>
        <w:t xml:space="preserve"> </w:t>
      </w:r>
      <w:r w:rsidRPr="000A7B98">
        <w:t>bids</w:t>
      </w:r>
      <w:r>
        <w:t>.</w:t>
      </w:r>
      <w:bookmarkEnd w:id="14"/>
      <w:bookmarkEnd w:id="15"/>
      <w:bookmarkEnd w:id="16"/>
      <w:bookmarkEnd w:id="17"/>
    </w:p>
    <w:p w14:paraId="21B18013" w14:textId="77777777" w:rsidR="006E2D94" w:rsidRDefault="006E2D94" w:rsidP="001C6AD4">
      <w:pPr>
        <w:pStyle w:val="Heading4"/>
      </w:pPr>
      <w:r>
        <w:br/>
      </w:r>
      <w:bookmarkStart w:id="18" w:name="_Toc37675948"/>
      <w:bookmarkStart w:id="19" w:name="_Toc37676564"/>
      <w:bookmarkStart w:id="20" w:name="_Toc37754382"/>
      <w:r w:rsidRPr="00F527A2">
        <w:t>214</w:t>
      </w:r>
      <w:r>
        <w:t>.</w:t>
      </w:r>
      <w:r w:rsidRPr="00F527A2">
        <w:t>202</w:t>
      </w:r>
      <w:r>
        <w:t>-</w:t>
      </w:r>
      <w:proofErr w:type="gramStart"/>
      <w:r w:rsidRPr="00F527A2">
        <w:t>5</w:t>
      </w:r>
      <w:r>
        <w:t xml:space="preserve">  </w:t>
      </w:r>
      <w:r w:rsidRPr="00F527A2">
        <w:t>Descriptive</w:t>
      </w:r>
      <w:proofErr w:type="gramEnd"/>
      <w:r>
        <w:t xml:space="preserve"> </w:t>
      </w:r>
      <w:r w:rsidRPr="00F527A2">
        <w:t>literature</w:t>
      </w:r>
      <w:r>
        <w:t>.</w:t>
      </w:r>
      <w:bookmarkEnd w:id="18"/>
      <w:bookmarkEnd w:id="19"/>
      <w:bookmarkEnd w:id="20"/>
    </w:p>
    <w:p w14:paraId="318B0C61" w14:textId="77777777" w:rsidR="006E2D94" w:rsidRDefault="006E2D94" w:rsidP="00325CD8">
      <w:pPr>
        <w:pStyle w:val="List1"/>
      </w:pPr>
      <w:r>
        <w:rPr>
          <w:b/>
        </w:rPr>
        <w:br/>
      </w:r>
      <w:r>
        <w:t xml:space="preserve">(c)  </w:t>
      </w:r>
      <w:r>
        <w:rPr>
          <w:i/>
        </w:rPr>
        <w:t>Requirements of invitation for bids.</w:t>
      </w:r>
      <w:r>
        <w:t xml:space="preserve">  When brand name or equal purchase descriptions are used, use of the provision at FAR 52.211-6, Brand Name or Equal, satisfies this requirement.</w:t>
      </w:r>
    </w:p>
    <w:p w14:paraId="3E66B6E9" w14:textId="77777777" w:rsidR="006E2D94" w:rsidRDefault="006E2D94" w:rsidP="001C6AD4">
      <w:pPr>
        <w:pStyle w:val="Heading3"/>
      </w:pPr>
      <w:r>
        <w:br/>
      </w:r>
      <w:bookmarkStart w:id="21" w:name="_Toc37345351"/>
      <w:bookmarkStart w:id="22" w:name="_Toc37675949"/>
      <w:bookmarkStart w:id="23" w:name="_Toc37676565"/>
      <w:bookmarkStart w:id="24" w:name="_Toc37754383"/>
      <w:proofErr w:type="gramStart"/>
      <w:r w:rsidRPr="000A7B98">
        <w:t>214</w:t>
      </w:r>
      <w:r w:rsidRPr="00095445">
        <w:t>.</w:t>
      </w:r>
      <w:r w:rsidRPr="000A7B98">
        <w:t>209</w:t>
      </w:r>
      <w:r w:rsidRPr="00095445">
        <w:t xml:space="preserve">  </w:t>
      </w:r>
      <w:r w:rsidRPr="000A7B98">
        <w:t>Cancellation</w:t>
      </w:r>
      <w:proofErr w:type="gramEnd"/>
      <w:r w:rsidRPr="00095445">
        <w:t xml:space="preserve"> </w:t>
      </w:r>
      <w:r w:rsidRPr="000A7B98">
        <w:t>of</w:t>
      </w:r>
      <w:r w:rsidRPr="00095445">
        <w:t xml:space="preserve"> </w:t>
      </w:r>
      <w:r w:rsidRPr="000A7B98">
        <w:t>invitations</w:t>
      </w:r>
      <w:r w:rsidRPr="00095445">
        <w:t xml:space="preserve"> </w:t>
      </w:r>
      <w:r w:rsidRPr="000A7B98">
        <w:t>before</w:t>
      </w:r>
      <w:r w:rsidRPr="00095445">
        <w:t xml:space="preserve"> </w:t>
      </w:r>
      <w:r w:rsidRPr="000A7B98">
        <w:t>opening</w:t>
      </w:r>
      <w:r>
        <w:t>.</w:t>
      </w:r>
      <w:bookmarkEnd w:id="21"/>
      <w:bookmarkEnd w:id="22"/>
      <w:bookmarkEnd w:id="23"/>
      <w:bookmarkEnd w:id="24"/>
    </w:p>
    <w:p w14:paraId="0583E20A" w14:textId="77777777" w:rsidR="006E2D94" w:rsidRPr="001C6AD4" w:rsidRDefault="006E2D94" w:rsidP="001C6AD4">
      <w:r w:rsidRPr="001C6AD4">
        <w:t xml:space="preserve">If an invitation for bids allowed fewer than 30 days for receipt of offers, and resulted in only one offer, the contracting officer shall cancel and resolicit, allowing an additional period of at least 30 days for receipt of offers, as provided in </w:t>
      </w:r>
      <w:hyperlink r:id="rId12" w:anchor="215.371" w:history="1">
        <w:r w:rsidRPr="001C6AD4">
          <w:rPr>
            <w:rStyle w:val="Hyperlink"/>
          </w:rPr>
          <w:t>215.371</w:t>
        </w:r>
      </w:hyperlink>
      <w:r w:rsidRPr="001C6AD4">
        <w:t>.</w:t>
      </w:r>
      <w:bookmarkEnd w:id="6"/>
    </w:p>
    <w:p w14:paraId="2F83417F" w14:textId="77777777" w:rsidR="006E2D94" w:rsidRPr="001C6AD4" w:rsidRDefault="006E2D94" w:rsidP="001C6AD4">
      <w:r w:rsidRPr="001C6AD4">
        <w:br/>
      </w:r>
    </w:p>
    <w:p w14:paraId="597470E3" w14:textId="77777777" w:rsidR="006E2D94" w:rsidRDefault="006E2D94">
      <w:pPr>
        <w:sectPr w:rsidR="006E2D94" w:rsidSect="0032611C">
          <w:headerReference w:type="even" r:id="rId13"/>
          <w:headerReference w:type="default" r:id="rId14"/>
          <w:footerReference w:type="even" r:id="rId15"/>
          <w:footerReference w:type="default" r:id="rId16"/>
          <w:pgSz w:w="12240" w:h="15840"/>
          <w:pgMar w:top="1440" w:right="1440" w:bottom="1440" w:left="1440" w:header="720" w:footer="720" w:gutter="0"/>
          <w:cols w:space="720"/>
          <w:docGrid w:linePitch="360"/>
        </w:sectPr>
      </w:pPr>
    </w:p>
    <w:p w14:paraId="631BA6CE" w14:textId="77777777" w:rsidR="006E2D94" w:rsidRPr="004D7097" w:rsidRDefault="006E2D94" w:rsidP="004D7097">
      <w:pPr>
        <w:pStyle w:val="Heading2"/>
      </w:pPr>
      <w:bookmarkStart w:id="25" w:name="_Toc37345352"/>
      <w:bookmarkStart w:id="26" w:name="_Toc37675950"/>
      <w:bookmarkStart w:id="27" w:name="_Toc37676566"/>
      <w:bookmarkStart w:id="28" w:name="BM214_4"/>
      <w:bookmarkStart w:id="29" w:name="_Toc37754384"/>
      <w:r w:rsidRPr="004D7097">
        <w:rPr>
          <w:caps/>
        </w:rPr>
        <w:lastRenderedPageBreak/>
        <w:t>subpart 214.4--opening of bids and award of contract</w:t>
      </w:r>
      <w:bookmarkEnd w:id="25"/>
      <w:bookmarkEnd w:id="26"/>
      <w:bookmarkEnd w:id="27"/>
      <w:bookmarkEnd w:id="29"/>
    </w:p>
    <w:p w14:paraId="36DB0DB8" w14:textId="77777777" w:rsidR="006E2D94" w:rsidRPr="0082323D" w:rsidRDefault="006E2D94" w:rsidP="004D7097">
      <w:pPr>
        <w:jc w:val="center"/>
      </w:pPr>
      <w:r w:rsidRPr="0082323D">
        <w:rPr>
          <w:i/>
        </w:rPr>
        <w:t>(Revised June 29, 2012)</w:t>
      </w:r>
    </w:p>
    <w:p w14:paraId="0CAA205E" w14:textId="77777777" w:rsidR="006E2D94" w:rsidRDefault="006E2D94" w:rsidP="0082323D">
      <w:pPr>
        <w:pStyle w:val="Heading3"/>
      </w:pPr>
      <w:r>
        <w:rPr>
          <w:i/>
        </w:rPr>
        <w:br/>
      </w:r>
      <w:bookmarkStart w:id="30" w:name="_Toc37345353"/>
      <w:bookmarkStart w:id="31" w:name="_Toc37675951"/>
      <w:bookmarkStart w:id="32" w:name="_Toc37676567"/>
      <w:bookmarkStart w:id="33" w:name="_Toc37754385"/>
      <w:proofErr w:type="gramStart"/>
      <w:r w:rsidRPr="0084719D">
        <w:t>214</w:t>
      </w:r>
      <w:r>
        <w:t>.</w:t>
      </w:r>
      <w:r w:rsidRPr="0084719D">
        <w:t>404</w:t>
      </w:r>
      <w:r>
        <w:t xml:space="preserve">  </w:t>
      </w:r>
      <w:r w:rsidRPr="0084719D">
        <w:t>Rejection</w:t>
      </w:r>
      <w:proofErr w:type="gramEnd"/>
      <w:r>
        <w:t xml:space="preserve"> </w:t>
      </w:r>
      <w:r w:rsidRPr="0084719D">
        <w:t>of</w:t>
      </w:r>
      <w:r>
        <w:t xml:space="preserve"> </w:t>
      </w:r>
      <w:r w:rsidRPr="0084719D">
        <w:t>bids</w:t>
      </w:r>
      <w:r>
        <w:t>.</w:t>
      </w:r>
      <w:bookmarkEnd w:id="30"/>
      <w:bookmarkEnd w:id="31"/>
      <w:bookmarkEnd w:id="32"/>
      <w:bookmarkEnd w:id="33"/>
    </w:p>
    <w:p w14:paraId="75A8656D" w14:textId="77777777" w:rsidR="006E2D94" w:rsidRDefault="006E2D94" w:rsidP="0082323D">
      <w:pPr>
        <w:pStyle w:val="Heading4"/>
      </w:pPr>
      <w:r>
        <w:rPr>
          <w:b w:val="0"/>
        </w:rPr>
        <w:br/>
      </w:r>
      <w:bookmarkStart w:id="34" w:name="_Toc37675952"/>
      <w:bookmarkStart w:id="35" w:name="_Toc37676568"/>
      <w:bookmarkStart w:id="36" w:name="_Toc37754386"/>
      <w:r w:rsidRPr="00235E22">
        <w:t>214</w:t>
      </w:r>
      <w:r>
        <w:t>.</w:t>
      </w:r>
      <w:r w:rsidRPr="00235E22">
        <w:t>404</w:t>
      </w:r>
      <w:r>
        <w:t>-</w:t>
      </w:r>
      <w:proofErr w:type="gramStart"/>
      <w:r w:rsidRPr="00235E22">
        <w:t>1</w:t>
      </w:r>
      <w:r>
        <w:t xml:space="preserve">  </w:t>
      </w:r>
      <w:r w:rsidRPr="00235E22">
        <w:t>Cancellation</w:t>
      </w:r>
      <w:proofErr w:type="gramEnd"/>
      <w:r>
        <w:t xml:space="preserve"> </w:t>
      </w:r>
      <w:r w:rsidRPr="00235E22">
        <w:t>of</w:t>
      </w:r>
      <w:r>
        <w:t xml:space="preserve"> </w:t>
      </w:r>
      <w:r w:rsidRPr="00235E22">
        <w:t>invitations</w:t>
      </w:r>
      <w:r>
        <w:t xml:space="preserve"> </w:t>
      </w:r>
      <w:r w:rsidRPr="00235E22">
        <w:t>after</w:t>
      </w:r>
      <w:r>
        <w:t xml:space="preserve"> </w:t>
      </w:r>
      <w:r w:rsidRPr="00235E22">
        <w:t>opening</w:t>
      </w:r>
      <w:r>
        <w:t>.</w:t>
      </w:r>
      <w:bookmarkEnd w:id="34"/>
      <w:bookmarkEnd w:id="35"/>
      <w:bookmarkEnd w:id="36"/>
    </w:p>
    <w:p w14:paraId="5847F80A" w14:textId="77777777" w:rsidR="006E2D94" w:rsidRDefault="006E2D94" w:rsidP="0082323D">
      <w:pPr>
        <w:pStyle w:val="List2"/>
      </w:pPr>
      <w:r>
        <w:rPr>
          <w:b/>
        </w:rPr>
        <w:br/>
      </w:r>
      <w:r w:rsidRPr="002B7037">
        <w:t>(1)</w:t>
      </w:r>
      <w:r>
        <w:rPr>
          <w:b/>
        </w:rPr>
        <w:t xml:space="preserve">  </w:t>
      </w:r>
      <w:r>
        <w:t xml:space="preserve">The contracting officer shall make the written determinations required by FAR 14.404-1(c) </w:t>
      </w:r>
      <w:r w:rsidRPr="0007790E">
        <w:t>and (e)(1).</w:t>
      </w:r>
    </w:p>
    <w:p w14:paraId="5C0371C5" w14:textId="77777777" w:rsidR="006E2D94" w:rsidRDefault="006E2D94" w:rsidP="0082323D">
      <w:pPr>
        <w:pStyle w:val="List2"/>
      </w:pPr>
      <w:r>
        <w:br/>
      </w:r>
      <w:r w:rsidRPr="002B7037">
        <w:t xml:space="preserve">(2)  If only one offer is received, follow the procedures at </w:t>
      </w:r>
      <w:hyperlink r:id="rId17" w:anchor="215.370" w:history="1">
        <w:r w:rsidRPr="00D11DE6">
          <w:rPr>
            <w:rStyle w:val="Hyperlink"/>
          </w:rPr>
          <w:t>215.371</w:t>
        </w:r>
      </w:hyperlink>
      <w:r w:rsidRPr="002B7037">
        <w:t>, in lieu of the procedures at FAR 14.404-1(f).</w:t>
      </w:r>
      <w:r>
        <w:t xml:space="preserve">  </w:t>
      </w:r>
      <w:r w:rsidRPr="002B7037">
        <w:t xml:space="preserve"> </w:t>
      </w:r>
    </w:p>
    <w:p w14:paraId="0B30801D" w14:textId="77777777" w:rsidR="006E2D94" w:rsidRDefault="006E2D94" w:rsidP="0082323D">
      <w:pPr>
        <w:pStyle w:val="Heading3"/>
      </w:pPr>
      <w:r>
        <w:br/>
      </w:r>
      <w:bookmarkStart w:id="37" w:name="_Toc37345354"/>
      <w:bookmarkStart w:id="38" w:name="_Toc37675953"/>
      <w:bookmarkStart w:id="39" w:name="_Toc37676569"/>
      <w:bookmarkStart w:id="40" w:name="_Toc37754387"/>
      <w:proofErr w:type="gramStart"/>
      <w:r w:rsidRPr="0084719D">
        <w:t>214</w:t>
      </w:r>
      <w:r>
        <w:t>.</w:t>
      </w:r>
      <w:r w:rsidRPr="0084719D">
        <w:t>407</w:t>
      </w:r>
      <w:r>
        <w:t xml:space="preserve">  </w:t>
      </w:r>
      <w:r w:rsidRPr="0084719D">
        <w:t>Mistakes</w:t>
      </w:r>
      <w:proofErr w:type="gramEnd"/>
      <w:r>
        <w:t xml:space="preserve"> </w:t>
      </w:r>
      <w:r w:rsidRPr="0084719D">
        <w:t>in</w:t>
      </w:r>
      <w:r>
        <w:t xml:space="preserve"> </w:t>
      </w:r>
      <w:r w:rsidRPr="0084719D">
        <w:t>bids</w:t>
      </w:r>
      <w:r>
        <w:t>.</w:t>
      </w:r>
      <w:bookmarkEnd w:id="37"/>
      <w:bookmarkEnd w:id="38"/>
      <w:bookmarkEnd w:id="39"/>
      <w:bookmarkEnd w:id="40"/>
    </w:p>
    <w:p w14:paraId="5EAFA170" w14:textId="77777777" w:rsidR="006E2D94" w:rsidRDefault="006E2D94" w:rsidP="0082323D">
      <w:pPr>
        <w:pStyle w:val="Heading4"/>
      </w:pPr>
      <w:r>
        <w:rPr>
          <w:b w:val="0"/>
        </w:rPr>
        <w:br/>
      </w:r>
      <w:bookmarkStart w:id="41" w:name="_Toc37675954"/>
      <w:bookmarkStart w:id="42" w:name="_Toc37676570"/>
      <w:bookmarkStart w:id="43" w:name="_Toc37754388"/>
      <w:r w:rsidRPr="00235E22">
        <w:t>214</w:t>
      </w:r>
      <w:r>
        <w:t>.</w:t>
      </w:r>
      <w:r w:rsidRPr="00235E22">
        <w:t>407</w:t>
      </w:r>
      <w:r>
        <w:t>-</w:t>
      </w:r>
      <w:proofErr w:type="gramStart"/>
      <w:r w:rsidRPr="00235E22">
        <w:t>3</w:t>
      </w:r>
      <w:r>
        <w:t xml:space="preserve">  </w:t>
      </w:r>
      <w:r w:rsidRPr="00235E22">
        <w:t>Other</w:t>
      </w:r>
      <w:proofErr w:type="gramEnd"/>
      <w:r>
        <w:t xml:space="preserve"> </w:t>
      </w:r>
      <w:r w:rsidRPr="00235E22">
        <w:t>mistakes</w:t>
      </w:r>
      <w:r>
        <w:t xml:space="preserve"> </w:t>
      </w:r>
      <w:r w:rsidRPr="00235E22">
        <w:t>disclosed</w:t>
      </w:r>
      <w:r>
        <w:t xml:space="preserve"> </w:t>
      </w:r>
      <w:r w:rsidRPr="00235E22">
        <w:t>before</w:t>
      </w:r>
      <w:r>
        <w:t xml:space="preserve"> </w:t>
      </w:r>
      <w:r w:rsidRPr="00235E22">
        <w:t>award</w:t>
      </w:r>
      <w:r>
        <w:t>.</w:t>
      </w:r>
      <w:bookmarkEnd w:id="41"/>
      <w:bookmarkEnd w:id="42"/>
      <w:bookmarkEnd w:id="43"/>
    </w:p>
    <w:p w14:paraId="12D13BC7" w14:textId="77777777" w:rsidR="006E2D94" w:rsidRDefault="006E2D94" w:rsidP="00325CD8">
      <w:pPr>
        <w:pStyle w:val="List1"/>
      </w:pPr>
      <w:r>
        <w:rPr>
          <w:b/>
        </w:rPr>
        <w:br/>
      </w:r>
      <w:r>
        <w:t xml:space="preserve">(e)  Authority for </w:t>
      </w:r>
      <w:proofErr w:type="gramStart"/>
      <w:r>
        <w:t>making a determination</w:t>
      </w:r>
      <w:proofErr w:type="gramEnd"/>
      <w:r>
        <w:t xml:space="preserve"> under FAR 14.407-3(a), (b), and (d) is delegated for the defense agencies, without power of redelegation, as follows:</w:t>
      </w:r>
    </w:p>
    <w:p w14:paraId="7FEEFEF5" w14:textId="77777777" w:rsidR="006E2D94" w:rsidRPr="0082323D" w:rsidRDefault="006E2D94" w:rsidP="0082323D"/>
    <w:tbl>
      <w:tblPr>
        <w:tblW w:w="0" w:type="auto"/>
        <w:tblInd w:w="738" w:type="dxa"/>
        <w:tblLayout w:type="fixed"/>
        <w:tblLook w:val="0000" w:firstRow="0" w:lastRow="0" w:firstColumn="0" w:lastColumn="0" w:noHBand="0" w:noVBand="0"/>
      </w:tblPr>
      <w:tblGrid>
        <w:gridCol w:w="727"/>
        <w:gridCol w:w="6383"/>
      </w:tblGrid>
      <w:tr w:rsidR="006E2D94" w:rsidRPr="0082323D" w14:paraId="0C04A480" w14:textId="77777777">
        <w:tc>
          <w:tcPr>
            <w:tcW w:w="727" w:type="dxa"/>
          </w:tcPr>
          <w:p w14:paraId="0EB7E9A7" w14:textId="77777777" w:rsidR="006E2D94" w:rsidRPr="0082323D" w:rsidRDefault="006E2D94" w:rsidP="0082323D">
            <w:r w:rsidRPr="0082323D">
              <w:rPr>
                <w:sz w:val="20"/>
              </w:rPr>
              <w:t>(</w:t>
            </w:r>
            <w:proofErr w:type="spellStart"/>
            <w:r w:rsidRPr="0082323D">
              <w:rPr>
                <w:sz w:val="20"/>
              </w:rPr>
              <w:t>i</w:t>
            </w:r>
            <w:proofErr w:type="spellEnd"/>
            <w:r w:rsidRPr="0082323D">
              <w:rPr>
                <w:sz w:val="20"/>
              </w:rPr>
              <w:t>)</w:t>
            </w:r>
          </w:p>
        </w:tc>
        <w:tc>
          <w:tcPr>
            <w:tcW w:w="6383" w:type="dxa"/>
          </w:tcPr>
          <w:p w14:paraId="408B6DD4" w14:textId="77777777" w:rsidR="006E2D94" w:rsidRPr="0082323D" w:rsidRDefault="006E2D94" w:rsidP="0082323D">
            <w:r w:rsidRPr="0082323D">
              <w:rPr>
                <w:sz w:val="20"/>
              </w:rPr>
              <w:t>Defense Advanced Research Projects Agency:</w:t>
            </w:r>
          </w:p>
          <w:p w14:paraId="400146C4" w14:textId="77777777" w:rsidR="006E2D94" w:rsidRPr="0082323D" w:rsidRDefault="006E2D94" w:rsidP="0082323D">
            <w:r w:rsidRPr="0082323D">
              <w:t>General Counsel, DARPA.</w:t>
            </w:r>
          </w:p>
        </w:tc>
      </w:tr>
      <w:tr w:rsidR="006E2D94" w:rsidRPr="0082323D" w14:paraId="76B36FEB" w14:textId="77777777">
        <w:tc>
          <w:tcPr>
            <w:tcW w:w="727" w:type="dxa"/>
          </w:tcPr>
          <w:p w14:paraId="29276711" w14:textId="77777777" w:rsidR="006E2D94" w:rsidRPr="0082323D" w:rsidRDefault="006E2D94" w:rsidP="00F216D8">
            <w:pPr>
              <w:pStyle w:val="DFARS"/>
              <w:rPr>
                <w:sz w:val="20"/>
              </w:rPr>
            </w:pPr>
          </w:p>
        </w:tc>
        <w:tc>
          <w:tcPr>
            <w:tcW w:w="6383" w:type="dxa"/>
          </w:tcPr>
          <w:p w14:paraId="67A9C33A" w14:textId="77777777" w:rsidR="006E2D94" w:rsidRPr="0082323D" w:rsidRDefault="006E2D94" w:rsidP="0082323D"/>
        </w:tc>
      </w:tr>
      <w:tr w:rsidR="006E2D94" w:rsidRPr="0082323D" w14:paraId="048FB8D1" w14:textId="77777777">
        <w:tc>
          <w:tcPr>
            <w:tcW w:w="727" w:type="dxa"/>
          </w:tcPr>
          <w:p w14:paraId="5CD98122" w14:textId="77777777" w:rsidR="006E2D94" w:rsidRPr="0082323D" w:rsidRDefault="006E2D94" w:rsidP="0082323D">
            <w:r w:rsidRPr="0082323D">
              <w:rPr>
                <w:sz w:val="20"/>
              </w:rPr>
              <w:t>(ii)</w:t>
            </w:r>
          </w:p>
        </w:tc>
        <w:tc>
          <w:tcPr>
            <w:tcW w:w="6383" w:type="dxa"/>
          </w:tcPr>
          <w:p w14:paraId="1F3BCB72" w14:textId="77777777" w:rsidR="006E2D94" w:rsidRPr="0082323D" w:rsidRDefault="006E2D94" w:rsidP="0082323D">
            <w:r w:rsidRPr="0082323D">
              <w:rPr>
                <w:sz w:val="20"/>
              </w:rPr>
              <w:t>Defense Information Systems Agency:</w:t>
            </w:r>
          </w:p>
          <w:p w14:paraId="53F8A2F0" w14:textId="77777777" w:rsidR="006E2D94" w:rsidRPr="0082323D" w:rsidRDefault="006E2D94" w:rsidP="0082323D">
            <w:r w:rsidRPr="0082323D">
              <w:t>General Counsel, DISA.</w:t>
            </w:r>
          </w:p>
        </w:tc>
      </w:tr>
      <w:tr w:rsidR="006E2D94" w:rsidRPr="0082323D" w14:paraId="5437B00C" w14:textId="77777777">
        <w:tc>
          <w:tcPr>
            <w:tcW w:w="727" w:type="dxa"/>
          </w:tcPr>
          <w:p w14:paraId="18B1E56C" w14:textId="77777777" w:rsidR="006E2D94" w:rsidRPr="0082323D" w:rsidRDefault="006E2D94" w:rsidP="00F216D8">
            <w:pPr>
              <w:pStyle w:val="DFARS"/>
              <w:rPr>
                <w:sz w:val="20"/>
              </w:rPr>
            </w:pPr>
          </w:p>
        </w:tc>
        <w:tc>
          <w:tcPr>
            <w:tcW w:w="6383" w:type="dxa"/>
          </w:tcPr>
          <w:p w14:paraId="7BBB1C40" w14:textId="77777777" w:rsidR="006E2D94" w:rsidRPr="0082323D" w:rsidRDefault="006E2D94" w:rsidP="0082323D"/>
        </w:tc>
      </w:tr>
      <w:tr w:rsidR="006E2D94" w:rsidRPr="0082323D" w14:paraId="254A6793" w14:textId="77777777">
        <w:tc>
          <w:tcPr>
            <w:tcW w:w="727" w:type="dxa"/>
          </w:tcPr>
          <w:p w14:paraId="77698C4E" w14:textId="77777777" w:rsidR="006E2D94" w:rsidRPr="0082323D" w:rsidRDefault="006E2D94" w:rsidP="0082323D">
            <w:r w:rsidRPr="0082323D">
              <w:rPr>
                <w:sz w:val="20"/>
              </w:rPr>
              <w:t>(iii)</w:t>
            </w:r>
          </w:p>
        </w:tc>
        <w:tc>
          <w:tcPr>
            <w:tcW w:w="6383" w:type="dxa"/>
          </w:tcPr>
          <w:p w14:paraId="27388546" w14:textId="77777777" w:rsidR="006E2D94" w:rsidRPr="0082323D" w:rsidRDefault="006E2D94" w:rsidP="0082323D">
            <w:r w:rsidRPr="0082323D">
              <w:rPr>
                <w:sz w:val="20"/>
              </w:rPr>
              <w:t>Defense Intelligence Agency:</w:t>
            </w:r>
          </w:p>
          <w:p w14:paraId="3E5D8880" w14:textId="77777777" w:rsidR="006E2D94" w:rsidRPr="0082323D" w:rsidRDefault="006E2D94" w:rsidP="0082323D">
            <w:r w:rsidRPr="0082323D">
              <w:t>Principal Assistant for Acquisition.</w:t>
            </w:r>
          </w:p>
        </w:tc>
      </w:tr>
      <w:tr w:rsidR="006E2D94" w:rsidRPr="0082323D" w14:paraId="6239BD93" w14:textId="77777777">
        <w:tc>
          <w:tcPr>
            <w:tcW w:w="727" w:type="dxa"/>
          </w:tcPr>
          <w:p w14:paraId="32743A69" w14:textId="77777777" w:rsidR="006E2D94" w:rsidRPr="0082323D" w:rsidRDefault="006E2D94" w:rsidP="00F216D8">
            <w:pPr>
              <w:pStyle w:val="DFARS"/>
              <w:rPr>
                <w:sz w:val="20"/>
              </w:rPr>
            </w:pPr>
          </w:p>
        </w:tc>
        <w:tc>
          <w:tcPr>
            <w:tcW w:w="6383" w:type="dxa"/>
          </w:tcPr>
          <w:p w14:paraId="2FF196FA" w14:textId="77777777" w:rsidR="006E2D94" w:rsidRPr="0082323D" w:rsidRDefault="006E2D94" w:rsidP="0082323D"/>
        </w:tc>
      </w:tr>
      <w:tr w:rsidR="006E2D94" w:rsidRPr="0082323D" w14:paraId="26B36389" w14:textId="77777777">
        <w:tc>
          <w:tcPr>
            <w:tcW w:w="727" w:type="dxa"/>
          </w:tcPr>
          <w:p w14:paraId="5C2A988D" w14:textId="77777777" w:rsidR="006E2D94" w:rsidRPr="0082323D" w:rsidRDefault="006E2D94" w:rsidP="0082323D">
            <w:r w:rsidRPr="0082323D">
              <w:rPr>
                <w:sz w:val="20"/>
              </w:rPr>
              <w:t>(iv)</w:t>
            </w:r>
          </w:p>
        </w:tc>
        <w:tc>
          <w:tcPr>
            <w:tcW w:w="6383" w:type="dxa"/>
          </w:tcPr>
          <w:p w14:paraId="692B457E" w14:textId="77777777" w:rsidR="006E2D94" w:rsidRPr="0082323D" w:rsidRDefault="006E2D94" w:rsidP="0082323D">
            <w:r w:rsidRPr="0082323D">
              <w:rPr>
                <w:sz w:val="20"/>
              </w:rPr>
              <w:t>Defense Logistics Agency:</w:t>
            </w:r>
          </w:p>
          <w:p w14:paraId="3C15DEAC" w14:textId="77777777" w:rsidR="006E2D94" w:rsidRPr="0082323D" w:rsidRDefault="006E2D94" w:rsidP="0082323D">
            <w:pPr>
              <w:pStyle w:val="List4"/>
            </w:pPr>
            <w:r w:rsidRPr="0082323D">
              <w:rPr>
                <w:sz w:val="20"/>
              </w:rPr>
              <w:br/>
              <w:t>(A)  General Counsel, DLA; and</w:t>
            </w:r>
          </w:p>
          <w:p w14:paraId="2E0C358A" w14:textId="77777777" w:rsidR="006E2D94" w:rsidRPr="0082323D" w:rsidRDefault="006E2D94" w:rsidP="0082323D">
            <w:pPr>
              <w:pStyle w:val="List4"/>
            </w:pPr>
            <w:r w:rsidRPr="0082323D">
              <w:rPr>
                <w:sz w:val="20"/>
              </w:rPr>
              <w:br/>
              <w:t>(B)  Associate General Counsel, DLA.</w:t>
            </w:r>
          </w:p>
          <w:p w14:paraId="256ECCCC" w14:textId="77777777" w:rsidR="006E2D94" w:rsidRPr="0082323D" w:rsidRDefault="006E2D94" w:rsidP="0082323D"/>
        </w:tc>
      </w:tr>
      <w:tr w:rsidR="006E2D94" w:rsidRPr="0082323D" w14:paraId="084D78CE" w14:textId="77777777">
        <w:tc>
          <w:tcPr>
            <w:tcW w:w="727" w:type="dxa"/>
          </w:tcPr>
          <w:p w14:paraId="4AFE45CD" w14:textId="77777777" w:rsidR="006E2D94" w:rsidRPr="0082323D" w:rsidRDefault="006E2D94" w:rsidP="0082323D">
            <w:r w:rsidRPr="0082323D">
              <w:rPr>
                <w:sz w:val="20"/>
              </w:rPr>
              <w:lastRenderedPageBreak/>
              <w:t>(v)</w:t>
            </w:r>
          </w:p>
        </w:tc>
        <w:tc>
          <w:tcPr>
            <w:tcW w:w="6383" w:type="dxa"/>
          </w:tcPr>
          <w:p w14:paraId="17C8AACF" w14:textId="77777777" w:rsidR="006E2D94" w:rsidRPr="0082323D" w:rsidRDefault="006E2D94" w:rsidP="0082323D">
            <w:r w:rsidRPr="0082323D">
              <w:rPr>
                <w:sz w:val="20"/>
              </w:rPr>
              <w:t>National Geospatial-Intelligence Agency:</w:t>
            </w:r>
          </w:p>
        </w:tc>
      </w:tr>
      <w:tr w:rsidR="006E2D94" w:rsidRPr="0082323D" w14:paraId="6DAAF3E8" w14:textId="77777777">
        <w:tc>
          <w:tcPr>
            <w:tcW w:w="727" w:type="dxa"/>
          </w:tcPr>
          <w:p w14:paraId="1F2033C1" w14:textId="77777777" w:rsidR="006E2D94" w:rsidRPr="0082323D" w:rsidRDefault="006E2D94" w:rsidP="00F216D8">
            <w:pPr>
              <w:pStyle w:val="DFARS"/>
              <w:rPr>
                <w:sz w:val="20"/>
              </w:rPr>
            </w:pPr>
          </w:p>
        </w:tc>
        <w:tc>
          <w:tcPr>
            <w:tcW w:w="6383" w:type="dxa"/>
          </w:tcPr>
          <w:p w14:paraId="316E4071" w14:textId="77777777" w:rsidR="006E2D94" w:rsidRPr="0082323D" w:rsidRDefault="006E2D94" w:rsidP="0082323D">
            <w:r w:rsidRPr="0082323D">
              <w:rPr>
                <w:sz w:val="20"/>
              </w:rPr>
              <w:t>General Counsel, NGA</w:t>
            </w:r>
          </w:p>
        </w:tc>
      </w:tr>
      <w:tr w:rsidR="006E2D94" w:rsidRPr="0082323D" w14:paraId="01F08F06" w14:textId="77777777">
        <w:tc>
          <w:tcPr>
            <w:tcW w:w="727" w:type="dxa"/>
          </w:tcPr>
          <w:p w14:paraId="525C08B6" w14:textId="77777777" w:rsidR="006E2D94" w:rsidRPr="0082323D" w:rsidRDefault="006E2D94" w:rsidP="00F216D8">
            <w:pPr>
              <w:pStyle w:val="DFARS"/>
              <w:rPr>
                <w:sz w:val="20"/>
              </w:rPr>
            </w:pPr>
          </w:p>
        </w:tc>
        <w:tc>
          <w:tcPr>
            <w:tcW w:w="6383" w:type="dxa"/>
          </w:tcPr>
          <w:p w14:paraId="2FC70AA8" w14:textId="77777777" w:rsidR="006E2D94" w:rsidRPr="0082323D" w:rsidRDefault="006E2D94" w:rsidP="0082323D"/>
        </w:tc>
      </w:tr>
      <w:tr w:rsidR="006E2D94" w:rsidRPr="0082323D" w14:paraId="11CFC3BE" w14:textId="77777777">
        <w:tc>
          <w:tcPr>
            <w:tcW w:w="727" w:type="dxa"/>
          </w:tcPr>
          <w:p w14:paraId="04AB914E" w14:textId="77777777" w:rsidR="006E2D94" w:rsidRPr="0082323D" w:rsidRDefault="006E2D94" w:rsidP="0082323D">
            <w:r w:rsidRPr="0082323D">
              <w:rPr>
                <w:sz w:val="20"/>
              </w:rPr>
              <w:t>(vi)</w:t>
            </w:r>
          </w:p>
        </w:tc>
        <w:tc>
          <w:tcPr>
            <w:tcW w:w="6383" w:type="dxa"/>
          </w:tcPr>
          <w:p w14:paraId="44F212B0" w14:textId="77777777" w:rsidR="006E2D94" w:rsidRPr="0082323D" w:rsidRDefault="006E2D94" w:rsidP="0082323D">
            <w:r w:rsidRPr="0082323D">
              <w:rPr>
                <w:sz w:val="20"/>
              </w:rPr>
              <w:t>Defense Threat Reduction Agency:</w:t>
            </w:r>
          </w:p>
          <w:p w14:paraId="15C3C0FF" w14:textId="77777777" w:rsidR="006E2D94" w:rsidRPr="0082323D" w:rsidRDefault="006E2D94" w:rsidP="0082323D">
            <w:r w:rsidRPr="0082323D">
              <w:t>General Counsel, DTRA.</w:t>
            </w:r>
          </w:p>
        </w:tc>
      </w:tr>
      <w:tr w:rsidR="006E2D94" w:rsidRPr="0082323D" w14:paraId="65FC5B83" w14:textId="77777777">
        <w:tc>
          <w:tcPr>
            <w:tcW w:w="727" w:type="dxa"/>
          </w:tcPr>
          <w:p w14:paraId="6A94FFFA" w14:textId="77777777" w:rsidR="006E2D94" w:rsidRPr="0082323D" w:rsidRDefault="006E2D94" w:rsidP="00F216D8">
            <w:pPr>
              <w:pStyle w:val="DFARS"/>
              <w:rPr>
                <w:sz w:val="20"/>
              </w:rPr>
            </w:pPr>
          </w:p>
        </w:tc>
        <w:tc>
          <w:tcPr>
            <w:tcW w:w="6383" w:type="dxa"/>
          </w:tcPr>
          <w:p w14:paraId="712CFD3F" w14:textId="77777777" w:rsidR="006E2D94" w:rsidRPr="0082323D" w:rsidRDefault="006E2D94" w:rsidP="0082323D"/>
        </w:tc>
      </w:tr>
      <w:tr w:rsidR="006E2D94" w:rsidRPr="0082323D" w14:paraId="6681B8E4" w14:textId="77777777">
        <w:tc>
          <w:tcPr>
            <w:tcW w:w="727" w:type="dxa"/>
          </w:tcPr>
          <w:p w14:paraId="1D4F93B9" w14:textId="77777777" w:rsidR="006E2D94" w:rsidRPr="0082323D" w:rsidRDefault="006E2D94" w:rsidP="0082323D">
            <w:r w:rsidRPr="0082323D">
              <w:rPr>
                <w:sz w:val="20"/>
              </w:rPr>
              <w:t>(vii)</w:t>
            </w:r>
          </w:p>
        </w:tc>
        <w:tc>
          <w:tcPr>
            <w:tcW w:w="6383" w:type="dxa"/>
          </w:tcPr>
          <w:p w14:paraId="10E2DF99" w14:textId="77777777" w:rsidR="006E2D94" w:rsidRPr="0082323D" w:rsidRDefault="006E2D94" w:rsidP="0082323D">
            <w:r w:rsidRPr="0082323D">
              <w:rPr>
                <w:sz w:val="20"/>
              </w:rPr>
              <w:t>National Security Agency:</w:t>
            </w:r>
          </w:p>
          <w:p w14:paraId="6AA8BDAE" w14:textId="77777777" w:rsidR="006E2D94" w:rsidRPr="0082323D" w:rsidRDefault="006E2D94" w:rsidP="0082323D">
            <w:r w:rsidRPr="0082323D">
              <w:t>Director of Procurement, NSA.</w:t>
            </w:r>
          </w:p>
        </w:tc>
      </w:tr>
      <w:tr w:rsidR="006E2D94" w:rsidRPr="0082323D" w14:paraId="5A440024" w14:textId="77777777">
        <w:tc>
          <w:tcPr>
            <w:tcW w:w="727" w:type="dxa"/>
          </w:tcPr>
          <w:p w14:paraId="199EE643" w14:textId="77777777" w:rsidR="006E2D94" w:rsidRPr="0082323D" w:rsidRDefault="006E2D94" w:rsidP="00F216D8">
            <w:pPr>
              <w:pStyle w:val="DFARS"/>
              <w:rPr>
                <w:sz w:val="20"/>
              </w:rPr>
            </w:pPr>
          </w:p>
        </w:tc>
        <w:tc>
          <w:tcPr>
            <w:tcW w:w="6383" w:type="dxa"/>
          </w:tcPr>
          <w:p w14:paraId="7FF44D3C" w14:textId="77777777" w:rsidR="006E2D94" w:rsidRPr="0082323D" w:rsidRDefault="006E2D94" w:rsidP="0082323D"/>
        </w:tc>
      </w:tr>
      <w:tr w:rsidR="006E2D94" w:rsidRPr="0082323D" w14:paraId="3624E8EB" w14:textId="77777777">
        <w:tc>
          <w:tcPr>
            <w:tcW w:w="727" w:type="dxa"/>
          </w:tcPr>
          <w:p w14:paraId="7DC63CF7" w14:textId="77777777" w:rsidR="006E2D94" w:rsidRPr="0082323D" w:rsidRDefault="006E2D94" w:rsidP="0082323D">
            <w:r w:rsidRPr="0082323D">
              <w:rPr>
                <w:sz w:val="20"/>
              </w:rPr>
              <w:t>(viii)</w:t>
            </w:r>
          </w:p>
        </w:tc>
        <w:tc>
          <w:tcPr>
            <w:tcW w:w="6383" w:type="dxa"/>
          </w:tcPr>
          <w:p w14:paraId="391DD268" w14:textId="77777777" w:rsidR="006E2D94" w:rsidRPr="0082323D" w:rsidRDefault="006E2D94" w:rsidP="0082323D">
            <w:r w:rsidRPr="0082323D">
              <w:rPr>
                <w:sz w:val="20"/>
              </w:rPr>
              <w:t>Missile Defense Agency:</w:t>
            </w:r>
          </w:p>
          <w:p w14:paraId="481DB13A" w14:textId="77777777" w:rsidR="006E2D94" w:rsidRPr="0082323D" w:rsidRDefault="006E2D94" w:rsidP="0082323D">
            <w:r w:rsidRPr="0082323D">
              <w:t>General Counsel, MDA.</w:t>
            </w:r>
          </w:p>
        </w:tc>
      </w:tr>
      <w:tr w:rsidR="006E2D94" w:rsidRPr="0082323D" w14:paraId="7B49992D" w14:textId="77777777">
        <w:tc>
          <w:tcPr>
            <w:tcW w:w="727" w:type="dxa"/>
          </w:tcPr>
          <w:p w14:paraId="410859F6" w14:textId="77777777" w:rsidR="006E2D94" w:rsidRPr="0082323D" w:rsidRDefault="006E2D94" w:rsidP="00F216D8">
            <w:pPr>
              <w:pStyle w:val="DFARS"/>
              <w:rPr>
                <w:sz w:val="20"/>
              </w:rPr>
            </w:pPr>
          </w:p>
        </w:tc>
        <w:tc>
          <w:tcPr>
            <w:tcW w:w="6383" w:type="dxa"/>
          </w:tcPr>
          <w:p w14:paraId="786FFCFE" w14:textId="77777777" w:rsidR="006E2D94" w:rsidRPr="0082323D" w:rsidRDefault="006E2D94" w:rsidP="0082323D"/>
        </w:tc>
      </w:tr>
      <w:tr w:rsidR="006E2D94" w:rsidRPr="0082323D" w14:paraId="6F8FDA28" w14:textId="77777777">
        <w:tc>
          <w:tcPr>
            <w:tcW w:w="727" w:type="dxa"/>
          </w:tcPr>
          <w:p w14:paraId="51864BC2" w14:textId="77777777" w:rsidR="006E2D94" w:rsidRPr="0082323D" w:rsidRDefault="006E2D94" w:rsidP="0082323D">
            <w:r w:rsidRPr="0082323D">
              <w:rPr>
                <w:sz w:val="20"/>
              </w:rPr>
              <w:t>(ix)</w:t>
            </w:r>
          </w:p>
        </w:tc>
        <w:tc>
          <w:tcPr>
            <w:tcW w:w="6383" w:type="dxa"/>
          </w:tcPr>
          <w:p w14:paraId="2815276C" w14:textId="77777777" w:rsidR="006E2D94" w:rsidRPr="0082323D" w:rsidRDefault="006E2D94" w:rsidP="0082323D">
            <w:r w:rsidRPr="0082323D">
              <w:rPr>
                <w:sz w:val="20"/>
              </w:rPr>
              <w:t>Defense Contract Management Agency</w:t>
            </w:r>
          </w:p>
          <w:p w14:paraId="4E961AD2" w14:textId="77777777" w:rsidR="006E2D94" w:rsidRPr="0082323D" w:rsidRDefault="006E2D94" w:rsidP="0082323D">
            <w:r w:rsidRPr="0082323D">
              <w:t>General Counsel, DCMA</w:t>
            </w:r>
          </w:p>
        </w:tc>
      </w:tr>
      <w:bookmarkEnd w:id="28"/>
    </w:tbl>
    <w:p w14:paraId="7CB111A3" w14:textId="77777777" w:rsidR="006E2D94" w:rsidRPr="0082323D" w:rsidRDefault="006E2D94" w:rsidP="0082323D"/>
    <w:p w14:paraId="2FFE83A4" w14:textId="77777777" w:rsidR="006E2D94" w:rsidRDefault="006E2D94" w:rsidP="0082323D">
      <w:pPr>
        <w:pStyle w:val="Heading3"/>
      </w:pPr>
      <w:r>
        <w:br/>
      </w:r>
      <w:bookmarkStart w:id="44" w:name="_Toc37345355"/>
      <w:bookmarkStart w:id="45" w:name="_Toc37675955"/>
      <w:bookmarkStart w:id="46" w:name="_Toc37676571"/>
      <w:bookmarkStart w:id="47" w:name="_Toc37754389"/>
      <w:proofErr w:type="gramStart"/>
      <w:r w:rsidRPr="0084719D">
        <w:t>214</w:t>
      </w:r>
      <w:r w:rsidRPr="00556AB8">
        <w:t>.</w:t>
      </w:r>
      <w:r w:rsidRPr="0084719D">
        <w:t>408</w:t>
      </w:r>
      <w:r w:rsidRPr="00556AB8">
        <w:t xml:space="preserve">  </w:t>
      </w:r>
      <w:r w:rsidRPr="0084719D">
        <w:t>Award</w:t>
      </w:r>
      <w:proofErr w:type="gramEnd"/>
      <w:r w:rsidRPr="00556AB8">
        <w:t>.</w:t>
      </w:r>
      <w:bookmarkEnd w:id="44"/>
      <w:bookmarkEnd w:id="45"/>
      <w:bookmarkEnd w:id="46"/>
      <w:bookmarkEnd w:id="47"/>
    </w:p>
    <w:p w14:paraId="520CF3EF" w14:textId="77777777" w:rsidR="006E2D94" w:rsidRDefault="006E2D94" w:rsidP="0082323D">
      <w:pPr>
        <w:pStyle w:val="Heading4"/>
      </w:pPr>
      <w:r>
        <w:br/>
      </w:r>
      <w:bookmarkStart w:id="48" w:name="_Toc37675956"/>
      <w:bookmarkStart w:id="49" w:name="_Toc37676572"/>
      <w:bookmarkStart w:id="50" w:name="_Toc37754390"/>
      <w:r w:rsidRPr="00235E22">
        <w:t>214</w:t>
      </w:r>
      <w:r w:rsidRPr="00556AB8">
        <w:t>.</w:t>
      </w:r>
      <w:r w:rsidRPr="00235E22">
        <w:t>408</w:t>
      </w:r>
      <w:r w:rsidRPr="00556AB8">
        <w:t>-</w:t>
      </w:r>
      <w:proofErr w:type="gramStart"/>
      <w:r w:rsidRPr="00235E22">
        <w:t>1</w:t>
      </w:r>
      <w:r w:rsidRPr="00556AB8">
        <w:t xml:space="preserve">  </w:t>
      </w:r>
      <w:r w:rsidRPr="00235E22">
        <w:t>General</w:t>
      </w:r>
      <w:proofErr w:type="gramEnd"/>
      <w:r w:rsidRPr="00556AB8">
        <w:t>.</w:t>
      </w:r>
      <w:bookmarkEnd w:id="48"/>
      <w:bookmarkEnd w:id="49"/>
      <w:bookmarkEnd w:id="50"/>
    </w:p>
    <w:p w14:paraId="55F6EAFE" w14:textId="77777777" w:rsidR="006E2D94" w:rsidRDefault="006E2D94" w:rsidP="00325CD8">
      <w:pPr>
        <w:pStyle w:val="List1"/>
      </w:pPr>
      <w:r>
        <w:rPr>
          <w:b/>
        </w:rPr>
        <w:br/>
      </w:r>
      <w:r w:rsidRPr="00556AB8">
        <w:t xml:space="preserve">(b)  For acquisitions that exceed the simplified acquisition threshold, if only one offer is received, follow the procedures at </w:t>
      </w:r>
      <w:hyperlink r:id="rId18" w:anchor="215.371" w:history="1">
        <w:r w:rsidRPr="00D11DE6">
          <w:rPr>
            <w:rStyle w:val="Hyperlink"/>
          </w:rPr>
          <w:t>215.371</w:t>
        </w:r>
      </w:hyperlink>
      <w:r w:rsidRPr="00556AB8">
        <w:t>.</w:t>
      </w:r>
    </w:p>
    <w:p w14:paraId="7CA203F0" w14:textId="77777777" w:rsidR="006E2D94" w:rsidRPr="0082323D" w:rsidRDefault="006E2D94" w:rsidP="0082323D">
      <w:r w:rsidRPr="0082323D">
        <w:br/>
      </w:r>
    </w:p>
    <w:p w14:paraId="6E7DFD14" w14:textId="77777777" w:rsidR="006E2D94" w:rsidRDefault="006E2D94">
      <w:pPr>
        <w:sectPr w:rsidR="006E2D94" w:rsidSect="00355B29">
          <w:headerReference w:type="even" r:id="rId19"/>
          <w:headerReference w:type="default" r:id="rId20"/>
          <w:footerReference w:type="even" r:id="rId21"/>
          <w:footerReference w:type="default" r:id="rId22"/>
          <w:pgSz w:w="12240" w:h="15840"/>
          <w:pgMar w:top="1440" w:right="1440" w:bottom="1440" w:left="1440" w:header="720" w:footer="720" w:gutter="0"/>
          <w:cols w:space="720"/>
          <w:docGrid w:linePitch="360"/>
        </w:sectPr>
      </w:pPr>
    </w:p>
    <w:p w14:paraId="7262E1DF" w14:textId="77777777" w:rsidR="006E2D94" w:rsidRPr="000E2A8C" w:rsidRDefault="006E2D94" w:rsidP="000E2A8C">
      <w:pPr>
        <w:pStyle w:val="Heading2"/>
      </w:pPr>
      <w:bookmarkStart w:id="51" w:name="_Toc37345356"/>
      <w:bookmarkStart w:id="52" w:name="_Toc37675957"/>
      <w:bookmarkStart w:id="53" w:name="_Toc37676573"/>
      <w:bookmarkStart w:id="54" w:name="BM214_5"/>
      <w:bookmarkStart w:id="55" w:name="_Toc37754391"/>
      <w:r w:rsidRPr="000E2A8C">
        <w:rPr>
          <w:caps/>
        </w:rPr>
        <w:lastRenderedPageBreak/>
        <w:t>SUBPART 214.5—Two-Step Sealed Bidding</w:t>
      </w:r>
      <w:bookmarkEnd w:id="51"/>
      <w:bookmarkEnd w:id="52"/>
      <w:bookmarkEnd w:id="53"/>
      <w:bookmarkEnd w:id="55"/>
    </w:p>
    <w:p w14:paraId="568020B8" w14:textId="77777777" w:rsidR="006E2D94" w:rsidRPr="002636E3" w:rsidRDefault="006E2D94" w:rsidP="000E2A8C">
      <w:pPr>
        <w:jc w:val="center"/>
      </w:pPr>
      <w:r w:rsidRPr="002636E3">
        <w:rPr>
          <w:i/>
        </w:rPr>
        <w:t>(Added October 30, 2015)</w:t>
      </w:r>
    </w:p>
    <w:p w14:paraId="0C7424AA" w14:textId="77777777" w:rsidR="006E2D94" w:rsidRDefault="006E2D94" w:rsidP="002636E3">
      <w:pPr>
        <w:pStyle w:val="Heading3"/>
        <w:rPr>
          <w:lang w:val="en"/>
        </w:rPr>
      </w:pPr>
      <w:r>
        <w:rPr>
          <w:i/>
        </w:rPr>
        <w:br/>
      </w:r>
      <w:bookmarkStart w:id="56" w:name="_Toc37345357"/>
      <w:bookmarkStart w:id="57" w:name="_Toc37675958"/>
      <w:bookmarkStart w:id="58" w:name="_Toc37676574"/>
      <w:bookmarkStart w:id="59" w:name="_Toc37754392"/>
      <w:proofErr w:type="gramStart"/>
      <w:r w:rsidRPr="00430033">
        <w:rPr>
          <w:lang w:val="en"/>
        </w:rPr>
        <w:t>214</w:t>
      </w:r>
      <w:r w:rsidRPr="00E05704">
        <w:rPr>
          <w:lang w:val="en"/>
        </w:rPr>
        <w:t>.</w:t>
      </w:r>
      <w:r w:rsidRPr="00430033">
        <w:rPr>
          <w:lang w:val="en"/>
        </w:rPr>
        <w:t>503</w:t>
      </w:r>
      <w:r w:rsidRPr="00E05704">
        <w:rPr>
          <w:lang w:val="en"/>
        </w:rPr>
        <w:t xml:space="preserve">  </w:t>
      </w:r>
      <w:r w:rsidRPr="00430033">
        <w:rPr>
          <w:lang w:val="en"/>
        </w:rPr>
        <w:t>Procedures</w:t>
      </w:r>
      <w:proofErr w:type="gramEnd"/>
      <w:r w:rsidRPr="00E05704">
        <w:rPr>
          <w:lang w:val="en"/>
        </w:rPr>
        <w:t>.</w:t>
      </w:r>
      <w:bookmarkEnd w:id="56"/>
      <w:bookmarkEnd w:id="57"/>
      <w:bookmarkEnd w:id="58"/>
      <w:bookmarkEnd w:id="59"/>
    </w:p>
    <w:p w14:paraId="5EAF3DDC" w14:textId="77777777" w:rsidR="006E2D94" w:rsidRDefault="006E2D94" w:rsidP="002636E3">
      <w:pPr>
        <w:pStyle w:val="Heading4"/>
        <w:rPr>
          <w:lang w:val="en"/>
        </w:rPr>
      </w:pPr>
      <w:r>
        <w:rPr>
          <w:lang w:val="en"/>
        </w:rPr>
        <w:br/>
      </w:r>
      <w:bookmarkStart w:id="60" w:name="_Toc37675959"/>
      <w:bookmarkStart w:id="61" w:name="_Toc37676575"/>
      <w:bookmarkStart w:id="62" w:name="_Toc37754393"/>
      <w:r w:rsidRPr="00697D15">
        <w:rPr>
          <w:lang w:val="en"/>
        </w:rPr>
        <w:t>214</w:t>
      </w:r>
      <w:r w:rsidRPr="00E05704">
        <w:rPr>
          <w:lang w:val="en"/>
        </w:rPr>
        <w:t>.</w:t>
      </w:r>
      <w:r w:rsidRPr="00697D15">
        <w:rPr>
          <w:lang w:val="en"/>
        </w:rPr>
        <w:t>503</w:t>
      </w:r>
      <w:r w:rsidRPr="00E05704">
        <w:rPr>
          <w:lang w:val="en"/>
        </w:rPr>
        <w:t>-</w:t>
      </w:r>
      <w:proofErr w:type="gramStart"/>
      <w:r w:rsidRPr="00697D15">
        <w:rPr>
          <w:lang w:val="en"/>
        </w:rPr>
        <w:t>1</w:t>
      </w:r>
      <w:r w:rsidRPr="00E05704">
        <w:rPr>
          <w:lang w:val="en"/>
        </w:rPr>
        <w:t xml:space="preserve">  </w:t>
      </w:r>
      <w:r w:rsidRPr="00697D15">
        <w:rPr>
          <w:lang w:val="en"/>
        </w:rPr>
        <w:t>Step</w:t>
      </w:r>
      <w:proofErr w:type="gramEnd"/>
      <w:r w:rsidRPr="00E05704">
        <w:rPr>
          <w:lang w:val="en"/>
        </w:rPr>
        <w:t xml:space="preserve"> </w:t>
      </w:r>
      <w:r w:rsidRPr="00697D15">
        <w:rPr>
          <w:lang w:val="en"/>
        </w:rPr>
        <w:t>one</w:t>
      </w:r>
      <w:r w:rsidRPr="00E05704">
        <w:rPr>
          <w:lang w:val="en"/>
        </w:rPr>
        <w:t>.</w:t>
      </w:r>
      <w:bookmarkEnd w:id="60"/>
      <w:bookmarkEnd w:id="61"/>
      <w:bookmarkEnd w:id="62"/>
    </w:p>
    <w:p w14:paraId="03E5124B" w14:textId="77777777" w:rsidR="006E2D94" w:rsidRDefault="006E2D94" w:rsidP="00325CD8">
      <w:pPr>
        <w:pStyle w:val="List1"/>
      </w:pPr>
      <w:r w:rsidRPr="00430033">
        <w:rPr>
          <w:b/>
        </w:rPr>
        <w:br/>
      </w:r>
      <w:r w:rsidRPr="00430033">
        <w:t>(a)</w:t>
      </w:r>
      <w:r w:rsidRPr="00E05704">
        <w:rPr>
          <w:lang w:val="en"/>
        </w:rPr>
        <w:t xml:space="preserve">(4)  </w:t>
      </w:r>
      <w:r w:rsidRPr="00E05704">
        <w:t xml:space="preserve">Include an evaluation factor regarding supply chain risk (see subpart </w:t>
      </w:r>
      <w:hyperlink r:id="rId23" w:history="1">
        <w:r w:rsidRPr="00557CB8">
          <w:rPr>
            <w:rStyle w:val="Hyperlink"/>
          </w:rPr>
          <w:t>239.73</w:t>
        </w:r>
      </w:hyperlink>
      <w:r w:rsidRPr="00E05704">
        <w:t xml:space="preserve">) when acquiring information technology, whether as a service or as a supply, that is a covered system, is a part of a covered system, or is in support of a covered system, as defined in </w:t>
      </w:r>
      <w:hyperlink r:id="rId24" w:anchor="239.7301" w:history="1">
        <w:r w:rsidRPr="00557CB8">
          <w:rPr>
            <w:rStyle w:val="Hyperlink"/>
          </w:rPr>
          <w:t>239.7301</w:t>
        </w:r>
      </w:hyperlink>
      <w:r w:rsidRPr="00E05704">
        <w:t>.</w:t>
      </w:r>
    </w:p>
    <w:p w14:paraId="05FB73E8" w14:textId="77777777" w:rsidR="006E2D94" w:rsidRPr="002636E3" w:rsidRDefault="006E2D94" w:rsidP="002636E3">
      <w:r w:rsidRPr="002636E3">
        <w:br/>
      </w:r>
      <w:bookmarkEnd w:id="54"/>
    </w:p>
    <w:p w14:paraId="1A9A48A6" w14:textId="77777777" w:rsidR="00850595" w:rsidRDefault="00850595"/>
    <w:sectPr w:rsidR="00850595" w:rsidSect="00265CE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E8BB0" w14:textId="77777777" w:rsidR="00D77FD3" w:rsidRDefault="00D77FD3">
      <w:pPr>
        <w:spacing w:after="0" w:line="240" w:lineRule="auto"/>
      </w:pPr>
      <w:r>
        <w:separator/>
      </w:r>
    </w:p>
  </w:endnote>
  <w:endnote w:type="continuationSeparator" w:id="0">
    <w:p w14:paraId="188DD211" w14:textId="77777777" w:rsidR="00D77FD3" w:rsidRDefault="00D77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3868" w14:textId="77777777" w:rsidR="002A1B23" w:rsidRDefault="00D77FD3">
    <w:pPr>
      <w:tabs>
        <w:tab w:val="left" w:pos="80"/>
      </w:tabs>
      <w:ind w:right="-720"/>
      <w:rPr>
        <w:rFonts w:ascii="Geneva" w:hAnsi="Geneva"/>
        <w:sz w:val="18"/>
      </w:rPr>
    </w:pPr>
  </w:p>
  <w:p w14:paraId="3A54E644" w14:textId="77777777" w:rsidR="002A1B23" w:rsidRDefault="00D77FD3">
    <w:pPr>
      <w:rPr>
        <w:rFonts w:ascii="Geneva" w:hAnsi="Geneva"/>
        <w:sz w:val="18"/>
      </w:rPr>
    </w:pPr>
  </w:p>
  <w:p w14:paraId="66129B8A" w14:textId="77777777" w:rsidR="002A1B23" w:rsidRDefault="006E2D94">
    <w:pPr>
      <w:tabs>
        <w:tab w:val="right" w:pos="9720"/>
      </w:tabs>
      <w:ind w:right="-720"/>
      <w:rPr>
        <w:rFonts w:ascii="Geneva" w:hAnsi="Geneva"/>
        <w:b/>
        <w:sz w:val="18"/>
      </w:rPr>
    </w:pPr>
    <w:r>
      <w:rPr>
        <w:rFonts w:ascii="Geneva" w:hAnsi="Geneva"/>
        <w:sz w:val="18"/>
      </w:rPr>
      <w:t>_____________________________________________________________________________</w:t>
    </w:r>
  </w:p>
  <w:p w14:paraId="72E5D8FE" w14:textId="77777777" w:rsidR="002A1B23" w:rsidRDefault="006E2D94">
    <w:pPr>
      <w:tabs>
        <w:tab w:val="right" w:pos="9260"/>
      </w:tabs>
      <w:ind w:right="-80"/>
      <w:rPr>
        <w:rFonts w:ascii="Helvetica" w:hAnsi="Helvetica"/>
        <w:b/>
        <w:sz w:val="20"/>
      </w:rPr>
    </w:pPr>
    <w:r>
      <w:rPr>
        <w:rFonts w:ascii="Helvetica" w:hAnsi="Helvetica"/>
        <w:sz w:val="20"/>
      </w:rPr>
      <w:t>214.2-</w:t>
    </w:r>
    <w:r>
      <w:rPr>
        <w:rFonts w:ascii="Helvetica" w:hAnsi="Helvetica"/>
        <w:sz w:val="20"/>
      </w:rPr>
      <w:pgNum/>
    </w:r>
    <w:r>
      <w:rPr>
        <w:rFonts w:ascii="Helvetica" w:hAnsi="Helvetica"/>
        <w:sz w:val="20"/>
      </w:rPr>
      <w:tab/>
    </w:r>
    <w:r>
      <w:rPr>
        <w:rFonts w:ascii="Helvetica" w:hAnsi="Helvetica"/>
        <w:sz w:val="20"/>
      </w:rPr>
      <w:tab/>
      <w:t>1991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45681" w14:textId="77777777" w:rsidR="002A1B23" w:rsidRDefault="00D77FD3">
    <w:pPr>
      <w:pStyle w:val="Footer"/>
      <w:rPr>
        <w:sz w:val="20"/>
      </w:rPr>
    </w:pPr>
  </w:p>
  <w:p w14:paraId="58E74BE2" w14:textId="77777777" w:rsidR="002A1B23" w:rsidRDefault="00D77FD3">
    <w:pPr>
      <w:pStyle w:val="Footer"/>
      <w:tabs>
        <w:tab w:val="clear" w:pos="8640"/>
      </w:tabs>
      <w:rPr>
        <w:b/>
        <w:sz w:val="20"/>
      </w:rPr>
    </w:pPr>
  </w:p>
  <w:p w14:paraId="3C56FFB5" w14:textId="77777777" w:rsidR="002A1B23" w:rsidRDefault="006E2D94">
    <w:pPr>
      <w:pStyle w:val="Footer"/>
      <w:pBdr>
        <w:top w:val="single" w:sz="6" w:space="1" w:color="auto"/>
      </w:pBdr>
      <w:tabs>
        <w:tab w:val="clear" w:pos="8640"/>
        <w:tab w:val="right" w:pos="9260"/>
      </w:tabs>
      <w:rPr>
        <w:sz w:val="20"/>
      </w:rPr>
    </w:pPr>
    <w:r>
      <w:rPr>
        <w:sz w:val="20"/>
      </w:rPr>
      <w:t>1998 EDITION</w:t>
    </w:r>
    <w:r>
      <w:rPr>
        <w:sz w:val="20"/>
      </w:rPr>
      <w:tab/>
    </w:r>
    <w:r>
      <w:rPr>
        <w:sz w:val="20"/>
      </w:rPr>
      <w:tab/>
      <w:t>214.2-</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EE2E" w14:textId="77777777" w:rsidR="00D11DE6" w:rsidRDefault="00D77FD3">
    <w:pPr>
      <w:tabs>
        <w:tab w:val="left" w:pos="80"/>
      </w:tabs>
      <w:ind w:right="-720"/>
      <w:rPr>
        <w:rFonts w:ascii="Geneva" w:hAnsi="Geneva"/>
        <w:sz w:val="18"/>
      </w:rPr>
    </w:pPr>
  </w:p>
  <w:p w14:paraId="46211169" w14:textId="77777777" w:rsidR="00D11DE6" w:rsidRDefault="00D77FD3">
    <w:pPr>
      <w:rPr>
        <w:rFonts w:ascii="Geneva" w:hAnsi="Geneva"/>
        <w:sz w:val="18"/>
      </w:rPr>
    </w:pPr>
  </w:p>
  <w:p w14:paraId="7DA5B38B" w14:textId="77777777" w:rsidR="00D11DE6" w:rsidRDefault="00D77FD3">
    <w:pPr>
      <w:tabs>
        <w:tab w:val="right" w:pos="9720"/>
      </w:tabs>
      <w:ind w:right="-720"/>
      <w:rPr>
        <w:rFonts w:ascii="Geneva" w:hAnsi="Geneva"/>
        <w:b/>
        <w:sz w:val="18"/>
      </w:rPr>
    </w:pPr>
  </w:p>
  <w:p w14:paraId="58E5E9DC" w14:textId="77777777" w:rsidR="00D11DE6" w:rsidRDefault="006E2D94">
    <w:pPr>
      <w:pBdr>
        <w:top w:val="single" w:sz="6" w:space="1" w:color="auto"/>
      </w:pBdr>
      <w:tabs>
        <w:tab w:val="right" w:pos="9260"/>
      </w:tabs>
      <w:ind w:right="-80"/>
      <w:rPr>
        <w:rFonts w:ascii="Arial" w:hAnsi="Arial"/>
        <w:b/>
        <w:sz w:val="20"/>
      </w:rPr>
    </w:pPr>
    <w:r>
      <w:rPr>
        <w:rFonts w:ascii="Arial" w:hAnsi="Arial"/>
        <w:sz w:val="20"/>
      </w:rPr>
      <w:t>214.4-</w:t>
    </w:r>
    <w:r>
      <w:rPr>
        <w:rFonts w:ascii="Arial" w:hAnsi="Arial"/>
        <w:sz w:val="20"/>
      </w:rPr>
      <w:pgNum/>
    </w:r>
    <w:r>
      <w:rPr>
        <w:rFonts w:ascii="Arial" w:hAnsi="Arial"/>
        <w:sz w:val="20"/>
      </w:rPr>
      <w:tab/>
    </w:r>
    <w:r>
      <w:rPr>
        <w:rFonts w:ascii="Arial" w:hAnsi="Arial"/>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60C1" w14:textId="77777777" w:rsidR="00D11DE6" w:rsidRDefault="00D77FD3">
    <w:pPr>
      <w:pStyle w:val="Footer"/>
      <w:rPr>
        <w:b/>
        <w:sz w:val="20"/>
      </w:rPr>
    </w:pPr>
  </w:p>
  <w:p w14:paraId="0E2E946C" w14:textId="77777777" w:rsidR="00D11DE6" w:rsidRDefault="00D77FD3">
    <w:pPr>
      <w:pStyle w:val="Footer"/>
      <w:tabs>
        <w:tab w:val="clear" w:pos="8640"/>
      </w:tabs>
      <w:rPr>
        <w:b/>
        <w:sz w:val="20"/>
      </w:rPr>
    </w:pPr>
  </w:p>
  <w:p w14:paraId="2C00B194" w14:textId="77777777" w:rsidR="00D11DE6" w:rsidRDefault="006E2D94">
    <w:pPr>
      <w:pStyle w:val="Footer"/>
      <w:pBdr>
        <w:top w:val="single" w:sz="6" w:space="1" w:color="auto"/>
      </w:pBdr>
      <w:tabs>
        <w:tab w:val="clear" w:pos="8640"/>
        <w:tab w:val="right" w:pos="9260"/>
      </w:tabs>
      <w:rPr>
        <w:sz w:val="20"/>
      </w:rPr>
    </w:pPr>
    <w:r>
      <w:rPr>
        <w:sz w:val="20"/>
      </w:rPr>
      <w:t>1998 EDITION</w:t>
    </w:r>
    <w:r>
      <w:rPr>
        <w:sz w:val="20"/>
      </w:rPr>
      <w:tab/>
    </w:r>
    <w:r>
      <w:rPr>
        <w:sz w:val="20"/>
      </w:rPr>
      <w:tab/>
      <w:t>214.4-</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0CABB" w14:textId="77777777" w:rsidR="00DB5345" w:rsidRDefault="00D77FD3">
    <w:pPr>
      <w:pStyle w:val="Footer"/>
      <w:rPr>
        <w:b/>
        <w:sz w:val="20"/>
      </w:rPr>
    </w:pPr>
  </w:p>
  <w:p w14:paraId="442E1DA8" w14:textId="77777777" w:rsidR="00DB5345" w:rsidRDefault="00D77FD3">
    <w:pPr>
      <w:pStyle w:val="Footer"/>
      <w:tabs>
        <w:tab w:val="clear" w:pos="8640"/>
      </w:tabs>
      <w:rPr>
        <w:b/>
        <w:sz w:val="20"/>
      </w:rPr>
    </w:pPr>
  </w:p>
  <w:p w14:paraId="383498F0" w14:textId="77777777" w:rsidR="00DB5345" w:rsidRDefault="006E2D94">
    <w:pPr>
      <w:pStyle w:val="Footer"/>
      <w:pBdr>
        <w:top w:val="single" w:sz="6" w:space="1" w:color="auto"/>
      </w:pBdr>
      <w:tabs>
        <w:tab w:val="clear" w:pos="8640"/>
        <w:tab w:val="right" w:pos="9260"/>
      </w:tabs>
      <w:rPr>
        <w:sz w:val="20"/>
      </w:rPr>
    </w:pPr>
    <w:r>
      <w:rPr>
        <w:sz w:val="20"/>
      </w:rPr>
      <w:t>1998 EDITION</w:t>
    </w:r>
    <w:r>
      <w:rPr>
        <w:sz w:val="20"/>
      </w:rPr>
      <w:tab/>
    </w:r>
    <w:r>
      <w:rPr>
        <w:sz w:val="20"/>
      </w:rPr>
      <w:tab/>
      <w:t>214.5-</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A85A5" w14:textId="77777777" w:rsidR="00D77FD3" w:rsidRDefault="00D77FD3">
      <w:pPr>
        <w:spacing w:after="0" w:line="240" w:lineRule="auto"/>
      </w:pPr>
      <w:r>
        <w:separator/>
      </w:r>
    </w:p>
  </w:footnote>
  <w:footnote w:type="continuationSeparator" w:id="0">
    <w:p w14:paraId="5CB6E08B" w14:textId="77777777" w:rsidR="00D77FD3" w:rsidRDefault="00D77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01074" w14:textId="77777777" w:rsidR="002A1B23" w:rsidRDefault="006E2D94">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5940FA7" w14:textId="77777777" w:rsidR="002A1B23" w:rsidRDefault="00D77FD3">
    <w:pPr>
      <w:pStyle w:val="Header"/>
      <w:rPr>
        <w:rFonts w:ascii="Helvetica" w:hAnsi="Helvetica"/>
        <w:sz w:val="18"/>
      </w:rPr>
    </w:pPr>
  </w:p>
  <w:p w14:paraId="6C294784" w14:textId="77777777" w:rsidR="002A1B23" w:rsidRDefault="006E2D94">
    <w:pPr>
      <w:pStyle w:val="Header"/>
      <w:spacing w:after="10"/>
      <w:rPr>
        <w:rFonts w:ascii="Helvetica" w:hAnsi="Helvetica"/>
        <w:b/>
        <w:sz w:val="20"/>
      </w:rPr>
    </w:pPr>
    <w:r>
      <w:rPr>
        <w:rFonts w:ascii="Helvetica" w:hAnsi="Helvetica"/>
        <w:sz w:val="20"/>
      </w:rPr>
      <w:t>Part 214--Sealed Bidding</w:t>
    </w:r>
  </w:p>
  <w:p w14:paraId="06A98898" w14:textId="77777777" w:rsidR="002A1B23" w:rsidRDefault="006E2D94">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0E9E997" w14:textId="77777777" w:rsidR="002A1B23" w:rsidRDefault="00D77FD3">
    <w:pPr>
      <w:pStyle w:val="Header"/>
      <w:tabs>
        <w:tab w:val="right" w:pos="10260"/>
      </w:tabs>
      <w:ind w:right="-800"/>
      <w:rPr>
        <w:rFonts w:ascii="Helvetica" w:hAnsi="Helvetica"/>
        <w:sz w:val="20"/>
        <w:u w:val="single"/>
      </w:rPr>
    </w:pPr>
  </w:p>
  <w:p w14:paraId="18B30C71" w14:textId="77777777" w:rsidR="002A1B23" w:rsidRDefault="00D77FD3">
    <w:pPr>
      <w:pStyle w:val="Header"/>
      <w:tabs>
        <w:tab w:val="right" w:pos="10260"/>
      </w:tabs>
      <w:ind w:right="-800"/>
      <w:rPr>
        <w:rFonts w:ascii="Helvetica" w:hAnsi="Helvetica"/>
        <w:sz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C8BBB" w14:textId="77777777" w:rsidR="002A1B23" w:rsidRDefault="006E2D94">
    <w:pPr>
      <w:pStyle w:val="Header"/>
      <w:tabs>
        <w:tab w:val="clear" w:pos="8640"/>
      </w:tabs>
      <w:jc w:val="center"/>
    </w:pPr>
    <w:r>
      <w:t>Defense Federal Acquisition Regulation Supplement</w:t>
    </w:r>
  </w:p>
  <w:p w14:paraId="6A8965F7" w14:textId="77777777" w:rsidR="002A1B23" w:rsidRDefault="00D77FD3">
    <w:pPr>
      <w:pStyle w:val="Header"/>
      <w:rPr>
        <w:b/>
        <w:sz w:val="20"/>
      </w:rPr>
    </w:pPr>
  </w:p>
  <w:p w14:paraId="34199730" w14:textId="77777777" w:rsidR="002A1B23" w:rsidRDefault="006E2D94">
    <w:pPr>
      <w:pStyle w:val="Header"/>
      <w:pBdr>
        <w:bottom w:val="single" w:sz="6" w:space="1" w:color="auto"/>
      </w:pBdr>
      <w:tabs>
        <w:tab w:val="clear" w:pos="8640"/>
        <w:tab w:val="right" w:pos="9260"/>
      </w:tabs>
      <w:spacing w:after="20"/>
      <w:rPr>
        <w:sz w:val="20"/>
      </w:rPr>
    </w:pPr>
    <w:r>
      <w:rPr>
        <w:sz w:val="20"/>
      </w:rPr>
      <w:t>Part 214—Sealed Bidding</w:t>
    </w:r>
  </w:p>
  <w:p w14:paraId="54C9D9D6" w14:textId="77777777" w:rsidR="002A1B23" w:rsidRDefault="00D77FD3">
    <w:pPr>
      <w:pStyle w:val="Header"/>
      <w:tabs>
        <w:tab w:val="clear" w:pos="8640"/>
        <w:tab w:val="right" w:pos="9260"/>
      </w:tabs>
      <w:spacing w:before="20" w:line="20" w:lineRule="exact"/>
      <w:rPr>
        <w:rFonts w:ascii="Geneva" w:hAnsi="Geneva"/>
        <w:b/>
        <w:position w:val="6"/>
        <w:sz w:val="18"/>
      </w:rPr>
    </w:pPr>
  </w:p>
  <w:p w14:paraId="5EB6D8EE" w14:textId="77777777" w:rsidR="002A1B23" w:rsidRDefault="00D77FD3">
    <w:pPr>
      <w:pStyle w:val="Header"/>
      <w:tabs>
        <w:tab w:val="clear" w:pos="8640"/>
        <w:tab w:val="right" w:pos="9260"/>
      </w:tabs>
      <w:rPr>
        <w:b/>
        <w:sz w:val="20"/>
      </w:rPr>
    </w:pPr>
  </w:p>
  <w:p w14:paraId="27AD1BC6" w14:textId="77777777" w:rsidR="002A1B23" w:rsidRDefault="00D77FD3">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9C24E" w14:textId="77777777" w:rsidR="00D11DE6" w:rsidRDefault="006E2D94">
    <w:pPr>
      <w:pStyle w:val="Header"/>
      <w:tabs>
        <w:tab w:val="clear" w:pos="8640"/>
      </w:tabs>
      <w:ind w:right="-440"/>
      <w:jc w:val="center"/>
      <w:rPr>
        <w:rFonts w:ascii="Arial" w:hAnsi="Arial"/>
        <w:b/>
        <w:sz w:val="18"/>
      </w:rPr>
    </w:pPr>
    <w:r>
      <w:rPr>
        <w:rFonts w:ascii="Arial" w:hAnsi="Arial"/>
        <w:sz w:val="18"/>
      </w:rPr>
      <w:t>Defense Federal Acquisition Regulation Supplement</w:t>
    </w:r>
  </w:p>
  <w:p w14:paraId="4B4FFE2E" w14:textId="77777777" w:rsidR="00D11DE6" w:rsidRDefault="00D77FD3">
    <w:pPr>
      <w:pStyle w:val="Header"/>
      <w:rPr>
        <w:rFonts w:ascii="Arial" w:hAnsi="Arial"/>
        <w:sz w:val="18"/>
      </w:rPr>
    </w:pPr>
  </w:p>
  <w:p w14:paraId="56D70E5D" w14:textId="77777777" w:rsidR="00D11DE6" w:rsidRDefault="006E2D94">
    <w:pPr>
      <w:pStyle w:val="Header"/>
      <w:pBdr>
        <w:bottom w:val="single" w:sz="6" w:space="1" w:color="auto"/>
      </w:pBdr>
      <w:spacing w:after="10"/>
      <w:rPr>
        <w:rFonts w:ascii="Arial" w:hAnsi="Arial"/>
        <w:b/>
        <w:sz w:val="20"/>
      </w:rPr>
    </w:pPr>
    <w:r>
      <w:rPr>
        <w:rFonts w:ascii="Arial" w:hAnsi="Arial"/>
        <w:sz w:val="20"/>
      </w:rPr>
      <w:t>Part 214—Sealed Bidding</w:t>
    </w:r>
  </w:p>
  <w:p w14:paraId="134EF5F5" w14:textId="77777777" w:rsidR="00D11DE6" w:rsidRDefault="00D77FD3">
    <w:pPr>
      <w:pStyle w:val="Header"/>
      <w:spacing w:before="10" w:line="40" w:lineRule="exact"/>
      <w:rPr>
        <w:rFonts w:ascii="Arial" w:hAnsi="Arial"/>
        <w:b/>
        <w:position w:val="6"/>
        <w:sz w:val="18"/>
      </w:rPr>
    </w:pPr>
  </w:p>
  <w:p w14:paraId="573E6842" w14:textId="77777777" w:rsidR="00D11DE6" w:rsidRDefault="00D77FD3">
    <w:pPr>
      <w:pStyle w:val="Header"/>
      <w:tabs>
        <w:tab w:val="right" w:pos="10260"/>
      </w:tabs>
      <w:ind w:right="-800"/>
      <w:rPr>
        <w:rFonts w:ascii="Arial" w:hAnsi="Arial"/>
        <w:sz w:val="20"/>
        <w:u w:val="single"/>
      </w:rPr>
    </w:pPr>
  </w:p>
  <w:p w14:paraId="103284EB" w14:textId="77777777" w:rsidR="00D11DE6" w:rsidRDefault="00D77FD3">
    <w:pPr>
      <w:pStyle w:val="Header"/>
      <w:tabs>
        <w:tab w:val="right" w:pos="10260"/>
      </w:tabs>
      <w:ind w:right="-800"/>
      <w:rPr>
        <w:rFonts w:ascii="Arial" w:hAnsi="Arial"/>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F449" w14:textId="77777777" w:rsidR="00D11DE6" w:rsidRDefault="006E2D94">
    <w:pPr>
      <w:pStyle w:val="Header"/>
      <w:tabs>
        <w:tab w:val="clear" w:pos="8640"/>
      </w:tabs>
      <w:jc w:val="center"/>
    </w:pPr>
    <w:r>
      <w:t>Defense Federal Acquisition Regulation Supplement</w:t>
    </w:r>
  </w:p>
  <w:p w14:paraId="0F645E54" w14:textId="77777777" w:rsidR="00D11DE6" w:rsidRDefault="00D77FD3">
    <w:pPr>
      <w:pStyle w:val="Header"/>
      <w:rPr>
        <w:b/>
        <w:sz w:val="20"/>
      </w:rPr>
    </w:pPr>
  </w:p>
  <w:p w14:paraId="18836CC6" w14:textId="77777777" w:rsidR="00D11DE6" w:rsidRDefault="006E2D94">
    <w:pPr>
      <w:pStyle w:val="Header"/>
      <w:pBdr>
        <w:bottom w:val="single" w:sz="6" w:space="1" w:color="auto"/>
      </w:pBdr>
      <w:tabs>
        <w:tab w:val="clear" w:pos="8640"/>
        <w:tab w:val="right" w:pos="9260"/>
      </w:tabs>
      <w:spacing w:after="20"/>
      <w:rPr>
        <w:sz w:val="20"/>
      </w:rPr>
    </w:pPr>
    <w:r>
      <w:rPr>
        <w:sz w:val="20"/>
      </w:rPr>
      <w:t>Part 214—Sealed Bidding</w:t>
    </w:r>
  </w:p>
  <w:p w14:paraId="04F09A83" w14:textId="77777777" w:rsidR="00D11DE6" w:rsidRDefault="00D77FD3">
    <w:pPr>
      <w:pStyle w:val="Header"/>
      <w:tabs>
        <w:tab w:val="clear" w:pos="8640"/>
        <w:tab w:val="right" w:pos="9260"/>
      </w:tabs>
      <w:spacing w:before="20" w:line="20" w:lineRule="exact"/>
      <w:rPr>
        <w:b/>
        <w:position w:val="6"/>
        <w:sz w:val="20"/>
      </w:rPr>
    </w:pPr>
  </w:p>
  <w:p w14:paraId="1D643802" w14:textId="77777777" w:rsidR="00D11DE6" w:rsidRDefault="00D77FD3">
    <w:pPr>
      <w:pStyle w:val="Header"/>
      <w:tabs>
        <w:tab w:val="clear" w:pos="8640"/>
        <w:tab w:val="right" w:pos="9260"/>
      </w:tabs>
      <w:rPr>
        <w:b/>
        <w:sz w:val="20"/>
      </w:rPr>
    </w:pPr>
  </w:p>
  <w:p w14:paraId="28C562D8" w14:textId="77777777" w:rsidR="00D11DE6" w:rsidRDefault="00D77FD3">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C9EB" w14:textId="77777777" w:rsidR="00DB5345" w:rsidRDefault="006E2D94">
    <w:pPr>
      <w:pStyle w:val="Header"/>
      <w:tabs>
        <w:tab w:val="clear" w:pos="8640"/>
      </w:tabs>
      <w:jc w:val="center"/>
    </w:pPr>
    <w:r>
      <w:t>Defense Federal Acquisition Regulation Supplement</w:t>
    </w:r>
  </w:p>
  <w:p w14:paraId="02AA1A8F" w14:textId="77777777" w:rsidR="00DB5345" w:rsidRDefault="00D77FD3">
    <w:pPr>
      <w:pStyle w:val="Header"/>
      <w:rPr>
        <w:b/>
        <w:sz w:val="20"/>
      </w:rPr>
    </w:pPr>
  </w:p>
  <w:p w14:paraId="52C99FCA" w14:textId="77777777" w:rsidR="00DB5345" w:rsidRDefault="006E2D94">
    <w:pPr>
      <w:pStyle w:val="Header"/>
      <w:pBdr>
        <w:bottom w:val="single" w:sz="6" w:space="1" w:color="auto"/>
      </w:pBdr>
      <w:tabs>
        <w:tab w:val="clear" w:pos="8640"/>
        <w:tab w:val="right" w:pos="9260"/>
      </w:tabs>
      <w:spacing w:after="20"/>
      <w:rPr>
        <w:sz w:val="20"/>
      </w:rPr>
    </w:pPr>
    <w:r>
      <w:rPr>
        <w:sz w:val="20"/>
      </w:rPr>
      <w:t>Part 214—Sealed Bidding</w:t>
    </w:r>
  </w:p>
  <w:p w14:paraId="1C03D8F0" w14:textId="77777777" w:rsidR="00DB5345" w:rsidRDefault="00D77FD3">
    <w:pPr>
      <w:pStyle w:val="Header"/>
      <w:tabs>
        <w:tab w:val="clear" w:pos="8640"/>
        <w:tab w:val="right" w:pos="9260"/>
      </w:tabs>
      <w:spacing w:before="20" w:line="20" w:lineRule="exact"/>
      <w:rPr>
        <w:b/>
        <w:position w:val="6"/>
        <w:sz w:val="20"/>
      </w:rPr>
    </w:pPr>
  </w:p>
  <w:p w14:paraId="5AA61D6B" w14:textId="77777777" w:rsidR="00DB5345" w:rsidRDefault="00D77FD3">
    <w:pPr>
      <w:pStyle w:val="Header"/>
      <w:tabs>
        <w:tab w:val="clear" w:pos="8640"/>
        <w:tab w:val="right" w:pos="9260"/>
      </w:tabs>
      <w:rPr>
        <w:b/>
        <w:sz w:val="20"/>
      </w:rPr>
    </w:pPr>
  </w:p>
  <w:p w14:paraId="31C36E7C" w14:textId="77777777" w:rsidR="00DB5345" w:rsidRDefault="00D77FD3">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94"/>
    <w:rsid w:val="002A4641"/>
    <w:rsid w:val="00325CD8"/>
    <w:rsid w:val="00485685"/>
    <w:rsid w:val="00505901"/>
    <w:rsid w:val="0058144D"/>
    <w:rsid w:val="006E2D94"/>
    <w:rsid w:val="007D6208"/>
    <w:rsid w:val="00850595"/>
    <w:rsid w:val="00B8095C"/>
    <w:rsid w:val="00BF48DE"/>
    <w:rsid w:val="00D22511"/>
    <w:rsid w:val="00D77FD3"/>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4868"/>
  <w15:chartTrackingRefBased/>
  <w15:docId w15:val="{771DEA1C-9FA8-4A0B-BDAE-4DC515E7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6E2D94"/>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6E2D94"/>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6E2D94"/>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6E2D94"/>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94"/>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6E2D94"/>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6E2D94"/>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6E2D94"/>
    <w:rPr>
      <w:rFonts w:ascii="Century Schoolbook" w:eastAsia="Times New Roman" w:hAnsi="Century Schoolbook" w:cs="Times New Roman"/>
      <w:b/>
      <w:sz w:val="24"/>
      <w:szCs w:val="20"/>
    </w:rPr>
  </w:style>
  <w:style w:type="paragraph" w:styleId="Footer">
    <w:name w:val="footer"/>
    <w:basedOn w:val="Normal"/>
    <w:link w:val="FooterChar"/>
    <w:rsid w:val="006E2D94"/>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6E2D94"/>
    <w:rPr>
      <w:rFonts w:ascii="Century Schoolbook" w:eastAsia="Times New Roman" w:hAnsi="Century Schoolbook" w:cs="Times New Roman"/>
      <w:szCs w:val="20"/>
    </w:rPr>
  </w:style>
  <w:style w:type="paragraph" w:styleId="Header">
    <w:name w:val="header"/>
    <w:basedOn w:val="Normal"/>
    <w:link w:val="HeaderChar"/>
    <w:rsid w:val="006E2D94"/>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6E2D94"/>
    <w:rPr>
      <w:rFonts w:ascii="Century Schoolbook" w:eastAsia="Times New Roman" w:hAnsi="Century Schoolbook" w:cs="Times New Roman"/>
      <w:szCs w:val="20"/>
    </w:rPr>
  </w:style>
  <w:style w:type="character" w:styleId="Hyperlink">
    <w:name w:val="Hyperlink"/>
    <w:uiPriority w:val="99"/>
    <w:unhideWhenUsed/>
    <w:rsid w:val="006E2D94"/>
    <w:rPr>
      <w:color w:val="0000FF"/>
      <w:u w:val="single"/>
    </w:rPr>
  </w:style>
  <w:style w:type="paragraph" w:styleId="List2">
    <w:name w:val="List 2"/>
    <w:link w:val="List2Char"/>
    <w:unhideWhenUsed/>
    <w:rsid w:val="006E2D94"/>
    <w:pPr>
      <w:spacing w:after="0" w:line="240" w:lineRule="auto"/>
      <w:ind w:left="72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325CD8"/>
    <w:pPr>
      <w:spacing w:after="160" w:line="259" w:lineRule="auto"/>
      <w:ind w:left="0" w:firstLine="0"/>
    </w:pPr>
  </w:style>
  <w:style w:type="character" w:customStyle="1" w:styleId="ListChar">
    <w:name w:val="List Char"/>
    <w:basedOn w:val="DefaultParagraphFont"/>
    <w:link w:val="List"/>
    <w:uiPriority w:val="99"/>
    <w:semiHidden/>
    <w:rsid w:val="00325CD8"/>
  </w:style>
  <w:style w:type="character" w:customStyle="1" w:styleId="List2Char">
    <w:name w:val="List 2 Char"/>
    <w:basedOn w:val="DefaultParagraphFont"/>
    <w:link w:val="List2"/>
    <w:uiPriority w:val="99"/>
    <w:semiHidden/>
    <w:rsid w:val="006E2D94"/>
    <w:rPr>
      <w:rFonts w:ascii="Century Schoolbook" w:eastAsia="Times New Roman" w:hAnsi="Century Schoolbook" w:cs="Times New Roman"/>
      <w:szCs w:val="20"/>
    </w:rPr>
  </w:style>
  <w:style w:type="paragraph" w:customStyle="1" w:styleId="DFARS">
    <w:name w:val="DFARS"/>
    <w:basedOn w:val="Normal"/>
    <w:rsid w:val="006E2D94"/>
    <w:pPr>
      <w:tabs>
        <w:tab w:val="left" w:pos="360"/>
        <w:tab w:val="left" w:pos="810"/>
        <w:tab w:val="left" w:pos="1210"/>
        <w:tab w:val="left" w:pos="1656"/>
        <w:tab w:val="left" w:pos="2131"/>
        <w:tab w:val="left" w:pos="2520"/>
      </w:tabs>
      <w:spacing w:after="0" w:line="240" w:lineRule="exact"/>
    </w:pPr>
    <w:rPr>
      <w:rFonts w:eastAsia="Times New Roman" w:cs="Times New Roman"/>
      <w:b/>
      <w:spacing w:val="-5"/>
      <w:kern w:val="20"/>
      <w:szCs w:val="20"/>
    </w:rPr>
  </w:style>
  <w:style w:type="paragraph" w:styleId="List4">
    <w:name w:val="List 4"/>
    <w:link w:val="List4Char"/>
    <w:rsid w:val="006E2D94"/>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6E2D94"/>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6E2D94"/>
    <w:pPr>
      <w:spacing w:after="100"/>
    </w:pPr>
    <w:rPr>
      <w:rFonts w:cs="Arial"/>
    </w:rPr>
  </w:style>
  <w:style w:type="paragraph" w:styleId="TOC2">
    <w:name w:val="toc 2"/>
    <w:basedOn w:val="Normal"/>
    <w:next w:val="Normal"/>
    <w:autoRedefine/>
    <w:uiPriority w:val="39"/>
    <w:unhideWhenUsed/>
    <w:rsid w:val="006E2D94"/>
    <w:pPr>
      <w:spacing w:after="100"/>
      <w:ind w:left="220"/>
    </w:pPr>
  </w:style>
  <w:style w:type="paragraph" w:styleId="TOC3">
    <w:name w:val="toc 3"/>
    <w:basedOn w:val="Normal"/>
    <w:next w:val="Normal"/>
    <w:autoRedefine/>
    <w:uiPriority w:val="39"/>
    <w:unhideWhenUsed/>
    <w:rsid w:val="006E2D94"/>
    <w:pPr>
      <w:spacing w:after="100"/>
      <w:ind w:left="440"/>
    </w:pPr>
  </w:style>
  <w:style w:type="paragraph" w:styleId="TOC4">
    <w:name w:val="toc 4"/>
    <w:basedOn w:val="Normal"/>
    <w:next w:val="Normal"/>
    <w:autoRedefine/>
    <w:uiPriority w:val="39"/>
    <w:unhideWhenUsed/>
    <w:rsid w:val="006E2D94"/>
    <w:pPr>
      <w:spacing w:after="100"/>
      <w:ind w:left="660"/>
    </w:pPr>
  </w:style>
  <w:style w:type="paragraph" w:styleId="TOC5">
    <w:name w:val="toc 5"/>
    <w:basedOn w:val="Normal"/>
    <w:next w:val="Normal"/>
    <w:autoRedefine/>
    <w:uiPriority w:val="39"/>
    <w:semiHidden/>
    <w:unhideWhenUsed/>
    <w:rsid w:val="006E2D94"/>
    <w:pPr>
      <w:spacing w:after="100"/>
      <w:ind w:left="880"/>
    </w:pPr>
  </w:style>
  <w:style w:type="paragraph" w:styleId="TOC6">
    <w:name w:val="toc 6"/>
    <w:basedOn w:val="Normal"/>
    <w:next w:val="Normal"/>
    <w:autoRedefine/>
    <w:uiPriority w:val="39"/>
    <w:semiHidden/>
    <w:unhideWhenUsed/>
    <w:rsid w:val="006E2D94"/>
    <w:pPr>
      <w:spacing w:after="100"/>
      <w:ind w:left="1100"/>
    </w:pPr>
  </w:style>
  <w:style w:type="paragraph" w:styleId="TOC7">
    <w:name w:val="toc 7"/>
    <w:basedOn w:val="Normal"/>
    <w:next w:val="Normal"/>
    <w:autoRedefine/>
    <w:uiPriority w:val="39"/>
    <w:semiHidden/>
    <w:unhideWhenUsed/>
    <w:rsid w:val="006E2D94"/>
    <w:pPr>
      <w:spacing w:after="100"/>
      <w:ind w:left="1320"/>
    </w:pPr>
  </w:style>
  <w:style w:type="paragraph" w:styleId="TOC8">
    <w:name w:val="toc 8"/>
    <w:basedOn w:val="Normal"/>
    <w:next w:val="Normal"/>
    <w:autoRedefine/>
    <w:uiPriority w:val="39"/>
    <w:semiHidden/>
    <w:unhideWhenUsed/>
    <w:rsid w:val="006E2D94"/>
    <w:pPr>
      <w:spacing w:after="100"/>
      <w:ind w:left="1540"/>
    </w:pPr>
  </w:style>
  <w:style w:type="paragraph" w:styleId="TOC9">
    <w:name w:val="toc 9"/>
    <w:basedOn w:val="Normal"/>
    <w:next w:val="Normal"/>
    <w:autoRedefine/>
    <w:uiPriority w:val="39"/>
    <w:semiHidden/>
    <w:unhideWhenUsed/>
    <w:rsid w:val="006E2D94"/>
    <w:pPr>
      <w:spacing w:after="100"/>
      <w:ind w:left="1760"/>
    </w:pPr>
  </w:style>
  <w:style w:type="paragraph" w:styleId="List">
    <w:name w:val="List"/>
    <w:basedOn w:val="Normal"/>
    <w:link w:val="ListChar"/>
    <w:uiPriority w:val="99"/>
    <w:semiHidden/>
    <w:unhideWhenUsed/>
    <w:rsid w:val="00325CD8"/>
    <w:pPr>
      <w:ind w:left="360" w:hanging="360"/>
      <w:contextualSpacing/>
    </w:pPr>
  </w:style>
  <w:style w:type="character" w:customStyle="1" w:styleId="List1Char">
    <w:name w:val="List 1 Char"/>
    <w:basedOn w:val="ListChar"/>
    <w:link w:val="List1"/>
    <w:rsid w:val="00325CD8"/>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52215.htm" TargetMode="External"/><Relationship Id="rId13" Type="http://schemas.openxmlformats.org/officeDocument/2006/relationships/header" Target="header1.xml"/><Relationship Id="rId18" Type="http://schemas.openxmlformats.org/officeDocument/2006/relationships/hyperlink" Target="http://www.acq.osd.mil/dpap/dars/dfars/html/current/215_3.htm" TargetMode="External"/><Relationship Id="rId26"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www.acq.osd.mil/dpap/dars/dfars/html/current/239_73.htm" TargetMode="External"/><Relationship Id="rId12" Type="http://schemas.openxmlformats.org/officeDocument/2006/relationships/hyperlink" Target="http://www.acq.osd.mil/dpap/dars/dfars/html/current/215_3.htm" TargetMode="External"/><Relationship Id="rId17" Type="http://schemas.openxmlformats.org/officeDocument/2006/relationships/hyperlink" Target="http://www.acq.osd.mil/dpap/dars/dfars/html/current/215_3.htm" TargetMode="External"/><Relationship Id="rId25"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hyperlink" Target="http://www.acq.osd.mil/dpap/dars/dfars/html/current/239_73.htm" TargetMode="External"/><Relationship Id="rId11" Type="http://schemas.openxmlformats.org/officeDocument/2006/relationships/hyperlink" Target="http://www.acq.osd.mil/dpap/dars/dfars/html/current/215_4.htm" TargetMode="External"/><Relationship Id="rId24" Type="http://schemas.openxmlformats.org/officeDocument/2006/relationships/hyperlink" Target="http://www.acq.osd.mil/dpap/dars/dfars/html/current/239_73.htm" TargetMode="Externa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www.acq.osd.mil/dpap/dars/dfars/html/current/239_73.htm" TargetMode="External"/><Relationship Id="rId28" Type="http://schemas.openxmlformats.org/officeDocument/2006/relationships/theme" Target="theme/theme1.xml"/><Relationship Id="rId10" Type="http://schemas.openxmlformats.org/officeDocument/2006/relationships/hyperlink" Target="http://www.acq.osd.mil/dpap/dars/dfars/html/current/215_3.htm"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acq.osd.mil/dpap/dars/dfars/html/current/252215.htm" TargetMode="Externa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2020-04-14T14:53:00Z</dcterms:modified>
</cp:coreProperties>
</file>