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03B63" w14:textId="77777777" w:rsidR="003F6E87" w:rsidRDefault="003F6E87">
      <w:pPr>
        <w:sectPr w:rsidR="003F6E8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B32A44" w14:textId="77777777" w:rsidR="003F6E87" w:rsidRDefault="003F6E87" w:rsidP="00AD6B56">
      <w:pPr>
        <w:pStyle w:val="Heading1"/>
      </w:pPr>
      <w:bookmarkStart w:id="0" w:name="_Toc37676952"/>
      <w:bookmarkStart w:id="1" w:name="_Toc37755072"/>
      <w:r w:rsidRPr="007B495C">
        <w:lastRenderedPageBreak/>
        <w:t xml:space="preserve">PART </w:t>
      </w:r>
      <w:r>
        <w:t>224</w:t>
      </w:r>
      <w:r w:rsidRPr="007B495C">
        <w:t xml:space="preserve"> - </w:t>
      </w:r>
      <w:r>
        <w:br/>
      </w:r>
      <w:r w:rsidRPr="004C7BE3">
        <w:t>PROTECTION OF PRIVACY AND FREEDOM OF INFORMATION</w:t>
      </w:r>
      <w:bookmarkEnd w:id="0"/>
      <w:bookmarkEnd w:id="1"/>
    </w:p>
    <w:p w14:paraId="566962B8" w14:textId="77777777" w:rsidR="003F6E87" w:rsidRDefault="003F6E87">
      <w:r>
        <w:br w:type="page"/>
      </w:r>
      <w:r>
        <w:lastRenderedPageBreak/>
        <w:br/>
      </w:r>
    </w:p>
    <w:p w14:paraId="23FD1BE4" w14:textId="77777777" w:rsidR="00E10627" w:rsidRDefault="00E10627" w:rsidP="003F6E8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Table of Contents</w:t>
      </w:r>
    </w:p>
    <w:p w14:paraId="66C7D265" w14:textId="5C8FBE86" w:rsidR="008B0C3D" w:rsidRDefault="008B0C3D" w:rsidP="008B0C3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rPr>
          <w:rStyle w:val="Hyperlink"/>
          <w:noProof/>
        </w:rPr>
        <w:fldChar w:fldCharType="begin"/>
      </w:r>
      <w:r>
        <w:rPr>
          <w:rStyle w:val="Hyperlink"/>
          <w:noProof/>
        </w:rPr>
        <w:instrText xml:space="preserve"> TOC \o "1-4" \n \h \z \u </w:instrText>
      </w:r>
      <w:r>
        <w:rPr>
          <w:rStyle w:val="Hyperlink"/>
          <w:noProof/>
        </w:rPr>
        <w:fldChar w:fldCharType="separate"/>
      </w:r>
      <w:hyperlink w:anchor="_Toc37755072" w:history="1">
        <w:r w:rsidRPr="00194D99">
          <w:rPr>
            <w:rStyle w:val="Hyperlink"/>
            <w:noProof/>
          </w:rPr>
          <w:t>PART 224 -  PROTECTION OF PRIVACY AND FREEDOM OF INFORMATION</w:t>
        </w:r>
      </w:hyperlink>
    </w:p>
    <w:p w14:paraId="1ADF4FC0" w14:textId="69E34916" w:rsidR="008B0C3D" w:rsidRDefault="008B0C3D" w:rsidP="008B0C3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7755073" w:history="1">
        <w:r w:rsidRPr="00194D99">
          <w:rPr>
            <w:rStyle w:val="Hyperlink"/>
            <w:caps/>
            <w:noProof/>
          </w:rPr>
          <w:t>SUBPART 224.1--protection of individual privacy</w:t>
        </w:r>
      </w:hyperlink>
    </w:p>
    <w:p w14:paraId="0403312D" w14:textId="40961460" w:rsidR="008B0C3D" w:rsidRDefault="008B0C3D" w:rsidP="008B0C3D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7755074" w:history="1">
        <w:r w:rsidRPr="00194D99">
          <w:rPr>
            <w:rStyle w:val="Hyperlink"/>
            <w:noProof/>
          </w:rPr>
          <w:t>224.103  Procedures.</w:t>
        </w:r>
      </w:hyperlink>
    </w:p>
    <w:p w14:paraId="09823636" w14:textId="6AE85CAC" w:rsidR="008B0C3D" w:rsidRDefault="008B0C3D" w:rsidP="008B0C3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7755075" w:history="1">
        <w:r w:rsidRPr="00194D99">
          <w:rPr>
            <w:rStyle w:val="Hyperlink"/>
            <w:caps/>
            <w:noProof/>
          </w:rPr>
          <w:t>SUBPART 224.2--freedom of information act</w:t>
        </w:r>
      </w:hyperlink>
    </w:p>
    <w:p w14:paraId="63666532" w14:textId="5631C765" w:rsidR="008B0C3D" w:rsidRDefault="008B0C3D" w:rsidP="008B0C3D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7755076" w:history="1">
        <w:r w:rsidRPr="00194D99">
          <w:rPr>
            <w:rStyle w:val="Hyperlink"/>
            <w:noProof/>
          </w:rPr>
          <w:t>224.203  Policy.</w:t>
        </w:r>
      </w:hyperlink>
    </w:p>
    <w:p w14:paraId="41D24B0C" w14:textId="6A45161D" w:rsidR="003F6E87" w:rsidRPr="003F6E87" w:rsidRDefault="008B0C3D" w:rsidP="003F6E87">
      <w:pPr>
        <w:jc w:val="center"/>
        <w:rPr>
          <w:rFonts w:ascii="Arial" w:hAnsi="Arial" w:cs="Arial"/>
          <w:b/>
        </w:rPr>
      </w:pPr>
      <w:r>
        <w:rPr>
          <w:rStyle w:val="Hyperlink"/>
          <w:rFonts w:cs="Arial"/>
          <w:noProof/>
        </w:rPr>
        <w:fldChar w:fldCharType="end"/>
      </w:r>
    </w:p>
    <w:p w14:paraId="3B95E401" w14:textId="77777777" w:rsidR="003F6E87" w:rsidRPr="00EC6287" w:rsidRDefault="003F6E87" w:rsidP="00EC6287">
      <w:pPr>
        <w:pStyle w:val="Heading2"/>
      </w:pPr>
      <w:bookmarkStart w:id="2" w:name="_Toc37345625"/>
      <w:bookmarkStart w:id="3" w:name="_Toc37676953"/>
      <w:bookmarkStart w:id="4" w:name="BM224_1"/>
      <w:bookmarkStart w:id="5" w:name="_Toc37755073"/>
      <w:r w:rsidRPr="00EC6287">
        <w:rPr>
          <w:caps/>
        </w:rPr>
        <w:t>SUBPART 224.1--protection of individual privacy</w:t>
      </w:r>
      <w:bookmarkEnd w:id="2"/>
      <w:bookmarkEnd w:id="3"/>
      <w:bookmarkEnd w:id="5"/>
    </w:p>
    <w:p w14:paraId="0058C047" w14:textId="77777777" w:rsidR="003F6E87" w:rsidRPr="004104D2" w:rsidRDefault="003F6E87" w:rsidP="00EC6287">
      <w:pPr>
        <w:jc w:val="center"/>
      </w:pPr>
      <w:r w:rsidRPr="004104D2">
        <w:rPr>
          <w:i/>
        </w:rPr>
        <w:t>(Revised November 22, 2004)</w:t>
      </w:r>
    </w:p>
    <w:p w14:paraId="67D502F6" w14:textId="77777777" w:rsidR="003F6E87" w:rsidRDefault="003F6E87" w:rsidP="004104D2">
      <w:pPr>
        <w:pStyle w:val="Heading3"/>
      </w:pPr>
      <w:r>
        <w:br/>
      </w:r>
      <w:bookmarkStart w:id="6" w:name="_Toc37345626"/>
      <w:bookmarkStart w:id="7" w:name="_Toc37676954"/>
      <w:bookmarkStart w:id="8" w:name="_Toc37755074"/>
      <w:proofErr w:type="gramStart"/>
      <w:r w:rsidRPr="00670C6B">
        <w:t>224</w:t>
      </w:r>
      <w:r>
        <w:t>.</w:t>
      </w:r>
      <w:r w:rsidRPr="00670C6B">
        <w:t>103</w:t>
      </w:r>
      <w:r>
        <w:t xml:space="preserve">  </w:t>
      </w:r>
      <w:r w:rsidRPr="00670C6B">
        <w:t>Procedures</w:t>
      </w:r>
      <w:proofErr w:type="gramEnd"/>
      <w:r>
        <w:t>.</w:t>
      </w:r>
      <w:bookmarkEnd w:id="6"/>
      <w:bookmarkEnd w:id="7"/>
      <w:bookmarkEnd w:id="8"/>
    </w:p>
    <w:p w14:paraId="71DF86C9" w14:textId="77777777" w:rsidR="003F6E87" w:rsidRDefault="003F6E87" w:rsidP="00D97E82">
      <w:pPr>
        <w:pStyle w:val="List1"/>
      </w:pPr>
      <w:r>
        <w:rPr>
          <w:b/>
        </w:rPr>
        <w:br/>
      </w:r>
      <w:r>
        <w:t>(b)(2</w:t>
      </w:r>
      <w:proofErr w:type="gramStart"/>
      <w:r>
        <w:t>)  DoD</w:t>
      </w:r>
      <w:proofErr w:type="gramEnd"/>
      <w:r>
        <w:t xml:space="preserve"> rules and regulations are contained in </w:t>
      </w:r>
      <w:proofErr w:type="spellStart"/>
      <w:r>
        <w:t>DoDD</w:t>
      </w:r>
      <w:proofErr w:type="spellEnd"/>
      <w:r>
        <w:t xml:space="preserve"> 5400.11, Department of Defense Privacy Program, and DoD 5400.11-R, Department of Defense Privacy Program.</w:t>
      </w:r>
      <w:bookmarkEnd w:id="4"/>
    </w:p>
    <w:p w14:paraId="2742B911" w14:textId="77777777" w:rsidR="003F6E87" w:rsidRPr="004104D2" w:rsidRDefault="003F6E87" w:rsidP="004104D2">
      <w:r w:rsidRPr="004104D2">
        <w:br/>
      </w:r>
    </w:p>
    <w:p w14:paraId="45C29851" w14:textId="77777777" w:rsidR="003F6E87" w:rsidRDefault="003F6E87">
      <w:pPr>
        <w:sectPr w:rsidR="003F6E87" w:rsidSect="00CF78F3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5A3EC8" w14:textId="77777777" w:rsidR="003F6E87" w:rsidRPr="00044791" w:rsidRDefault="003F6E87" w:rsidP="00044791">
      <w:pPr>
        <w:pStyle w:val="Heading2"/>
      </w:pPr>
      <w:bookmarkStart w:id="9" w:name="_Toc37345627"/>
      <w:bookmarkStart w:id="10" w:name="_Toc37676955"/>
      <w:bookmarkStart w:id="11" w:name="BM224_2"/>
      <w:bookmarkStart w:id="12" w:name="_Toc37755075"/>
      <w:r w:rsidRPr="00044791">
        <w:rPr>
          <w:caps/>
        </w:rPr>
        <w:lastRenderedPageBreak/>
        <w:t>SUBPART 224.2--freedom of information act</w:t>
      </w:r>
      <w:bookmarkEnd w:id="9"/>
      <w:bookmarkEnd w:id="10"/>
      <w:bookmarkEnd w:id="12"/>
    </w:p>
    <w:p w14:paraId="022752F4" w14:textId="77777777" w:rsidR="003F6E87" w:rsidRDefault="003F6E87" w:rsidP="00B343BE">
      <w:pPr>
        <w:pStyle w:val="Heading3"/>
      </w:pPr>
      <w:r>
        <w:rPr>
          <w:b w:val="0"/>
          <w:caps/>
        </w:rPr>
        <w:br/>
      </w:r>
      <w:bookmarkStart w:id="13" w:name="_Toc37345628"/>
      <w:bookmarkStart w:id="14" w:name="_Toc37676956"/>
      <w:bookmarkStart w:id="15" w:name="_Toc37755076"/>
      <w:proofErr w:type="gramStart"/>
      <w:r w:rsidRPr="00A9060B">
        <w:t>224</w:t>
      </w:r>
      <w:r>
        <w:t>.</w:t>
      </w:r>
      <w:r w:rsidRPr="00A9060B">
        <w:t>203</w:t>
      </w:r>
      <w:r>
        <w:t xml:space="preserve">  </w:t>
      </w:r>
      <w:r w:rsidRPr="00A9060B">
        <w:t>Policy</w:t>
      </w:r>
      <w:proofErr w:type="gramEnd"/>
      <w:r>
        <w:t>.</w:t>
      </w:r>
      <w:bookmarkEnd w:id="13"/>
      <w:bookmarkEnd w:id="14"/>
      <w:bookmarkEnd w:id="15"/>
    </w:p>
    <w:p w14:paraId="39A61B61" w14:textId="77777777" w:rsidR="003F6E87" w:rsidRDefault="003F6E87" w:rsidP="00D97E82">
      <w:pPr>
        <w:pStyle w:val="List1"/>
      </w:pPr>
      <w:r>
        <w:rPr>
          <w:b/>
        </w:rPr>
        <w:br/>
      </w:r>
      <w:r>
        <w:t xml:space="preserve">(a)  DoD implementation is in </w:t>
      </w:r>
      <w:proofErr w:type="spellStart"/>
      <w:r>
        <w:t>DoDD</w:t>
      </w:r>
      <w:proofErr w:type="spellEnd"/>
      <w:r>
        <w:t xml:space="preserve"> 5400.7, DoD Freedom of Information Act Program, and DoD 5400.7-R, DoD Freedom of Information Act Program.</w:t>
      </w:r>
      <w:bookmarkEnd w:id="11"/>
    </w:p>
    <w:p w14:paraId="34752FAF" w14:textId="77777777" w:rsidR="003F6E87" w:rsidRPr="00B343BE" w:rsidRDefault="003F6E87" w:rsidP="00B343BE">
      <w:r w:rsidRPr="00B343BE">
        <w:br/>
      </w:r>
    </w:p>
    <w:p w14:paraId="0EB31615" w14:textId="77777777" w:rsidR="00850595" w:rsidRDefault="00850595"/>
    <w:sectPr w:rsidR="00850595" w:rsidSect="007F1EB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505DD" w14:textId="77777777" w:rsidR="0034031B" w:rsidRDefault="0034031B">
      <w:pPr>
        <w:spacing w:after="0" w:line="240" w:lineRule="auto"/>
      </w:pPr>
      <w:r>
        <w:separator/>
      </w:r>
    </w:p>
  </w:endnote>
  <w:endnote w:type="continuationSeparator" w:id="0">
    <w:p w14:paraId="27964B5B" w14:textId="77777777" w:rsidR="0034031B" w:rsidRDefault="00340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20002A87" w:usb1="00000000" w:usb2="00000000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1911B" w14:textId="77777777" w:rsidR="00C97EFE" w:rsidRDefault="0034031B">
    <w:pPr>
      <w:pStyle w:val="Footer"/>
      <w:rPr>
        <w:b/>
        <w:sz w:val="20"/>
      </w:rPr>
    </w:pPr>
  </w:p>
  <w:p w14:paraId="5AA8A9E0" w14:textId="77777777" w:rsidR="00C97EFE" w:rsidRDefault="0034031B">
    <w:pPr>
      <w:pStyle w:val="Footer"/>
      <w:tabs>
        <w:tab w:val="clear" w:pos="8640"/>
      </w:tabs>
      <w:rPr>
        <w:b/>
        <w:sz w:val="20"/>
      </w:rPr>
    </w:pPr>
  </w:p>
  <w:p w14:paraId="1389D3E3" w14:textId="77777777" w:rsidR="00C97EFE" w:rsidRDefault="003F6E87">
    <w:pPr>
      <w:pStyle w:val="Footer"/>
      <w:pBdr>
        <w:top w:val="single" w:sz="6" w:space="1" w:color="auto"/>
      </w:pBdr>
      <w:tabs>
        <w:tab w:val="clear" w:pos="8640"/>
        <w:tab w:val="right" w:pos="9260"/>
      </w:tabs>
      <w:rPr>
        <w:sz w:val="20"/>
      </w:rPr>
    </w:pPr>
    <w:r>
      <w:rPr>
        <w:sz w:val="20"/>
      </w:rPr>
      <w:t>1998 EDITION</w:t>
    </w:r>
    <w:r>
      <w:rPr>
        <w:sz w:val="20"/>
      </w:rPr>
      <w:tab/>
    </w:r>
    <w:r>
      <w:rPr>
        <w:sz w:val="20"/>
      </w:rPr>
      <w:tab/>
      <w:t>224.1-</w:t>
    </w:r>
    <w:r>
      <w:rPr>
        <w:sz w:val="20"/>
      </w:rPr>
      <w:pgNum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48387" w14:textId="77777777" w:rsidR="00F82CE3" w:rsidRDefault="0034031B">
    <w:pPr>
      <w:tabs>
        <w:tab w:val="left" w:pos="80"/>
      </w:tabs>
      <w:ind w:right="-720"/>
      <w:rPr>
        <w:rFonts w:ascii="Geneva" w:hAnsi="Geneva"/>
        <w:sz w:val="18"/>
      </w:rPr>
    </w:pPr>
  </w:p>
  <w:p w14:paraId="2B76B39A" w14:textId="77777777" w:rsidR="00F82CE3" w:rsidRDefault="0034031B">
    <w:pPr>
      <w:rPr>
        <w:rFonts w:ascii="Geneva" w:hAnsi="Geneva"/>
        <w:sz w:val="18"/>
      </w:rPr>
    </w:pPr>
  </w:p>
  <w:p w14:paraId="03D4E175" w14:textId="77777777" w:rsidR="00F82CE3" w:rsidRDefault="003F6E87">
    <w:pPr>
      <w:tabs>
        <w:tab w:val="right" w:pos="9720"/>
      </w:tabs>
      <w:ind w:right="-720"/>
      <w:rPr>
        <w:rFonts w:ascii="Geneva" w:hAnsi="Geneva"/>
        <w:b/>
        <w:sz w:val="18"/>
      </w:rPr>
    </w:pPr>
    <w:r>
      <w:rPr>
        <w:rFonts w:ascii="Geneva" w:hAnsi="Geneva"/>
        <w:sz w:val="18"/>
      </w:rPr>
      <w:t>_____________________________________________________________________________</w:t>
    </w:r>
  </w:p>
  <w:p w14:paraId="18D9F60F" w14:textId="77777777" w:rsidR="00F82CE3" w:rsidRDefault="003F6E87">
    <w:pPr>
      <w:tabs>
        <w:tab w:val="right" w:pos="9260"/>
      </w:tabs>
      <w:ind w:right="-80"/>
      <w:rPr>
        <w:rFonts w:ascii="Helvetica" w:hAnsi="Helvetica"/>
        <w:b/>
        <w:sz w:val="20"/>
      </w:rPr>
    </w:pPr>
    <w:r>
      <w:rPr>
        <w:rFonts w:ascii="Helvetica" w:hAnsi="Helvetica"/>
        <w:sz w:val="20"/>
      </w:rPr>
      <w:t>224.2-</w:t>
    </w:r>
    <w:r>
      <w:rPr>
        <w:rFonts w:ascii="Helvetica" w:hAnsi="Helvetica"/>
        <w:sz w:val="20"/>
      </w:rPr>
      <w:pgNum/>
    </w:r>
    <w:r>
      <w:rPr>
        <w:rFonts w:ascii="Helvetica" w:hAnsi="Helvetica"/>
        <w:sz w:val="20"/>
      </w:rPr>
      <w:tab/>
    </w:r>
    <w:r>
      <w:rPr>
        <w:rFonts w:ascii="Helvetica" w:hAnsi="Helvetica"/>
        <w:sz w:val="20"/>
      </w:rPr>
      <w:tab/>
      <w:t>1991 EDITION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53737" w14:textId="77777777" w:rsidR="00F82CE3" w:rsidRDefault="0034031B">
    <w:pPr>
      <w:pStyle w:val="Footer"/>
      <w:rPr>
        <w:b/>
        <w:sz w:val="20"/>
      </w:rPr>
    </w:pPr>
  </w:p>
  <w:p w14:paraId="1733F8BF" w14:textId="77777777" w:rsidR="00F82CE3" w:rsidRDefault="0034031B">
    <w:pPr>
      <w:pStyle w:val="Footer"/>
      <w:tabs>
        <w:tab w:val="clear" w:pos="8640"/>
      </w:tabs>
      <w:rPr>
        <w:b/>
        <w:sz w:val="20"/>
      </w:rPr>
    </w:pPr>
  </w:p>
  <w:p w14:paraId="3FDA80F7" w14:textId="77777777" w:rsidR="00F82CE3" w:rsidRDefault="003F6E87">
    <w:pPr>
      <w:pStyle w:val="Footer"/>
      <w:pBdr>
        <w:top w:val="single" w:sz="6" w:space="1" w:color="auto"/>
      </w:pBdr>
      <w:tabs>
        <w:tab w:val="clear" w:pos="8640"/>
        <w:tab w:val="right" w:pos="9260"/>
      </w:tabs>
      <w:rPr>
        <w:sz w:val="20"/>
      </w:rPr>
    </w:pPr>
    <w:r>
      <w:rPr>
        <w:sz w:val="20"/>
      </w:rPr>
      <w:t>1998 EDITION</w:t>
    </w:r>
    <w:r>
      <w:rPr>
        <w:sz w:val="20"/>
      </w:rPr>
      <w:tab/>
    </w:r>
    <w:r>
      <w:rPr>
        <w:sz w:val="20"/>
      </w:rPr>
      <w:tab/>
      <w:t>224.2-</w:t>
    </w:r>
    <w:r>
      <w:rPr>
        <w:sz w:val="20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14484" w14:textId="77777777" w:rsidR="0034031B" w:rsidRDefault="0034031B">
      <w:pPr>
        <w:spacing w:after="0" w:line="240" w:lineRule="auto"/>
      </w:pPr>
      <w:r>
        <w:separator/>
      </w:r>
    </w:p>
  </w:footnote>
  <w:footnote w:type="continuationSeparator" w:id="0">
    <w:p w14:paraId="65036E61" w14:textId="77777777" w:rsidR="0034031B" w:rsidRDefault="00340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6690B" w14:textId="77777777" w:rsidR="00C97EFE" w:rsidRDefault="003F6E87">
    <w:pPr>
      <w:pStyle w:val="Header"/>
      <w:tabs>
        <w:tab w:val="clear" w:pos="8640"/>
      </w:tabs>
      <w:jc w:val="center"/>
    </w:pPr>
    <w:r>
      <w:t>Defense Federal Acquisition Regulation Supplement</w:t>
    </w:r>
  </w:p>
  <w:p w14:paraId="0F788D89" w14:textId="77777777" w:rsidR="00C97EFE" w:rsidRDefault="0034031B">
    <w:pPr>
      <w:pStyle w:val="Header"/>
      <w:rPr>
        <w:b/>
        <w:sz w:val="20"/>
      </w:rPr>
    </w:pPr>
  </w:p>
  <w:p w14:paraId="1EDA7FA3" w14:textId="77777777" w:rsidR="00C97EFE" w:rsidRDefault="003F6E87">
    <w:pPr>
      <w:pStyle w:val="Header"/>
      <w:pBdr>
        <w:bottom w:val="single" w:sz="6" w:space="1" w:color="auto"/>
      </w:pBdr>
      <w:tabs>
        <w:tab w:val="clear" w:pos="8640"/>
      </w:tabs>
      <w:spacing w:after="20"/>
      <w:rPr>
        <w:sz w:val="20"/>
      </w:rPr>
    </w:pPr>
    <w:r>
      <w:rPr>
        <w:sz w:val="20"/>
      </w:rPr>
      <w:t>Part 224—Protection of Privacy and Freedom of Information</w:t>
    </w:r>
  </w:p>
  <w:p w14:paraId="3F5F52E7" w14:textId="77777777" w:rsidR="00C97EFE" w:rsidRDefault="0034031B">
    <w:pPr>
      <w:pStyle w:val="Header"/>
      <w:tabs>
        <w:tab w:val="clear" w:pos="8640"/>
        <w:tab w:val="right" w:pos="9260"/>
      </w:tabs>
      <w:spacing w:before="20" w:line="20" w:lineRule="exact"/>
      <w:rPr>
        <w:b/>
        <w:position w:val="6"/>
        <w:sz w:val="18"/>
      </w:rPr>
    </w:pPr>
  </w:p>
  <w:p w14:paraId="46FC34B8" w14:textId="77777777" w:rsidR="00C97EFE" w:rsidRDefault="0034031B">
    <w:pPr>
      <w:pStyle w:val="Header"/>
      <w:tabs>
        <w:tab w:val="clear" w:pos="8640"/>
        <w:tab w:val="right" w:pos="9260"/>
      </w:tabs>
      <w:rPr>
        <w:b/>
        <w:sz w:val="20"/>
      </w:rPr>
    </w:pPr>
  </w:p>
  <w:p w14:paraId="547F57A6" w14:textId="77777777" w:rsidR="00C97EFE" w:rsidRDefault="0034031B">
    <w:pPr>
      <w:pStyle w:val="Header"/>
      <w:rPr>
        <w:b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4E7B2" w14:textId="77777777" w:rsidR="00F82CE3" w:rsidRDefault="003F6E87">
    <w:pPr>
      <w:pStyle w:val="Header"/>
      <w:tabs>
        <w:tab w:val="clear" w:pos="8640"/>
      </w:tabs>
      <w:ind w:right="-440"/>
      <w:jc w:val="center"/>
      <w:rPr>
        <w:rFonts w:ascii="Helvetica" w:hAnsi="Helvetica"/>
        <w:b/>
        <w:sz w:val="18"/>
      </w:rPr>
    </w:pPr>
    <w:r>
      <w:rPr>
        <w:rFonts w:ascii="Helvetica" w:hAnsi="Helvetica"/>
        <w:sz w:val="18"/>
      </w:rPr>
      <w:t>Defense Federal Acquisition Regulation Supplement</w:t>
    </w:r>
  </w:p>
  <w:p w14:paraId="35799E9C" w14:textId="77777777" w:rsidR="00F82CE3" w:rsidRDefault="0034031B">
    <w:pPr>
      <w:pStyle w:val="Header"/>
      <w:rPr>
        <w:rFonts w:ascii="Helvetica" w:hAnsi="Helvetica"/>
        <w:sz w:val="18"/>
      </w:rPr>
    </w:pPr>
  </w:p>
  <w:p w14:paraId="15C6A5C2" w14:textId="77777777" w:rsidR="00F82CE3" w:rsidRDefault="003F6E87">
    <w:pPr>
      <w:pStyle w:val="Header"/>
      <w:spacing w:after="10"/>
      <w:rPr>
        <w:rFonts w:ascii="Helvetica" w:hAnsi="Helvetica"/>
        <w:b/>
        <w:sz w:val="20"/>
      </w:rPr>
    </w:pPr>
    <w:r>
      <w:rPr>
        <w:rFonts w:ascii="Helvetica" w:hAnsi="Helvetica"/>
        <w:sz w:val="20"/>
      </w:rPr>
      <w:t>Part 224--Protection of Privacy and Freedom of Information</w:t>
    </w:r>
  </w:p>
  <w:p w14:paraId="00D1CA37" w14:textId="77777777" w:rsidR="00F82CE3" w:rsidRDefault="003F6E87">
    <w:pPr>
      <w:pStyle w:val="Header"/>
      <w:spacing w:before="10" w:line="40" w:lineRule="exact"/>
      <w:rPr>
        <w:rFonts w:ascii="Helvetica" w:hAnsi="Helvetica"/>
        <w:b/>
        <w:position w:val="6"/>
        <w:sz w:val="18"/>
      </w:rPr>
    </w:pPr>
    <w:r>
      <w:rPr>
        <w:rFonts w:ascii="Geneva" w:hAnsi="Geneva"/>
        <w:position w:val="6"/>
        <w:sz w:val="18"/>
      </w:rPr>
      <w:t>_____________________________________________________________________________</w:t>
    </w:r>
  </w:p>
  <w:p w14:paraId="0B473F14" w14:textId="77777777" w:rsidR="00F82CE3" w:rsidRDefault="0034031B">
    <w:pPr>
      <w:pStyle w:val="Header"/>
      <w:tabs>
        <w:tab w:val="right" w:pos="10260"/>
      </w:tabs>
      <w:ind w:right="-800"/>
      <w:rPr>
        <w:rFonts w:ascii="Helvetica" w:hAnsi="Helvetica"/>
        <w:sz w:val="20"/>
        <w:u w:val="single"/>
      </w:rPr>
    </w:pPr>
  </w:p>
  <w:p w14:paraId="474BA45A" w14:textId="77777777" w:rsidR="00F82CE3" w:rsidRDefault="0034031B">
    <w:pPr>
      <w:pStyle w:val="Header"/>
      <w:tabs>
        <w:tab w:val="right" w:pos="10260"/>
      </w:tabs>
      <w:ind w:right="-800"/>
      <w:rPr>
        <w:rFonts w:ascii="Helvetica" w:hAnsi="Helvetica"/>
        <w:sz w:val="2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849EC" w14:textId="77777777" w:rsidR="00F82CE3" w:rsidRDefault="003F6E87">
    <w:pPr>
      <w:pStyle w:val="Header"/>
      <w:tabs>
        <w:tab w:val="clear" w:pos="8640"/>
      </w:tabs>
      <w:jc w:val="center"/>
    </w:pPr>
    <w:r>
      <w:t>Defense Federal Acquisition Regulation Supplement</w:t>
    </w:r>
  </w:p>
  <w:p w14:paraId="3D989E01" w14:textId="77777777" w:rsidR="00F82CE3" w:rsidRDefault="0034031B">
    <w:pPr>
      <w:pStyle w:val="Header"/>
      <w:rPr>
        <w:b/>
        <w:sz w:val="20"/>
      </w:rPr>
    </w:pPr>
  </w:p>
  <w:p w14:paraId="22F259D7" w14:textId="77777777" w:rsidR="00F82CE3" w:rsidRDefault="003F6E87">
    <w:pPr>
      <w:pStyle w:val="Header"/>
      <w:pBdr>
        <w:bottom w:val="single" w:sz="6" w:space="1" w:color="auto"/>
      </w:pBdr>
      <w:tabs>
        <w:tab w:val="clear" w:pos="8640"/>
      </w:tabs>
      <w:spacing w:after="20"/>
      <w:rPr>
        <w:sz w:val="20"/>
      </w:rPr>
    </w:pPr>
    <w:r>
      <w:rPr>
        <w:sz w:val="20"/>
      </w:rPr>
      <w:t>Part 224—Protection of Privacy and Freedom of Information</w:t>
    </w:r>
  </w:p>
  <w:p w14:paraId="466D5FE7" w14:textId="77777777" w:rsidR="00F82CE3" w:rsidRDefault="0034031B">
    <w:pPr>
      <w:pStyle w:val="Header"/>
      <w:tabs>
        <w:tab w:val="clear" w:pos="8640"/>
        <w:tab w:val="right" w:pos="9260"/>
      </w:tabs>
      <w:spacing w:before="20" w:line="20" w:lineRule="exact"/>
      <w:rPr>
        <w:position w:val="6"/>
        <w:sz w:val="18"/>
      </w:rPr>
    </w:pPr>
  </w:p>
  <w:p w14:paraId="6D04EFBD" w14:textId="77777777" w:rsidR="00F82CE3" w:rsidRDefault="0034031B">
    <w:pPr>
      <w:pStyle w:val="Header"/>
      <w:tabs>
        <w:tab w:val="clear" w:pos="8640"/>
        <w:tab w:val="right" w:pos="9260"/>
      </w:tabs>
      <w:rPr>
        <w:b/>
        <w:sz w:val="20"/>
      </w:rPr>
    </w:pPr>
  </w:p>
  <w:p w14:paraId="716E2928" w14:textId="77777777" w:rsidR="00F82CE3" w:rsidRDefault="0034031B">
    <w:pPr>
      <w:pStyle w:val="Header"/>
      <w:rPr>
        <w:b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87"/>
    <w:rsid w:val="0034031B"/>
    <w:rsid w:val="003F6E87"/>
    <w:rsid w:val="00505901"/>
    <w:rsid w:val="00516950"/>
    <w:rsid w:val="007D6208"/>
    <w:rsid w:val="00850595"/>
    <w:rsid w:val="008B0C3D"/>
    <w:rsid w:val="00B8095C"/>
    <w:rsid w:val="00BF48DE"/>
    <w:rsid w:val="00D97E82"/>
    <w:rsid w:val="00E10627"/>
    <w:rsid w:val="00EE23E5"/>
    <w:rsid w:val="00F2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A5FA"/>
  <w15:chartTrackingRefBased/>
  <w15:docId w15:val="{703BBDD1-127D-4805-A279-9C466BC2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Schoolbook" w:hAnsi="Century Schoolbook"/>
    </w:rPr>
  </w:style>
  <w:style w:type="paragraph" w:styleId="Heading1">
    <w:name w:val="heading 1"/>
    <w:basedOn w:val="Normal"/>
    <w:link w:val="Heading1Char"/>
    <w:uiPriority w:val="9"/>
    <w:qFormat/>
    <w:rsid w:val="003F6E87"/>
    <w:pPr>
      <w:keepNext/>
      <w:spacing w:before="240" w:after="60" w:line="240" w:lineRule="auto"/>
      <w:ind w:left="994" w:hanging="994"/>
      <w:jc w:val="center"/>
      <w:outlineLvl w:val="0"/>
    </w:pPr>
    <w:rPr>
      <w:rFonts w:eastAsiaTheme="majorEastAsia" w:cstheme="majorBidi"/>
      <w:b/>
      <w:kern w:val="32"/>
      <w:sz w:val="28"/>
      <w:szCs w:val="32"/>
    </w:rPr>
  </w:style>
  <w:style w:type="paragraph" w:styleId="Heading2">
    <w:name w:val="heading 2"/>
    <w:link w:val="Heading2Char"/>
    <w:uiPriority w:val="9"/>
    <w:unhideWhenUsed/>
    <w:qFormat/>
    <w:rsid w:val="003F6E87"/>
    <w:pPr>
      <w:keepNext/>
      <w:spacing w:before="240" w:after="60" w:line="240" w:lineRule="auto"/>
      <w:jc w:val="center"/>
      <w:outlineLvl w:val="1"/>
    </w:pPr>
    <w:rPr>
      <w:rFonts w:ascii="Century Schoolbook" w:eastAsiaTheme="majorEastAsia" w:hAnsi="Century Schoolbook" w:cstheme="majorBidi"/>
      <w:b/>
      <w:bCs/>
      <w:iCs/>
      <w:sz w:val="28"/>
      <w:szCs w:val="28"/>
    </w:rPr>
  </w:style>
  <w:style w:type="paragraph" w:styleId="Heading3">
    <w:name w:val="heading 3"/>
    <w:link w:val="Heading3Char"/>
    <w:qFormat/>
    <w:rsid w:val="003F6E87"/>
    <w:pPr>
      <w:keepNext/>
      <w:spacing w:before="120" w:after="120" w:line="240" w:lineRule="auto"/>
      <w:outlineLvl w:val="2"/>
    </w:pPr>
    <w:rPr>
      <w:rFonts w:ascii="Century Schoolbook" w:eastAsia="Times New Roman" w:hAnsi="Century Schoolbook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6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E87"/>
    <w:rPr>
      <w:rFonts w:ascii="Century Schoolbook" w:eastAsiaTheme="majorEastAsia" w:hAnsi="Century Schoolbook" w:cstheme="majorBidi"/>
      <w:b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6E87"/>
    <w:rPr>
      <w:rFonts w:ascii="Century Schoolbook" w:eastAsiaTheme="majorEastAsia" w:hAnsi="Century Schoolbook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F6E87"/>
    <w:rPr>
      <w:rFonts w:ascii="Century Schoolbook" w:eastAsia="Times New Roman" w:hAnsi="Century Schoolbook" w:cs="Times New Roman"/>
      <w:b/>
      <w:sz w:val="24"/>
      <w:szCs w:val="20"/>
    </w:rPr>
  </w:style>
  <w:style w:type="paragraph" w:styleId="Footer">
    <w:name w:val="footer"/>
    <w:basedOn w:val="Normal"/>
    <w:link w:val="FooterChar"/>
    <w:semiHidden/>
    <w:rsid w:val="003F6E87"/>
    <w:pPr>
      <w:tabs>
        <w:tab w:val="left" w:pos="1000"/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Cs w:val="20"/>
    </w:rPr>
  </w:style>
  <w:style w:type="character" w:customStyle="1" w:styleId="FooterChar">
    <w:name w:val="Footer Char"/>
    <w:basedOn w:val="DefaultParagraphFont"/>
    <w:link w:val="Footer"/>
    <w:semiHidden/>
    <w:rsid w:val="003F6E87"/>
    <w:rPr>
      <w:rFonts w:ascii="Century Schoolbook" w:eastAsia="Times New Roman" w:hAnsi="Century Schoolbook" w:cs="Times New Roman"/>
      <w:szCs w:val="20"/>
    </w:rPr>
  </w:style>
  <w:style w:type="paragraph" w:styleId="Header">
    <w:name w:val="header"/>
    <w:basedOn w:val="Normal"/>
    <w:link w:val="HeaderChar"/>
    <w:semiHidden/>
    <w:rsid w:val="003F6E87"/>
    <w:pPr>
      <w:tabs>
        <w:tab w:val="left" w:pos="1000"/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Cs w:val="20"/>
    </w:rPr>
  </w:style>
  <w:style w:type="character" w:customStyle="1" w:styleId="HeaderChar">
    <w:name w:val="Header Char"/>
    <w:basedOn w:val="DefaultParagraphFont"/>
    <w:link w:val="Header"/>
    <w:semiHidden/>
    <w:rsid w:val="003F6E87"/>
    <w:rPr>
      <w:rFonts w:ascii="Century Schoolbook" w:eastAsia="Times New Roman" w:hAnsi="Century Schoolbook" w:cs="Times New Roman"/>
      <w:szCs w:val="20"/>
    </w:rPr>
  </w:style>
  <w:style w:type="paragraph" w:customStyle="1" w:styleId="List1">
    <w:name w:val="List 1"/>
    <w:basedOn w:val="List2"/>
    <w:link w:val="List1Char"/>
    <w:autoRedefine/>
    <w:rsid w:val="00D97E82"/>
    <w:pPr>
      <w:ind w:left="0" w:firstLine="0"/>
    </w:pPr>
  </w:style>
  <w:style w:type="character" w:customStyle="1" w:styleId="ListChar">
    <w:name w:val="List Char"/>
    <w:basedOn w:val="DefaultParagraphFont"/>
    <w:link w:val="List"/>
    <w:uiPriority w:val="99"/>
    <w:semiHidden/>
    <w:rsid w:val="00D97E82"/>
  </w:style>
  <w:style w:type="paragraph" w:styleId="TOC1">
    <w:name w:val="toc 1"/>
    <w:basedOn w:val="Normal"/>
    <w:next w:val="Normal"/>
    <w:autoRedefine/>
    <w:uiPriority w:val="39"/>
    <w:unhideWhenUsed/>
    <w:rsid w:val="003F6E87"/>
    <w:pPr>
      <w:spacing w:after="100"/>
    </w:pPr>
    <w:rPr>
      <w:rFonts w:cs="Arial"/>
    </w:rPr>
  </w:style>
  <w:style w:type="paragraph" w:styleId="TOC2">
    <w:name w:val="toc 2"/>
    <w:basedOn w:val="Normal"/>
    <w:next w:val="Normal"/>
    <w:autoRedefine/>
    <w:uiPriority w:val="39"/>
    <w:unhideWhenUsed/>
    <w:rsid w:val="003F6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6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F6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6E8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F6E8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F6E8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F6E8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F6E8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F6E87"/>
    <w:pPr>
      <w:spacing w:after="100"/>
      <w:ind w:left="1760"/>
    </w:pPr>
  </w:style>
  <w:style w:type="paragraph" w:styleId="List">
    <w:name w:val="List"/>
    <w:basedOn w:val="Normal"/>
    <w:link w:val="ListChar"/>
    <w:uiPriority w:val="99"/>
    <w:semiHidden/>
    <w:unhideWhenUsed/>
    <w:rsid w:val="00D97E82"/>
    <w:pPr>
      <w:ind w:left="360" w:hanging="360"/>
      <w:contextualSpacing/>
    </w:pPr>
  </w:style>
  <w:style w:type="character" w:customStyle="1" w:styleId="List1Char">
    <w:name w:val="List 1 Char"/>
    <w:basedOn w:val="ListChar"/>
    <w:link w:val="List1"/>
    <w:rsid w:val="00D97E82"/>
    <w:rPr>
      <w:rFonts w:ascii="Century Schoolbook" w:hAnsi="Century Schoolboo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6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2">
    <w:name w:val="List 2"/>
    <w:basedOn w:val="Normal"/>
    <w:uiPriority w:val="99"/>
    <w:semiHidden/>
    <w:unhideWhenUsed/>
    <w:rsid w:val="00E10627"/>
    <w:pPr>
      <w:ind w:left="72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Pangborn</dc:creator>
  <cp:keywords/>
  <dc:description/>
  <cp:lastModifiedBy>Gregory Pangborn</cp:lastModifiedBy>
  <cp:revision>4</cp:revision>
  <dcterms:created xsi:type="dcterms:W3CDTF">2020-04-09T21:20:00Z</dcterms:created>
  <dcterms:modified xsi:type="dcterms:W3CDTF">2020-04-14T14:57:00Z</dcterms:modified>
</cp:coreProperties>
</file>