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7C00" w14:textId="77777777" w:rsidR="00101CF2" w:rsidRDefault="00101CF2">
      <w:pPr>
        <w:sectPr w:rsidR="00101C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4FED54" w14:textId="77777777" w:rsidR="00101CF2" w:rsidRDefault="00101CF2" w:rsidP="00B23833">
      <w:pPr>
        <w:pStyle w:val="Heading1"/>
      </w:pPr>
      <w:bookmarkStart w:id="0" w:name="_Toc37677349"/>
      <w:bookmarkStart w:id="1" w:name="_Toc37754673"/>
      <w:r w:rsidRPr="007B495C">
        <w:lastRenderedPageBreak/>
        <w:t>PART 2</w:t>
      </w:r>
      <w:r>
        <w:t>30</w:t>
      </w:r>
      <w:r w:rsidRPr="007B495C">
        <w:t xml:space="preserve"> - </w:t>
      </w:r>
      <w:r>
        <w:br/>
      </w:r>
      <w:r w:rsidRPr="00C43253">
        <w:t>Cost Accounting Standards</w:t>
      </w:r>
      <w:bookmarkEnd w:id="0"/>
      <w:bookmarkEnd w:id="1"/>
    </w:p>
    <w:p w14:paraId="5C50ADD8" w14:textId="77777777" w:rsidR="00101CF2" w:rsidRDefault="00101CF2">
      <w:r>
        <w:br w:type="page"/>
      </w:r>
      <w:r>
        <w:lastRenderedPageBreak/>
        <w:br/>
      </w:r>
    </w:p>
    <w:p w14:paraId="1E2A1AE7" w14:textId="77777777" w:rsidR="00356706" w:rsidRDefault="00356706" w:rsidP="00101CF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of Contents</w:t>
      </w:r>
    </w:p>
    <w:p w14:paraId="766F0477" w14:textId="498AC7DF" w:rsidR="00234F78" w:rsidRDefault="00234F78" w:rsidP="00234F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4673" w:history="1">
        <w:r w:rsidRPr="009D1086">
          <w:rPr>
            <w:rStyle w:val="Hyperlink"/>
            <w:noProof/>
          </w:rPr>
          <w:t>PART 230 -  Cost Accounting Standards</w:t>
        </w:r>
      </w:hyperlink>
    </w:p>
    <w:p w14:paraId="1C0B5234" w14:textId="068ABDA3" w:rsidR="00234F78" w:rsidRDefault="00234F78" w:rsidP="00234F7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4" w:history="1">
        <w:r w:rsidRPr="009D1086">
          <w:rPr>
            <w:rStyle w:val="Hyperlink"/>
            <w:caps/>
            <w:noProof/>
          </w:rPr>
          <w:t>subpart 230.2--CAS PROGRAM REQUIREMENTS</w:t>
        </w:r>
      </w:hyperlink>
    </w:p>
    <w:p w14:paraId="795D49DD" w14:textId="0CF56752" w:rsidR="00234F78" w:rsidRDefault="00234F78" w:rsidP="00234F78">
      <w:pPr>
        <w:pStyle w:val="TOC4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5" w:history="1">
        <w:r w:rsidRPr="009D1086">
          <w:rPr>
            <w:rStyle w:val="Hyperlink"/>
            <w:noProof/>
          </w:rPr>
          <w:t>230.201-5  Waiver.</w:t>
        </w:r>
      </w:hyperlink>
    </w:p>
    <w:p w14:paraId="0AE78D3D" w14:textId="5ECA63D6" w:rsidR="00234F78" w:rsidRDefault="00234F78" w:rsidP="00234F7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6" w:history="1">
        <w:r w:rsidRPr="009D1086">
          <w:rPr>
            <w:rStyle w:val="Hyperlink"/>
            <w:caps/>
            <w:noProof/>
          </w:rPr>
          <w:t>SUBPART 230.70</w:t>
        </w:r>
      </w:hyperlink>
    </w:p>
    <w:p w14:paraId="70220AA4" w14:textId="5A32C15A" w:rsidR="00234F78" w:rsidRDefault="00234F78" w:rsidP="00234F7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7" w:history="1">
        <w:r w:rsidRPr="009D1086">
          <w:rPr>
            <w:rStyle w:val="Hyperlink"/>
            <w:noProof/>
          </w:rPr>
          <w:t>(Removed December 1, 2006)</w:t>
        </w:r>
      </w:hyperlink>
    </w:p>
    <w:p w14:paraId="64FF193B" w14:textId="27654E14" w:rsidR="00234F78" w:rsidRDefault="00234F78" w:rsidP="00234F7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8" w:history="1">
        <w:r w:rsidRPr="009D1086">
          <w:rPr>
            <w:rStyle w:val="Hyperlink"/>
            <w:caps/>
            <w:noProof/>
          </w:rPr>
          <w:t>SUBPART 230.71</w:t>
        </w:r>
      </w:hyperlink>
    </w:p>
    <w:p w14:paraId="2977DCC1" w14:textId="33A20212" w:rsidR="00234F78" w:rsidRDefault="00234F78" w:rsidP="00234F7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4679" w:history="1">
        <w:r w:rsidRPr="009D1086">
          <w:rPr>
            <w:rStyle w:val="Hyperlink"/>
            <w:i/>
            <w:noProof/>
          </w:rPr>
          <w:t>(Removed December 1, 2006)</w:t>
        </w:r>
      </w:hyperlink>
    </w:p>
    <w:p w14:paraId="2904353B" w14:textId="765C964D" w:rsidR="00101CF2" w:rsidRPr="00101CF2" w:rsidRDefault="00234F78" w:rsidP="00101CF2">
      <w:pPr>
        <w:jc w:val="center"/>
        <w:rPr>
          <w:rFonts w:ascii="Arial" w:hAnsi="Arial" w:cs="Arial"/>
          <w:b/>
        </w:rPr>
      </w:pPr>
      <w:r>
        <w:rPr>
          <w:rStyle w:val="Hyperlink"/>
          <w:noProof/>
        </w:rPr>
        <w:fldChar w:fldCharType="end"/>
      </w:r>
    </w:p>
    <w:p w14:paraId="217AED1B" w14:textId="77777777" w:rsidR="00101CF2" w:rsidRPr="00B611EA" w:rsidRDefault="00101CF2" w:rsidP="00B611EA">
      <w:pPr>
        <w:pStyle w:val="Heading2"/>
      </w:pPr>
      <w:bookmarkStart w:id="2" w:name="_Toc37345821"/>
      <w:bookmarkStart w:id="3" w:name="_Toc37677350"/>
      <w:bookmarkStart w:id="4" w:name="BM230_70"/>
      <w:bookmarkStart w:id="5" w:name="_Toc37754674"/>
      <w:r w:rsidRPr="00B611EA">
        <w:rPr>
          <w:caps/>
        </w:rPr>
        <w:t>subpart 230.2--CAS PROGRAM REQUIREMENTS</w:t>
      </w:r>
      <w:bookmarkEnd w:id="2"/>
      <w:bookmarkEnd w:id="3"/>
      <w:bookmarkEnd w:id="5"/>
    </w:p>
    <w:p w14:paraId="03E6E207" w14:textId="77777777" w:rsidR="00101CF2" w:rsidRPr="003B4568" w:rsidRDefault="00101CF2" w:rsidP="00B611EA">
      <w:pPr>
        <w:jc w:val="center"/>
      </w:pPr>
      <w:r w:rsidRPr="003B4568">
        <w:rPr>
          <w:i/>
        </w:rPr>
        <w:t>(Revised August 29, 2012)</w:t>
      </w:r>
    </w:p>
    <w:p w14:paraId="4B79E961" w14:textId="77777777" w:rsidR="00101CF2" w:rsidRDefault="00101CF2" w:rsidP="003B4568">
      <w:pPr>
        <w:pStyle w:val="Heading4"/>
      </w:pPr>
      <w:r>
        <w:rPr>
          <w:i/>
        </w:rPr>
        <w:br/>
      </w:r>
      <w:bookmarkStart w:id="6" w:name="_Toc37677351"/>
      <w:bookmarkStart w:id="7" w:name="_Toc37754675"/>
      <w:r w:rsidRPr="00B90971">
        <w:t>230</w:t>
      </w:r>
      <w:r>
        <w:t>.</w:t>
      </w:r>
      <w:r w:rsidRPr="00B90971">
        <w:t>201</w:t>
      </w:r>
      <w:r>
        <w:t>-</w:t>
      </w:r>
      <w:proofErr w:type="gramStart"/>
      <w:r w:rsidRPr="00B90971">
        <w:t>5</w:t>
      </w:r>
      <w:r>
        <w:t xml:space="preserve">  </w:t>
      </w:r>
      <w:r w:rsidRPr="00B90971">
        <w:t>Waiver</w:t>
      </w:r>
      <w:proofErr w:type="gramEnd"/>
      <w:r>
        <w:t>.</w:t>
      </w:r>
      <w:bookmarkEnd w:id="6"/>
      <w:bookmarkEnd w:id="7"/>
    </w:p>
    <w:p w14:paraId="1EFB08FB" w14:textId="77777777" w:rsidR="00101CF2" w:rsidRDefault="00101CF2" w:rsidP="003C73C9">
      <w:pPr>
        <w:pStyle w:val="List1"/>
      </w:pPr>
      <w:r>
        <w:rPr>
          <w:b/>
        </w:rPr>
        <w:br/>
      </w:r>
      <w:r>
        <w:t>(a)(1)(</w:t>
      </w:r>
      <w:proofErr w:type="gramStart"/>
      <w:r>
        <w:t>A)  The</w:t>
      </w:r>
      <w:proofErr w:type="gramEnd"/>
      <w:r>
        <w:t xml:space="preserve"> military departments and the Director, Defense Procurement and Acquisition Policy, Office of the Under Secretary of Defense (Acquisition, Technology, and Logistics)—</w:t>
      </w:r>
    </w:p>
    <w:p w14:paraId="1F943763" w14:textId="77777777" w:rsidR="00101CF2" w:rsidRDefault="00101CF2" w:rsidP="003B4568">
      <w:pPr>
        <w:pStyle w:val="List2"/>
      </w:pPr>
      <w:r>
        <w:br/>
      </w:r>
      <w:r>
        <w:rPr>
          <w:i/>
        </w:rPr>
        <w:t>(1)</w:t>
      </w:r>
      <w:r>
        <w:t xml:space="preserve">  May grant CAS waivers that meet the conditions in FAR 30.201-5(b)(1); and</w:t>
      </w:r>
    </w:p>
    <w:p w14:paraId="141D9F45" w14:textId="77777777" w:rsidR="00101CF2" w:rsidRDefault="00101CF2" w:rsidP="003B4568">
      <w:pPr>
        <w:pStyle w:val="List2"/>
      </w:pPr>
      <w:r>
        <w:br/>
      </w:r>
      <w:r w:rsidRPr="00362BCA">
        <w:rPr>
          <w:i/>
        </w:rPr>
        <w:t>(2)</w:t>
      </w:r>
      <w:r>
        <w:t xml:space="preserve">  May grant CAS waivers that meet the conditions in FAR 30.201-5(b)(2), provided the cognizant Federal agency official granting the waiver determines that—</w:t>
      </w:r>
    </w:p>
    <w:p w14:paraId="4F73C66C" w14:textId="77777777" w:rsidR="00101CF2" w:rsidRDefault="00101CF2" w:rsidP="003B4568">
      <w:pPr>
        <w:pStyle w:val="List3"/>
      </w:pPr>
      <w:r>
        <w:br/>
      </w:r>
      <w:r w:rsidRPr="00AB642C">
        <w:rPr>
          <w:i/>
        </w:rPr>
        <w:t>(</w:t>
      </w:r>
      <w:proofErr w:type="spellStart"/>
      <w:r w:rsidRPr="00AB642C">
        <w:rPr>
          <w:i/>
        </w:rPr>
        <w:t>i</w:t>
      </w:r>
      <w:proofErr w:type="spellEnd"/>
      <w:r w:rsidRPr="00AB642C">
        <w:rPr>
          <w:i/>
        </w:rPr>
        <w:t>)</w:t>
      </w:r>
      <w:r>
        <w:t xml:space="preserve">  The property or services cannot reasonably be obtained under the contract, subcontract, or modification, as applicable, without granting the </w:t>
      </w:r>
      <w:proofErr w:type="gramStart"/>
      <w:r>
        <w:t>waiver;</w:t>
      </w:r>
      <w:proofErr w:type="gramEnd"/>
    </w:p>
    <w:p w14:paraId="27900B75" w14:textId="77777777" w:rsidR="00101CF2" w:rsidRDefault="00101CF2" w:rsidP="003B4568">
      <w:pPr>
        <w:pStyle w:val="List3"/>
      </w:pPr>
      <w:r>
        <w:br/>
      </w:r>
      <w:r w:rsidRPr="00AB642C">
        <w:rPr>
          <w:i/>
        </w:rPr>
        <w:t>(ii)</w:t>
      </w:r>
      <w:r>
        <w:t xml:space="preserve">  The price can be determined to be fair and reasonable without the application of the Cost Accounting Standards; and</w:t>
      </w:r>
    </w:p>
    <w:p w14:paraId="5C144265" w14:textId="77777777" w:rsidR="00101CF2" w:rsidRDefault="00101CF2" w:rsidP="003B4568">
      <w:pPr>
        <w:pStyle w:val="List3"/>
      </w:pPr>
      <w:r>
        <w:br/>
      </w:r>
      <w:r w:rsidRPr="00AB642C">
        <w:rPr>
          <w:i/>
        </w:rPr>
        <w:t>(iii)</w:t>
      </w:r>
      <w:r>
        <w:t xml:space="preserve">  There are demonstrated benefits to granting the waiver.</w:t>
      </w:r>
    </w:p>
    <w:p w14:paraId="1044140E" w14:textId="77777777" w:rsidR="00101CF2" w:rsidRDefault="00101CF2" w:rsidP="003B4568">
      <w:pPr>
        <w:pStyle w:val="List4"/>
      </w:pPr>
      <w:r>
        <w:br/>
        <w:t xml:space="preserve">(B)  Follow the procedures at </w:t>
      </w:r>
      <w:hyperlink r:id="rId6" w:anchor="230.201-5" w:history="1">
        <w:r w:rsidRPr="004E4B05">
          <w:rPr>
            <w:rStyle w:val="Hyperlink"/>
          </w:rPr>
          <w:t>PGI 230.201-5</w:t>
        </w:r>
      </w:hyperlink>
      <w:r>
        <w:t>(a)(1) for submitting waiver requests to the Director, Defense Procurement and Acquisition Policy.</w:t>
      </w:r>
    </w:p>
    <w:bookmarkEnd w:id="4"/>
    <w:p w14:paraId="1EC21E20" w14:textId="77777777" w:rsidR="00101CF2" w:rsidRDefault="00101CF2" w:rsidP="003B4568">
      <w:pPr>
        <w:pStyle w:val="List2"/>
      </w:pPr>
      <w:r>
        <w:br/>
        <w:t>(2)  The military departments shall not delegate CAS waiver authority below the individual responsible for issuing contracting policy for the department.</w:t>
      </w:r>
    </w:p>
    <w:p w14:paraId="180A7E94" w14:textId="77777777" w:rsidR="00101CF2" w:rsidRDefault="00101CF2" w:rsidP="003C73C9">
      <w:pPr>
        <w:pStyle w:val="List1"/>
      </w:pPr>
      <w:r>
        <w:br/>
        <w:t xml:space="preserve">(e)  By November 30th of each year, the military departments shall provide a report to the </w:t>
      </w:r>
      <w:r>
        <w:lastRenderedPageBreak/>
        <w:t xml:space="preserve">Director, Defense Procurement and Acquisition Policy, ATTN: DPAP/CPIC, of all waivers granted under FAR 30.201-5(a), during the previous fiscal year, for any contract, subcontract, or modification expected to have a value of $15,000,000 or more.  See </w:t>
      </w:r>
      <w:hyperlink r:id="rId7" w:anchor="230.201-5" w:history="1">
        <w:r w:rsidRPr="004E4B05">
          <w:rPr>
            <w:rStyle w:val="Hyperlink"/>
          </w:rPr>
          <w:t>PGI 230.201-5</w:t>
        </w:r>
      </w:hyperlink>
      <w:r>
        <w:t>(e) for format and guidance for the report.  The Director, Defense Procurement and Acquisition Policy, will submit a consolidated report to the CAS Board and the congressional defense committees.</w:t>
      </w:r>
    </w:p>
    <w:p w14:paraId="65A6BC25" w14:textId="77777777" w:rsidR="00101CF2" w:rsidRDefault="00101CF2">
      <w:pPr>
        <w:sectPr w:rsidR="00101CF2" w:rsidSect="006B64A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CC31D" w14:textId="77777777" w:rsidR="00101CF2" w:rsidRPr="002E0EE9" w:rsidRDefault="00101CF2" w:rsidP="002E0EE9">
      <w:pPr>
        <w:pStyle w:val="Heading2"/>
      </w:pPr>
      <w:bookmarkStart w:id="8" w:name="_Toc37345822"/>
      <w:bookmarkStart w:id="9" w:name="_Toc37677352"/>
      <w:bookmarkStart w:id="10" w:name="BM230_71"/>
      <w:bookmarkStart w:id="11" w:name="_Toc37754676"/>
      <w:r w:rsidRPr="002E0EE9">
        <w:rPr>
          <w:caps/>
        </w:rPr>
        <w:lastRenderedPageBreak/>
        <w:t>SUBPART 230.70</w:t>
      </w:r>
      <w:bookmarkEnd w:id="8"/>
      <w:bookmarkEnd w:id="9"/>
      <w:bookmarkEnd w:id="11"/>
      <w:r w:rsidRPr="002E0EE9">
        <w:rPr>
          <w:i/>
          <w:caps/>
        </w:rPr>
        <w:t xml:space="preserve"> </w:t>
      </w:r>
    </w:p>
    <w:p w14:paraId="5B260A0C" w14:textId="77777777" w:rsidR="00101CF2" w:rsidRPr="002E0EE9" w:rsidRDefault="00101CF2" w:rsidP="002E0EE9">
      <w:pPr>
        <w:pStyle w:val="Heading2"/>
      </w:pPr>
      <w:bookmarkStart w:id="12" w:name="_Toc37345823"/>
      <w:bookmarkStart w:id="13" w:name="_Toc37677353"/>
      <w:bookmarkStart w:id="14" w:name="_Toc37754677"/>
      <w:r w:rsidRPr="002E0EE9">
        <w:t>(Removed December 1, 2006)</w:t>
      </w:r>
      <w:bookmarkEnd w:id="12"/>
      <w:bookmarkEnd w:id="13"/>
      <w:bookmarkEnd w:id="14"/>
    </w:p>
    <w:p w14:paraId="5D5C5862" w14:textId="77777777" w:rsidR="00101CF2" w:rsidRPr="00A64A56" w:rsidRDefault="00101CF2" w:rsidP="009E72B5">
      <w:r>
        <w:br/>
      </w:r>
      <w:bookmarkEnd w:id="10"/>
    </w:p>
    <w:p w14:paraId="3AB78244" w14:textId="77777777" w:rsidR="00101CF2" w:rsidRDefault="00101CF2">
      <w:pPr>
        <w:sectPr w:rsidR="00101CF2" w:rsidSect="00E56AA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D3C4D" w14:textId="77777777" w:rsidR="00101CF2" w:rsidRPr="00FE6D87" w:rsidRDefault="00101CF2" w:rsidP="00FE6D87">
      <w:pPr>
        <w:pStyle w:val="Heading2"/>
      </w:pPr>
      <w:bookmarkStart w:id="15" w:name="_Toc37345824"/>
      <w:bookmarkStart w:id="16" w:name="_Toc37677354"/>
      <w:bookmarkStart w:id="17" w:name="_Toc37754678"/>
      <w:r w:rsidRPr="00FE6D87">
        <w:rPr>
          <w:caps/>
        </w:rPr>
        <w:lastRenderedPageBreak/>
        <w:t>SUBPART 230.71</w:t>
      </w:r>
      <w:bookmarkEnd w:id="15"/>
      <w:bookmarkEnd w:id="16"/>
      <w:bookmarkEnd w:id="17"/>
    </w:p>
    <w:p w14:paraId="6FCF2864" w14:textId="77777777" w:rsidR="00101CF2" w:rsidRPr="00FE6D87" w:rsidRDefault="00101CF2" w:rsidP="00FE6D87">
      <w:pPr>
        <w:pStyle w:val="Heading2"/>
      </w:pPr>
      <w:r w:rsidRPr="00FE6D87">
        <w:rPr>
          <w:i/>
        </w:rPr>
        <w:t xml:space="preserve"> </w:t>
      </w:r>
      <w:bookmarkStart w:id="18" w:name="_Toc37345825"/>
      <w:bookmarkStart w:id="19" w:name="_Toc37677355"/>
      <w:bookmarkStart w:id="20" w:name="_Toc37754679"/>
      <w:r w:rsidRPr="00FE6D87">
        <w:rPr>
          <w:i/>
        </w:rPr>
        <w:t>(Removed December 1, 2006)</w:t>
      </w:r>
      <w:bookmarkEnd w:id="18"/>
      <w:bookmarkEnd w:id="19"/>
      <w:bookmarkEnd w:id="20"/>
    </w:p>
    <w:p w14:paraId="794D7D09" w14:textId="77777777" w:rsidR="00101CF2" w:rsidRPr="00A83E25" w:rsidRDefault="00101CF2" w:rsidP="00A83E25">
      <w:r w:rsidRPr="00A83E25">
        <w:rPr>
          <w:i/>
        </w:rPr>
        <w:br/>
      </w:r>
    </w:p>
    <w:p w14:paraId="2CC2B416" w14:textId="77777777" w:rsidR="00850595" w:rsidRDefault="00850595"/>
    <w:sectPr w:rsidR="00850595" w:rsidSect="008138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A6AD" w14:textId="77777777" w:rsidR="0073219E" w:rsidRDefault="0073219E">
      <w:pPr>
        <w:spacing w:after="0" w:line="240" w:lineRule="auto"/>
      </w:pPr>
      <w:r>
        <w:separator/>
      </w:r>
    </w:p>
  </w:endnote>
  <w:endnote w:type="continuationSeparator" w:id="0">
    <w:p w14:paraId="137B24B0" w14:textId="77777777" w:rsidR="0073219E" w:rsidRDefault="0073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AE0F" w14:textId="77777777" w:rsidR="00362BCA" w:rsidRDefault="0073219E">
    <w:pPr>
      <w:pStyle w:val="Footer"/>
      <w:rPr>
        <w:b/>
        <w:sz w:val="20"/>
      </w:rPr>
    </w:pPr>
  </w:p>
  <w:p w14:paraId="48B94420" w14:textId="77777777" w:rsidR="00362BCA" w:rsidRDefault="0073219E">
    <w:pPr>
      <w:pStyle w:val="Footer"/>
      <w:rPr>
        <w:b/>
        <w:sz w:val="20"/>
      </w:rPr>
    </w:pPr>
  </w:p>
  <w:p w14:paraId="06774ED4" w14:textId="77777777" w:rsidR="00362BCA" w:rsidRDefault="00101CF2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</w:r>
    <w:r>
      <w:rPr>
        <w:sz w:val="20"/>
      </w:rPr>
      <w:tab/>
      <w:t>230.2-</w:t>
    </w:r>
    <w:r>
      <w:rPr>
        <w:sz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C616" w14:textId="77777777" w:rsidR="00694E8C" w:rsidRDefault="0073219E">
    <w:pPr>
      <w:pStyle w:val="Footer"/>
      <w:rPr>
        <w:b/>
        <w:sz w:val="20"/>
      </w:rPr>
    </w:pPr>
  </w:p>
  <w:p w14:paraId="34D91315" w14:textId="77777777" w:rsidR="00694E8C" w:rsidRDefault="0073219E">
    <w:pPr>
      <w:pStyle w:val="Footer"/>
      <w:rPr>
        <w:b/>
        <w:sz w:val="20"/>
      </w:rPr>
    </w:pPr>
  </w:p>
  <w:p w14:paraId="06BDE559" w14:textId="77777777" w:rsidR="00694E8C" w:rsidRDefault="00101CF2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</w:r>
    <w:r>
      <w:rPr>
        <w:sz w:val="20"/>
      </w:rPr>
      <w:tab/>
      <w:t>230.70-</w:t>
    </w:r>
    <w:r>
      <w:rPr>
        <w:sz w:val="20"/>
      </w:rPr>
      <w:pgNum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DC8B1" w14:textId="77777777" w:rsidR="007107C4" w:rsidRDefault="0073219E">
    <w:pPr>
      <w:pStyle w:val="Footer"/>
      <w:rPr>
        <w:b/>
        <w:sz w:val="20"/>
      </w:rPr>
    </w:pPr>
  </w:p>
  <w:p w14:paraId="0A88DC3C" w14:textId="77777777" w:rsidR="007107C4" w:rsidRDefault="0073219E">
    <w:pPr>
      <w:rPr>
        <w:b/>
        <w:sz w:val="20"/>
      </w:rPr>
    </w:pPr>
  </w:p>
  <w:p w14:paraId="3F75AA89" w14:textId="77777777" w:rsidR="007107C4" w:rsidRDefault="00101CF2">
    <w:pPr>
      <w:pBdr>
        <w:top w:val="single" w:sz="6" w:space="1" w:color="auto"/>
      </w:pBdr>
      <w:tabs>
        <w:tab w:val="right" w:pos="918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  <w:t>230.71-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647F7" w14:textId="77777777" w:rsidR="0073219E" w:rsidRDefault="0073219E">
      <w:pPr>
        <w:spacing w:after="0" w:line="240" w:lineRule="auto"/>
      </w:pPr>
      <w:r>
        <w:separator/>
      </w:r>
    </w:p>
  </w:footnote>
  <w:footnote w:type="continuationSeparator" w:id="0">
    <w:p w14:paraId="3A0CB05E" w14:textId="77777777" w:rsidR="0073219E" w:rsidRDefault="0073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6684" w14:textId="77777777" w:rsidR="00362BCA" w:rsidRDefault="00101CF2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5541DC13" w14:textId="77777777" w:rsidR="00362BCA" w:rsidRDefault="0073219E">
    <w:pPr>
      <w:pStyle w:val="Header"/>
      <w:rPr>
        <w:b/>
        <w:sz w:val="20"/>
      </w:rPr>
    </w:pPr>
  </w:p>
  <w:p w14:paraId="5AA4A423" w14:textId="77777777" w:rsidR="00362BCA" w:rsidRDefault="00101CF2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 w:val="20"/>
      </w:rPr>
    </w:pPr>
    <w:r>
      <w:rPr>
        <w:sz w:val="20"/>
      </w:rPr>
      <w:t>Part 230—Cost Accounting Standards Administration</w:t>
    </w:r>
  </w:p>
  <w:p w14:paraId="7939A761" w14:textId="77777777" w:rsidR="00362BCA" w:rsidRDefault="0073219E">
    <w:pPr>
      <w:pStyle w:val="Header"/>
      <w:tabs>
        <w:tab w:val="clear" w:pos="8640"/>
        <w:tab w:val="right" w:pos="9260"/>
      </w:tabs>
      <w:spacing w:before="20" w:line="20" w:lineRule="exact"/>
      <w:rPr>
        <w:b/>
        <w:position w:val="6"/>
        <w:sz w:val="20"/>
      </w:rPr>
    </w:pPr>
  </w:p>
  <w:p w14:paraId="33D73E2F" w14:textId="77777777" w:rsidR="00362BCA" w:rsidRDefault="0073219E">
    <w:pPr>
      <w:pStyle w:val="Header"/>
      <w:tabs>
        <w:tab w:val="clear" w:pos="8640"/>
        <w:tab w:val="right" w:pos="9260"/>
      </w:tabs>
      <w:rPr>
        <w:b/>
        <w:sz w:val="20"/>
      </w:rPr>
    </w:pPr>
  </w:p>
  <w:p w14:paraId="637953FC" w14:textId="77777777" w:rsidR="00362BCA" w:rsidRDefault="0073219E">
    <w:pPr>
      <w:pStyle w:val="Header"/>
      <w:rPr>
        <w:b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E9D5" w14:textId="77777777" w:rsidR="00694E8C" w:rsidRDefault="00101CF2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31277622" w14:textId="77777777" w:rsidR="00694E8C" w:rsidRDefault="0073219E">
    <w:pPr>
      <w:pStyle w:val="Header"/>
      <w:rPr>
        <w:b/>
        <w:sz w:val="20"/>
      </w:rPr>
    </w:pPr>
  </w:p>
  <w:p w14:paraId="51EBC39A" w14:textId="77777777" w:rsidR="00694E8C" w:rsidRDefault="00101CF2" w:rsidP="00A64A56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 w:val="20"/>
      </w:rPr>
    </w:pPr>
    <w:r>
      <w:rPr>
        <w:sz w:val="20"/>
      </w:rPr>
      <w:t>Part 230—Cost Accounting Standards Administration</w:t>
    </w:r>
  </w:p>
  <w:p w14:paraId="5CBBCF33" w14:textId="77777777" w:rsidR="00694E8C" w:rsidRDefault="0073219E">
    <w:pPr>
      <w:pStyle w:val="Header"/>
      <w:tabs>
        <w:tab w:val="clear" w:pos="8640"/>
        <w:tab w:val="right" w:pos="9260"/>
      </w:tabs>
      <w:spacing w:before="20" w:line="20" w:lineRule="exact"/>
      <w:rPr>
        <w:b/>
        <w:position w:val="6"/>
        <w:sz w:val="20"/>
      </w:rPr>
    </w:pPr>
  </w:p>
  <w:p w14:paraId="2C08B2B7" w14:textId="77777777" w:rsidR="00694E8C" w:rsidRDefault="0073219E">
    <w:pPr>
      <w:pStyle w:val="Header"/>
      <w:tabs>
        <w:tab w:val="clear" w:pos="8640"/>
        <w:tab w:val="right" w:pos="9260"/>
      </w:tabs>
      <w:rPr>
        <w:b/>
        <w:sz w:val="20"/>
      </w:rPr>
    </w:pPr>
  </w:p>
  <w:p w14:paraId="64BCF27E" w14:textId="77777777" w:rsidR="00694E8C" w:rsidRDefault="0073219E">
    <w:pPr>
      <w:pStyle w:val="Header"/>
      <w:rPr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E4BC" w14:textId="77777777" w:rsidR="007107C4" w:rsidRDefault="00101CF2">
    <w:pPr>
      <w:pStyle w:val="Header"/>
      <w:jc w:val="center"/>
    </w:pPr>
    <w:r>
      <w:t>Defense Federal Acquisition Regulation Supplement</w:t>
    </w:r>
  </w:p>
  <w:p w14:paraId="375FC8E7" w14:textId="77777777" w:rsidR="007107C4" w:rsidRDefault="0073219E">
    <w:pPr>
      <w:pStyle w:val="Header"/>
      <w:rPr>
        <w:b/>
        <w:sz w:val="20"/>
      </w:rPr>
    </w:pPr>
  </w:p>
  <w:p w14:paraId="70AB2021" w14:textId="77777777" w:rsidR="007107C4" w:rsidRDefault="00101CF2" w:rsidP="00E50ED5">
    <w:pPr>
      <w:pStyle w:val="Header"/>
      <w:pBdr>
        <w:bottom w:val="single" w:sz="6" w:space="1" w:color="auto"/>
      </w:pBdr>
      <w:rPr>
        <w:sz w:val="20"/>
      </w:rPr>
    </w:pPr>
    <w:r>
      <w:rPr>
        <w:sz w:val="20"/>
      </w:rPr>
      <w:t>Part 230—Cost Accounting Standards Administration</w:t>
    </w:r>
  </w:p>
  <w:p w14:paraId="6FFC8680" w14:textId="77777777" w:rsidR="007107C4" w:rsidRDefault="0073219E">
    <w:pPr>
      <w:pStyle w:val="Header"/>
      <w:rPr>
        <w:b/>
        <w:sz w:val="20"/>
      </w:rPr>
    </w:pPr>
  </w:p>
  <w:p w14:paraId="45C0C7B9" w14:textId="77777777" w:rsidR="007107C4" w:rsidRDefault="0073219E">
    <w:pPr>
      <w:pStyle w:val="Header"/>
      <w:rPr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F2"/>
    <w:rsid w:val="00101CF2"/>
    <w:rsid w:val="00234F78"/>
    <w:rsid w:val="002366BD"/>
    <w:rsid w:val="00356706"/>
    <w:rsid w:val="003C73C9"/>
    <w:rsid w:val="00505901"/>
    <w:rsid w:val="0073219E"/>
    <w:rsid w:val="007D6208"/>
    <w:rsid w:val="00850595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73C"/>
  <w15:chartTrackingRefBased/>
  <w15:docId w15:val="{36185AA3-6E8A-449D-892C-9AE117F5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101CF2"/>
    <w:pPr>
      <w:keepNext/>
      <w:spacing w:before="240" w:after="60" w:line="240" w:lineRule="auto"/>
      <w:ind w:left="994" w:hanging="994"/>
      <w:jc w:val="center"/>
      <w:outlineLvl w:val="0"/>
    </w:pPr>
    <w:rPr>
      <w:rFonts w:eastAsiaTheme="majorEastAsia" w:cstheme="majorBidi"/>
      <w:b/>
      <w:kern w:val="32"/>
      <w:sz w:val="28"/>
      <w:szCs w:val="32"/>
    </w:rPr>
  </w:style>
  <w:style w:type="paragraph" w:styleId="Heading2">
    <w:name w:val="heading 2"/>
    <w:link w:val="Heading2Char"/>
    <w:uiPriority w:val="9"/>
    <w:unhideWhenUsed/>
    <w:qFormat/>
    <w:rsid w:val="00101CF2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01CF2"/>
    <w:pPr>
      <w:spacing w:after="0" w:line="240" w:lineRule="auto"/>
      <w:outlineLvl w:val="3"/>
    </w:pPr>
    <w:rPr>
      <w:rFonts w:eastAsia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F2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F2"/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01CF2"/>
    <w:rPr>
      <w:rFonts w:ascii="Century Schoolbook" w:eastAsia="Times New Roman" w:hAnsi="Century Schoolbook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101CF2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101CF2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rsid w:val="00101CF2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101CF2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101CF2"/>
    <w:rPr>
      <w:color w:val="0000FF"/>
      <w:u w:val="single"/>
    </w:rPr>
  </w:style>
  <w:style w:type="paragraph" w:styleId="List2">
    <w:name w:val="List 2"/>
    <w:uiPriority w:val="99"/>
    <w:semiHidden/>
    <w:unhideWhenUsed/>
    <w:rsid w:val="00101CF2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uiPriority w:val="99"/>
    <w:semiHidden/>
    <w:unhideWhenUsed/>
    <w:rsid w:val="00101CF2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uiPriority w:val="99"/>
    <w:semiHidden/>
    <w:unhideWhenUsed/>
    <w:rsid w:val="00101CF2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customStyle="1" w:styleId="List1">
    <w:name w:val="List 1"/>
    <w:basedOn w:val="List2"/>
    <w:link w:val="List1Char"/>
    <w:autoRedefine/>
    <w:rsid w:val="003C73C9"/>
    <w:pPr>
      <w:ind w:left="0" w:firstLine="0"/>
    </w:pPr>
  </w:style>
  <w:style w:type="character" w:customStyle="1" w:styleId="ListChar">
    <w:name w:val="List Char"/>
    <w:basedOn w:val="DefaultParagraphFont"/>
    <w:link w:val="List"/>
    <w:uiPriority w:val="99"/>
    <w:semiHidden/>
    <w:rsid w:val="003C73C9"/>
  </w:style>
  <w:style w:type="paragraph" w:styleId="TOC1">
    <w:name w:val="toc 1"/>
    <w:basedOn w:val="Normal"/>
    <w:next w:val="Normal"/>
    <w:autoRedefine/>
    <w:uiPriority w:val="39"/>
    <w:unhideWhenUsed/>
    <w:rsid w:val="00101CF2"/>
    <w:pPr>
      <w:spacing w:after="100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unhideWhenUsed/>
    <w:rsid w:val="00101C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CF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1CF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01CF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01CF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01CF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01CF2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semiHidden/>
    <w:unhideWhenUsed/>
    <w:rsid w:val="003C73C9"/>
    <w:pPr>
      <w:ind w:left="360" w:hanging="360"/>
      <w:contextualSpacing/>
    </w:pPr>
  </w:style>
  <w:style w:type="character" w:customStyle="1" w:styleId="List1Char">
    <w:name w:val="List 1 Char"/>
    <w:basedOn w:val="ListChar"/>
    <w:link w:val="List1"/>
    <w:rsid w:val="003C73C9"/>
    <w:rPr>
      <w:rFonts w:ascii="Century Schoolbook" w:eastAsia="Times New Roman" w:hAnsi="Century Schoolbook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acq.osd.mil/dpap/dars/pgi/pgi_htm/PGI230_2.ht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q.osd.mil/dpap/dars/pgi/pgi_htm/PGI230_2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4</cp:revision>
  <dcterms:created xsi:type="dcterms:W3CDTF">2020-04-09T21:21:00Z</dcterms:created>
  <dcterms:modified xsi:type="dcterms:W3CDTF">2020-04-14T14:56:00Z</dcterms:modified>
</cp:coreProperties>
</file>