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A7A45" w14:textId="77777777" w:rsidR="002C6132" w:rsidRDefault="002C6132">
      <w:pPr>
        <w:sectPr w:rsidR="002C6132">
          <w:pgSz w:w="12240" w:h="15840"/>
          <w:pgMar w:top="1440" w:right="1440" w:bottom="1440" w:left="1440" w:header="720" w:footer="720" w:gutter="0"/>
          <w:cols w:space="720"/>
          <w:docGrid w:linePitch="360"/>
        </w:sectPr>
      </w:pPr>
    </w:p>
    <w:p w14:paraId="4E318381" w14:textId="77777777" w:rsidR="002C6132" w:rsidRDefault="002C6132" w:rsidP="00361F5F">
      <w:pPr>
        <w:pStyle w:val="Heading1"/>
      </w:pPr>
      <w:bookmarkStart w:id="0" w:name="_Toc37677356"/>
      <w:bookmarkStart w:id="1" w:name="_Toc37754654"/>
      <w:r w:rsidRPr="007B495C">
        <w:lastRenderedPageBreak/>
        <w:t>PART 2</w:t>
      </w:r>
      <w:r>
        <w:t>31</w:t>
      </w:r>
      <w:r w:rsidRPr="007B495C">
        <w:t xml:space="preserve"> - </w:t>
      </w:r>
      <w:r>
        <w:br/>
      </w:r>
      <w:r w:rsidRPr="004A6051">
        <w:t>Contract Cost Principles and Procedures</w:t>
      </w:r>
      <w:bookmarkEnd w:id="0"/>
      <w:bookmarkEnd w:id="1"/>
    </w:p>
    <w:p w14:paraId="5C8ECEEB" w14:textId="77777777" w:rsidR="002C6132" w:rsidRDefault="002C6132">
      <w:r>
        <w:br w:type="page"/>
      </w:r>
      <w:r>
        <w:lastRenderedPageBreak/>
        <w:br/>
      </w:r>
    </w:p>
    <w:p w14:paraId="6DA4EC27" w14:textId="77777777" w:rsidR="005566F3" w:rsidRDefault="005566F3" w:rsidP="002C6132">
      <w:pPr>
        <w:jc w:val="center"/>
        <w:rPr>
          <w:rFonts w:ascii="Arial" w:hAnsi="Arial" w:cs="Arial"/>
          <w:b/>
        </w:rPr>
      </w:pPr>
      <w:r>
        <w:rPr>
          <w:rFonts w:ascii="Arial" w:hAnsi="Arial" w:cs="Arial"/>
          <w:b/>
        </w:rPr>
        <w:t>Table of Contents</w:t>
      </w:r>
    </w:p>
    <w:p w14:paraId="1B563383" w14:textId="2C7E44CF" w:rsidR="00646884" w:rsidRDefault="00646884" w:rsidP="00646884">
      <w:pPr>
        <w:pStyle w:val="TOC1"/>
        <w:tabs>
          <w:tab w:val="right" w:leader="dot" w:pos="9350"/>
        </w:tabs>
        <w:rPr>
          <w:rFonts w:asciiTheme="minorHAnsi" w:eastAsiaTheme="minorEastAsia" w:hAnsiTheme="minorHAnsi" w:cstheme="minorBidi"/>
          <w:noProof/>
        </w:rPr>
      </w:pPr>
      <w:r>
        <w:rPr>
          <w:noProof/>
          <w:webHidden/>
        </w:rPr>
        <w:fldChar w:fldCharType="begin"/>
      </w:r>
      <w:r>
        <w:rPr>
          <w:noProof/>
          <w:webHidden/>
        </w:rPr>
        <w:instrText xml:space="preserve"> TOC \o "1-4" \n \h \z \u </w:instrText>
      </w:r>
      <w:r>
        <w:rPr>
          <w:noProof/>
          <w:webHidden/>
        </w:rPr>
        <w:fldChar w:fldCharType="separate"/>
      </w:r>
      <w:hyperlink w:anchor="_Toc37754654" w:history="1">
        <w:r w:rsidRPr="008C7260">
          <w:rPr>
            <w:rStyle w:val="Hyperlink"/>
            <w:noProof/>
          </w:rPr>
          <w:t>PART 231 -  Contract Cost Principles and Procedures</w:t>
        </w:r>
      </w:hyperlink>
    </w:p>
    <w:p w14:paraId="5502ED26" w14:textId="5C34090F" w:rsidR="00646884" w:rsidRDefault="00646884" w:rsidP="00646884">
      <w:pPr>
        <w:pStyle w:val="TOC2"/>
        <w:tabs>
          <w:tab w:val="right" w:leader="dot" w:pos="9350"/>
        </w:tabs>
        <w:rPr>
          <w:rFonts w:asciiTheme="minorHAnsi" w:eastAsiaTheme="minorEastAsia" w:hAnsiTheme="minorHAnsi"/>
          <w:noProof/>
        </w:rPr>
      </w:pPr>
      <w:hyperlink w:anchor="_Toc37754655" w:history="1">
        <w:r w:rsidRPr="008C7260">
          <w:rPr>
            <w:rStyle w:val="Hyperlink"/>
            <w:caps/>
            <w:noProof/>
          </w:rPr>
          <w:t>subpart 231.1--applicability</w:t>
        </w:r>
      </w:hyperlink>
    </w:p>
    <w:p w14:paraId="6C50AC5C" w14:textId="3695E55B" w:rsidR="00646884" w:rsidRDefault="00646884" w:rsidP="00646884">
      <w:pPr>
        <w:pStyle w:val="TOC3"/>
        <w:tabs>
          <w:tab w:val="right" w:leader="dot" w:pos="9350"/>
        </w:tabs>
        <w:rPr>
          <w:rFonts w:asciiTheme="minorHAnsi" w:eastAsiaTheme="minorEastAsia" w:hAnsiTheme="minorHAnsi"/>
          <w:noProof/>
        </w:rPr>
      </w:pPr>
      <w:hyperlink w:anchor="_Toc37754656" w:history="1">
        <w:r w:rsidRPr="008C7260">
          <w:rPr>
            <w:rStyle w:val="Hyperlink"/>
            <w:noProof/>
          </w:rPr>
          <w:t>231.100  Scope of subpart.</w:t>
        </w:r>
      </w:hyperlink>
    </w:p>
    <w:p w14:paraId="6DF1324A" w14:textId="42FDE1F8" w:rsidR="00646884" w:rsidRDefault="00646884" w:rsidP="00646884">
      <w:pPr>
        <w:pStyle w:val="TOC4"/>
        <w:tabs>
          <w:tab w:val="right" w:leader="dot" w:pos="9350"/>
        </w:tabs>
        <w:rPr>
          <w:rFonts w:asciiTheme="minorHAnsi" w:eastAsiaTheme="minorEastAsia" w:hAnsiTheme="minorHAnsi"/>
          <w:noProof/>
        </w:rPr>
      </w:pPr>
      <w:hyperlink w:anchor="_Toc37754657" w:history="1">
        <w:r w:rsidRPr="008C7260">
          <w:rPr>
            <w:rStyle w:val="Hyperlink"/>
            <w:noProof/>
          </w:rPr>
          <w:t>231.100-70  Contract clause.</w:t>
        </w:r>
      </w:hyperlink>
    </w:p>
    <w:p w14:paraId="59233E3D" w14:textId="4EF2F17F" w:rsidR="00646884" w:rsidRDefault="00646884" w:rsidP="00646884">
      <w:pPr>
        <w:pStyle w:val="TOC2"/>
        <w:tabs>
          <w:tab w:val="right" w:leader="dot" w:pos="9350"/>
        </w:tabs>
        <w:rPr>
          <w:rFonts w:asciiTheme="minorHAnsi" w:eastAsiaTheme="minorEastAsia" w:hAnsiTheme="minorHAnsi"/>
          <w:noProof/>
        </w:rPr>
      </w:pPr>
      <w:hyperlink w:anchor="_Toc37754658" w:history="1">
        <w:r w:rsidRPr="008C7260">
          <w:rPr>
            <w:rStyle w:val="Hyperlink"/>
            <w:caps/>
            <w:noProof/>
          </w:rPr>
          <w:t>SUBPART 231.2—CONTRACTS WITH COMMERCIAL ORGANIZATIONS</w:t>
        </w:r>
      </w:hyperlink>
    </w:p>
    <w:p w14:paraId="38177FA7" w14:textId="5B6E60BF" w:rsidR="00646884" w:rsidRDefault="00646884" w:rsidP="00646884">
      <w:pPr>
        <w:pStyle w:val="TOC3"/>
        <w:tabs>
          <w:tab w:val="right" w:leader="dot" w:pos="9350"/>
        </w:tabs>
        <w:rPr>
          <w:rFonts w:asciiTheme="minorHAnsi" w:eastAsiaTheme="minorEastAsia" w:hAnsiTheme="minorHAnsi"/>
          <w:noProof/>
        </w:rPr>
      </w:pPr>
      <w:hyperlink w:anchor="_Toc37754659" w:history="1">
        <w:r w:rsidRPr="008C7260">
          <w:rPr>
            <w:rStyle w:val="Hyperlink"/>
            <w:noProof/>
          </w:rPr>
          <w:t>231.205  Selected costs.</w:t>
        </w:r>
      </w:hyperlink>
    </w:p>
    <w:p w14:paraId="78890D2B" w14:textId="0943C51F" w:rsidR="00646884" w:rsidRDefault="00646884" w:rsidP="00646884">
      <w:pPr>
        <w:pStyle w:val="TOC4"/>
        <w:tabs>
          <w:tab w:val="right" w:leader="dot" w:pos="9350"/>
        </w:tabs>
        <w:rPr>
          <w:rFonts w:asciiTheme="minorHAnsi" w:eastAsiaTheme="minorEastAsia" w:hAnsiTheme="minorHAnsi"/>
          <w:noProof/>
        </w:rPr>
      </w:pPr>
      <w:hyperlink w:anchor="_Toc37754660" w:history="1">
        <w:r w:rsidRPr="008C7260">
          <w:rPr>
            <w:rStyle w:val="Hyperlink"/>
            <w:noProof/>
          </w:rPr>
          <w:t>231.205-1  Public relations and advertising costs.</w:t>
        </w:r>
      </w:hyperlink>
    </w:p>
    <w:p w14:paraId="3CCB3337" w14:textId="502966EE" w:rsidR="00646884" w:rsidRDefault="00646884" w:rsidP="00646884">
      <w:pPr>
        <w:pStyle w:val="TOC4"/>
        <w:tabs>
          <w:tab w:val="right" w:leader="dot" w:pos="9350"/>
        </w:tabs>
        <w:rPr>
          <w:rFonts w:asciiTheme="minorHAnsi" w:eastAsiaTheme="minorEastAsia" w:hAnsiTheme="minorHAnsi"/>
          <w:noProof/>
        </w:rPr>
      </w:pPr>
      <w:hyperlink w:anchor="_Toc37754661" w:history="1">
        <w:r w:rsidRPr="008C7260">
          <w:rPr>
            <w:rStyle w:val="Hyperlink"/>
            <w:noProof/>
          </w:rPr>
          <w:t>231.205-6  Compensation for personal services.</w:t>
        </w:r>
      </w:hyperlink>
    </w:p>
    <w:p w14:paraId="5A78A3EA" w14:textId="4C80CA3A" w:rsidR="00646884" w:rsidRDefault="00646884" w:rsidP="00646884">
      <w:pPr>
        <w:pStyle w:val="TOC4"/>
        <w:tabs>
          <w:tab w:val="right" w:leader="dot" w:pos="9350"/>
        </w:tabs>
        <w:rPr>
          <w:rFonts w:asciiTheme="minorHAnsi" w:eastAsiaTheme="minorEastAsia" w:hAnsiTheme="minorHAnsi"/>
          <w:noProof/>
        </w:rPr>
      </w:pPr>
      <w:hyperlink w:anchor="_Toc37754662" w:history="1">
        <w:r w:rsidRPr="008C7260">
          <w:rPr>
            <w:rStyle w:val="Hyperlink"/>
            <w:noProof/>
          </w:rPr>
          <w:t>231.205-18  Independent research and development and bid and proposal costs.</w:t>
        </w:r>
      </w:hyperlink>
    </w:p>
    <w:p w14:paraId="6135272A" w14:textId="01FBAA18" w:rsidR="00646884" w:rsidRDefault="00646884" w:rsidP="00646884">
      <w:pPr>
        <w:pStyle w:val="TOC4"/>
        <w:tabs>
          <w:tab w:val="right" w:leader="dot" w:pos="9350"/>
        </w:tabs>
        <w:rPr>
          <w:rFonts w:asciiTheme="minorHAnsi" w:eastAsiaTheme="minorEastAsia" w:hAnsiTheme="minorHAnsi"/>
          <w:noProof/>
        </w:rPr>
      </w:pPr>
      <w:hyperlink w:anchor="_Toc37754663" w:history="1">
        <w:r w:rsidRPr="008C7260">
          <w:rPr>
            <w:rStyle w:val="Hyperlink"/>
            <w:noProof/>
          </w:rPr>
          <w:t>231.205-19  Insurance and indemnification.</w:t>
        </w:r>
      </w:hyperlink>
    </w:p>
    <w:p w14:paraId="4F2C6A52" w14:textId="0D5F5A76" w:rsidR="00646884" w:rsidRDefault="00646884" w:rsidP="00646884">
      <w:pPr>
        <w:pStyle w:val="TOC4"/>
        <w:tabs>
          <w:tab w:val="right" w:leader="dot" w:pos="9350"/>
        </w:tabs>
        <w:rPr>
          <w:rFonts w:asciiTheme="minorHAnsi" w:eastAsiaTheme="minorEastAsia" w:hAnsiTheme="minorHAnsi"/>
          <w:noProof/>
        </w:rPr>
      </w:pPr>
      <w:hyperlink w:anchor="_Toc37754664" w:history="1">
        <w:r w:rsidRPr="008C7260">
          <w:rPr>
            <w:rStyle w:val="Hyperlink"/>
            <w:noProof/>
          </w:rPr>
          <w:t>231.205-22  Legislative lobbying costs.</w:t>
        </w:r>
      </w:hyperlink>
    </w:p>
    <w:p w14:paraId="75F7B37D" w14:textId="03C59CB9" w:rsidR="00646884" w:rsidRDefault="00646884" w:rsidP="00646884">
      <w:pPr>
        <w:pStyle w:val="TOC4"/>
        <w:tabs>
          <w:tab w:val="right" w:leader="dot" w:pos="9350"/>
        </w:tabs>
        <w:rPr>
          <w:rFonts w:asciiTheme="minorHAnsi" w:eastAsiaTheme="minorEastAsia" w:hAnsiTheme="minorHAnsi"/>
          <w:noProof/>
        </w:rPr>
      </w:pPr>
      <w:hyperlink w:anchor="_Toc37754665" w:history="1">
        <w:r w:rsidRPr="008C7260">
          <w:rPr>
            <w:rStyle w:val="Hyperlink"/>
            <w:noProof/>
          </w:rPr>
          <w:t>231.205-70  External restructuring costs.</w:t>
        </w:r>
      </w:hyperlink>
    </w:p>
    <w:p w14:paraId="3AADAB3C" w14:textId="34C1FF50" w:rsidR="00646884" w:rsidRDefault="00646884" w:rsidP="00646884">
      <w:pPr>
        <w:pStyle w:val="TOC4"/>
        <w:tabs>
          <w:tab w:val="right" w:leader="dot" w:pos="9350"/>
        </w:tabs>
        <w:rPr>
          <w:rFonts w:asciiTheme="minorHAnsi" w:eastAsiaTheme="minorEastAsia" w:hAnsiTheme="minorHAnsi"/>
          <w:noProof/>
        </w:rPr>
      </w:pPr>
      <w:hyperlink w:anchor="_Toc37754666" w:history="1">
        <w:r w:rsidRPr="008C7260">
          <w:rPr>
            <w:rStyle w:val="Hyperlink"/>
            <w:noProof/>
          </w:rPr>
          <w:t>231.205-71  Costs related to counterfeit electronic parts and suspect counterfeit electronic parts.</w:t>
        </w:r>
      </w:hyperlink>
    </w:p>
    <w:p w14:paraId="338EFB22" w14:textId="05857306" w:rsidR="00646884" w:rsidRDefault="00646884" w:rsidP="00646884">
      <w:pPr>
        <w:pStyle w:val="TOC2"/>
        <w:tabs>
          <w:tab w:val="right" w:leader="dot" w:pos="9350"/>
        </w:tabs>
        <w:rPr>
          <w:rFonts w:asciiTheme="minorHAnsi" w:eastAsiaTheme="minorEastAsia" w:hAnsiTheme="minorHAnsi"/>
          <w:noProof/>
        </w:rPr>
      </w:pPr>
      <w:hyperlink w:anchor="_Toc37754667" w:history="1">
        <w:r w:rsidRPr="008C7260">
          <w:rPr>
            <w:rStyle w:val="Hyperlink"/>
            <w:caps/>
            <w:noProof/>
          </w:rPr>
          <w:t>SUBPART 231.3--CONTRACTS WITH EDUCATIONAL INSTITUTIONS</w:t>
        </w:r>
      </w:hyperlink>
    </w:p>
    <w:p w14:paraId="0F451521" w14:textId="19E89C52" w:rsidR="00646884" w:rsidRDefault="00646884" w:rsidP="00646884">
      <w:pPr>
        <w:pStyle w:val="TOC3"/>
        <w:tabs>
          <w:tab w:val="right" w:leader="dot" w:pos="9350"/>
        </w:tabs>
        <w:rPr>
          <w:rFonts w:asciiTheme="minorHAnsi" w:eastAsiaTheme="minorEastAsia" w:hAnsiTheme="minorHAnsi"/>
          <w:noProof/>
        </w:rPr>
      </w:pPr>
      <w:hyperlink w:anchor="_Toc37754668" w:history="1">
        <w:r w:rsidRPr="008C7260">
          <w:rPr>
            <w:rStyle w:val="Hyperlink"/>
            <w:noProof/>
          </w:rPr>
          <w:t>231.303  Requirements.</w:t>
        </w:r>
      </w:hyperlink>
    </w:p>
    <w:p w14:paraId="68485B4B" w14:textId="22EB8052" w:rsidR="00646884" w:rsidRDefault="00646884" w:rsidP="00646884">
      <w:pPr>
        <w:pStyle w:val="TOC2"/>
        <w:tabs>
          <w:tab w:val="right" w:leader="dot" w:pos="9350"/>
        </w:tabs>
        <w:rPr>
          <w:rFonts w:asciiTheme="minorHAnsi" w:eastAsiaTheme="minorEastAsia" w:hAnsiTheme="minorHAnsi"/>
          <w:noProof/>
        </w:rPr>
      </w:pPr>
      <w:hyperlink w:anchor="_Toc37754669" w:history="1">
        <w:r w:rsidRPr="008C7260">
          <w:rPr>
            <w:rStyle w:val="Hyperlink"/>
            <w:caps/>
            <w:noProof/>
          </w:rPr>
          <w:t>SUBPART 231.6--CONTRACTS WITH STATE, LOCAL, AND FEDERALLY</w:t>
        </w:r>
      </w:hyperlink>
    </w:p>
    <w:p w14:paraId="3AE330F3" w14:textId="74454729" w:rsidR="00646884" w:rsidRDefault="00646884" w:rsidP="00646884">
      <w:pPr>
        <w:pStyle w:val="TOC3"/>
        <w:tabs>
          <w:tab w:val="right" w:leader="dot" w:pos="9350"/>
        </w:tabs>
        <w:rPr>
          <w:rFonts w:asciiTheme="minorHAnsi" w:eastAsiaTheme="minorEastAsia" w:hAnsiTheme="minorHAnsi"/>
          <w:noProof/>
        </w:rPr>
      </w:pPr>
      <w:hyperlink w:anchor="_Toc37754670" w:history="1">
        <w:r w:rsidRPr="008C7260">
          <w:rPr>
            <w:rStyle w:val="Hyperlink"/>
            <w:noProof/>
          </w:rPr>
          <w:t>231.603  Requirements.</w:t>
        </w:r>
      </w:hyperlink>
    </w:p>
    <w:p w14:paraId="38D9B8EA" w14:textId="30CE86C7" w:rsidR="00646884" w:rsidRDefault="00646884" w:rsidP="00646884">
      <w:pPr>
        <w:pStyle w:val="TOC2"/>
        <w:tabs>
          <w:tab w:val="right" w:leader="dot" w:pos="9350"/>
        </w:tabs>
        <w:rPr>
          <w:rFonts w:asciiTheme="minorHAnsi" w:eastAsiaTheme="minorEastAsia" w:hAnsiTheme="minorHAnsi"/>
          <w:noProof/>
        </w:rPr>
      </w:pPr>
      <w:hyperlink w:anchor="_Toc37754671" w:history="1">
        <w:r w:rsidRPr="008C7260">
          <w:rPr>
            <w:rStyle w:val="Hyperlink"/>
            <w:caps/>
            <w:noProof/>
          </w:rPr>
          <w:t>SUBPART 231.7--CONTRACTS WITH NONPROFIT ORGANIZATIONS</w:t>
        </w:r>
      </w:hyperlink>
    </w:p>
    <w:p w14:paraId="1397AC4C" w14:textId="14D374A8" w:rsidR="00646884" w:rsidRDefault="00646884" w:rsidP="00646884">
      <w:pPr>
        <w:pStyle w:val="TOC3"/>
        <w:tabs>
          <w:tab w:val="right" w:leader="dot" w:pos="9350"/>
        </w:tabs>
        <w:rPr>
          <w:rFonts w:asciiTheme="minorHAnsi" w:eastAsiaTheme="minorEastAsia" w:hAnsiTheme="minorHAnsi"/>
          <w:noProof/>
        </w:rPr>
      </w:pPr>
      <w:hyperlink w:anchor="_Toc37754672" w:history="1">
        <w:r w:rsidRPr="008C7260">
          <w:rPr>
            <w:rStyle w:val="Hyperlink"/>
            <w:noProof/>
          </w:rPr>
          <w:t>231.703  Requirements.</w:t>
        </w:r>
      </w:hyperlink>
    </w:p>
    <w:p w14:paraId="372E11B8" w14:textId="3CB9976E" w:rsidR="002C6132" w:rsidRPr="002C6132" w:rsidRDefault="00646884" w:rsidP="002C6132">
      <w:pPr>
        <w:jc w:val="center"/>
        <w:rPr>
          <w:rFonts w:ascii="Arial" w:hAnsi="Arial" w:cs="Arial"/>
          <w:b/>
        </w:rPr>
      </w:pPr>
      <w:r>
        <w:rPr>
          <w:noProof/>
          <w:webHidden/>
        </w:rPr>
        <w:fldChar w:fldCharType="end"/>
      </w:r>
    </w:p>
    <w:p w14:paraId="7D6A957C" w14:textId="77777777" w:rsidR="002C6132" w:rsidRPr="008F3DC0" w:rsidRDefault="002C6132" w:rsidP="008F3DC0">
      <w:pPr>
        <w:pStyle w:val="Heading2"/>
      </w:pPr>
      <w:bookmarkStart w:id="2" w:name="_Toc37345826"/>
      <w:bookmarkStart w:id="3" w:name="_Toc37677357"/>
      <w:bookmarkStart w:id="4" w:name="BM231_1"/>
      <w:bookmarkStart w:id="5" w:name="_Toc37754655"/>
      <w:r w:rsidRPr="008F3DC0">
        <w:rPr>
          <w:caps/>
        </w:rPr>
        <w:t>subpart 231.1--applicability</w:t>
      </w:r>
      <w:bookmarkEnd w:id="2"/>
      <w:bookmarkEnd w:id="3"/>
      <w:bookmarkEnd w:id="5"/>
    </w:p>
    <w:p w14:paraId="7CF5A77C" w14:textId="77777777" w:rsidR="002C6132" w:rsidRDefault="002C6132" w:rsidP="00485A05">
      <w:pPr>
        <w:pStyle w:val="Heading3"/>
      </w:pPr>
      <w:r>
        <w:rPr>
          <w:b w:val="0"/>
          <w:caps/>
        </w:rPr>
        <w:br/>
      </w:r>
      <w:bookmarkStart w:id="6" w:name="_Toc37345827"/>
      <w:bookmarkStart w:id="7" w:name="_Toc37677358"/>
      <w:bookmarkStart w:id="8" w:name="_Toc37754656"/>
      <w:r w:rsidRPr="00371675">
        <w:t>231</w:t>
      </w:r>
      <w:r>
        <w:t>.</w:t>
      </w:r>
      <w:r w:rsidRPr="00371675">
        <w:t>100</w:t>
      </w:r>
      <w:r>
        <w:t xml:space="preserve">  </w:t>
      </w:r>
      <w:r w:rsidRPr="00371675">
        <w:t>Scope</w:t>
      </w:r>
      <w:r>
        <w:t xml:space="preserve"> </w:t>
      </w:r>
      <w:r w:rsidRPr="00371675">
        <w:t>of</w:t>
      </w:r>
      <w:r>
        <w:t xml:space="preserve"> </w:t>
      </w:r>
      <w:r w:rsidRPr="00371675">
        <w:t>subpart</w:t>
      </w:r>
      <w:r>
        <w:t>.</w:t>
      </w:r>
      <w:bookmarkEnd w:id="6"/>
      <w:bookmarkEnd w:id="7"/>
      <w:bookmarkEnd w:id="8"/>
    </w:p>
    <w:p w14:paraId="7727408C" w14:textId="77777777" w:rsidR="002C6132" w:rsidRDefault="002C6132" w:rsidP="00485A05">
      <w:pPr>
        <w:pStyle w:val="Heading4"/>
      </w:pPr>
      <w:r>
        <w:br/>
      </w:r>
      <w:bookmarkStart w:id="9" w:name="_Toc37677359"/>
      <w:bookmarkStart w:id="10" w:name="_Toc37754657"/>
      <w:r w:rsidRPr="00BC2123">
        <w:t>231</w:t>
      </w:r>
      <w:r>
        <w:t>.</w:t>
      </w:r>
      <w:r w:rsidRPr="00BC2123">
        <w:t>100</w:t>
      </w:r>
      <w:r>
        <w:t>-</w:t>
      </w:r>
      <w:r w:rsidRPr="00BC2123">
        <w:t>70</w:t>
      </w:r>
      <w:r>
        <w:t xml:space="preserve">  </w:t>
      </w:r>
      <w:r w:rsidRPr="00BC2123">
        <w:t>Contract</w:t>
      </w:r>
      <w:r>
        <w:t xml:space="preserve"> </w:t>
      </w:r>
      <w:r w:rsidRPr="00BC2123">
        <w:t>clause</w:t>
      </w:r>
      <w:r>
        <w:t>.</w:t>
      </w:r>
      <w:bookmarkEnd w:id="9"/>
      <w:bookmarkEnd w:id="10"/>
    </w:p>
    <w:p w14:paraId="37E4287B" w14:textId="77777777" w:rsidR="002C6132" w:rsidRPr="00485A05" w:rsidRDefault="002C6132" w:rsidP="00485A05">
      <w:r w:rsidRPr="00485A05">
        <w:t>Use the clause at 252.231-7000, Supplemental Cost Principles, in all solicitations and contracts, which are subject to the principles and procedures described in FAR Subparts 31.1, 31.2, 31.6, and 31.7.</w:t>
      </w:r>
    </w:p>
    <w:p w14:paraId="46F1C6A2" w14:textId="77777777" w:rsidR="002C6132" w:rsidRPr="00485A05" w:rsidRDefault="002C6132" w:rsidP="00485A05">
      <w:pPr>
        <w:rPr>
          <w:color w:val="0070C0"/>
        </w:rPr>
      </w:pPr>
      <w:r w:rsidRPr="00485A05">
        <w:lastRenderedPageBreak/>
        <w:br/>
      </w:r>
      <w:r w:rsidRPr="00485A05">
        <w:rPr>
          <w:color w:val="0070C0"/>
        </w:rPr>
        <w:t xml:space="preserve">When awarding qualified contracts in conjunction with the conveyance of a utility system under 10 U.S.C. 2688, "Utility Systems: Conveyance Authority," see DoD Class Deviation </w:t>
      </w:r>
      <w:hyperlink r:id="rId6" w:history="1">
        <w:r w:rsidRPr="00485A05">
          <w:rPr>
            <w:rStyle w:val="Hyperlink"/>
          </w:rPr>
          <w:t>2011-O0006</w:t>
        </w:r>
      </w:hyperlink>
      <w:r w:rsidRPr="00485A05">
        <w:rPr>
          <w:color w:val="0070C0"/>
        </w:rPr>
        <w:t>, Utilities Privatization –Class Deviation from FAR Part 31, dated March 31, 2011.  This deviation is effective until incorporated into the DFARS or rescinded.</w:t>
      </w:r>
      <w:bookmarkEnd w:id="4"/>
    </w:p>
    <w:p w14:paraId="445E076C" w14:textId="77777777" w:rsidR="002C6132" w:rsidRPr="00485A05" w:rsidRDefault="002C6132" w:rsidP="00485A05">
      <w:r w:rsidRPr="00485A05">
        <w:rPr>
          <w:color w:val="0070C0"/>
        </w:rPr>
        <w:br/>
      </w:r>
    </w:p>
    <w:p w14:paraId="664F9A84" w14:textId="77777777" w:rsidR="002C6132" w:rsidRDefault="002C6132">
      <w:pPr>
        <w:sectPr w:rsidR="002C6132" w:rsidSect="00981AE1">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16E7A374" w14:textId="77777777" w:rsidR="002C6132" w:rsidRPr="00E113B2" w:rsidRDefault="002C6132" w:rsidP="00E113B2">
      <w:pPr>
        <w:pStyle w:val="Heading2"/>
      </w:pPr>
      <w:bookmarkStart w:id="11" w:name="_Toc37345828"/>
      <w:bookmarkStart w:id="12" w:name="_Toc37677360"/>
      <w:bookmarkStart w:id="13" w:name="BM231_2"/>
      <w:bookmarkStart w:id="14" w:name="_Toc37754658"/>
      <w:r w:rsidRPr="00E113B2">
        <w:rPr>
          <w:caps/>
        </w:rPr>
        <w:lastRenderedPageBreak/>
        <w:t>SUBPART 231.2—CONTRACTS WITH COMMERCIAL ORGANIZATIONS</w:t>
      </w:r>
      <w:bookmarkEnd w:id="11"/>
      <w:bookmarkEnd w:id="12"/>
      <w:bookmarkEnd w:id="14"/>
    </w:p>
    <w:p w14:paraId="4F766963" w14:textId="77777777" w:rsidR="002C6132" w:rsidRPr="008020A7" w:rsidRDefault="002C6132" w:rsidP="00E113B2">
      <w:pPr>
        <w:jc w:val="center"/>
      </w:pPr>
      <w:r w:rsidRPr="008020A7">
        <w:rPr>
          <w:i/>
        </w:rPr>
        <w:t>(Revised August 24, 2018)</w:t>
      </w:r>
    </w:p>
    <w:p w14:paraId="0CB5E96A" w14:textId="77777777" w:rsidR="002C6132" w:rsidRDefault="002C6132" w:rsidP="008020A7">
      <w:pPr>
        <w:pStyle w:val="Heading3"/>
      </w:pPr>
      <w:r>
        <w:rPr>
          <w:i/>
        </w:rPr>
        <w:br/>
      </w:r>
      <w:bookmarkStart w:id="15" w:name="_Toc37345829"/>
      <w:bookmarkStart w:id="16" w:name="_Toc37677361"/>
      <w:bookmarkStart w:id="17" w:name="_Toc37754659"/>
      <w:r w:rsidRPr="00F43F69">
        <w:t>231</w:t>
      </w:r>
      <w:r w:rsidRPr="00EA5939">
        <w:t>.</w:t>
      </w:r>
      <w:r w:rsidRPr="00F43F69">
        <w:t>205</w:t>
      </w:r>
      <w:r w:rsidRPr="00EA5939">
        <w:t xml:space="preserve">  </w:t>
      </w:r>
      <w:r w:rsidRPr="00F43F69">
        <w:t>Selected</w:t>
      </w:r>
      <w:r w:rsidRPr="00EA5939">
        <w:t xml:space="preserve"> </w:t>
      </w:r>
      <w:r w:rsidRPr="00F43F69">
        <w:t>costs</w:t>
      </w:r>
      <w:r>
        <w:t>.</w:t>
      </w:r>
      <w:bookmarkEnd w:id="15"/>
      <w:bookmarkEnd w:id="16"/>
      <w:bookmarkEnd w:id="17"/>
    </w:p>
    <w:p w14:paraId="39C830F2" w14:textId="77777777" w:rsidR="002C6132" w:rsidRDefault="002C6132" w:rsidP="008020A7">
      <w:pPr>
        <w:pStyle w:val="Heading4"/>
      </w:pPr>
      <w:r>
        <w:br/>
      </w:r>
      <w:bookmarkStart w:id="18" w:name="_Toc37677362"/>
      <w:bookmarkStart w:id="19" w:name="_Toc37754660"/>
      <w:r w:rsidRPr="00150959">
        <w:t>231</w:t>
      </w:r>
      <w:r w:rsidRPr="00EA5939">
        <w:t>.</w:t>
      </w:r>
      <w:r w:rsidRPr="00150959">
        <w:t>205</w:t>
      </w:r>
      <w:r w:rsidRPr="00EA5939">
        <w:t>-</w:t>
      </w:r>
      <w:r w:rsidRPr="00150959">
        <w:t>1</w:t>
      </w:r>
      <w:r w:rsidRPr="00EA5939">
        <w:t xml:space="preserve">  </w:t>
      </w:r>
      <w:r w:rsidRPr="00150959">
        <w:t>Public</w:t>
      </w:r>
      <w:r w:rsidRPr="00EA5939">
        <w:t xml:space="preserve"> </w:t>
      </w:r>
      <w:r w:rsidRPr="00150959">
        <w:t>relations</w:t>
      </w:r>
      <w:r w:rsidRPr="00EA5939">
        <w:t xml:space="preserve"> </w:t>
      </w:r>
      <w:r w:rsidRPr="00150959">
        <w:t>and</w:t>
      </w:r>
      <w:r w:rsidRPr="00EA5939">
        <w:t xml:space="preserve"> </w:t>
      </w:r>
      <w:r w:rsidRPr="00150959">
        <w:t>advertising</w:t>
      </w:r>
      <w:r w:rsidRPr="00EA5939">
        <w:t xml:space="preserve"> </w:t>
      </w:r>
      <w:r w:rsidRPr="00150959">
        <w:t>costs</w:t>
      </w:r>
      <w:r>
        <w:t>.</w:t>
      </w:r>
      <w:bookmarkEnd w:id="18"/>
      <w:bookmarkEnd w:id="19"/>
    </w:p>
    <w:p w14:paraId="500A788C" w14:textId="77777777" w:rsidR="002C6132" w:rsidRDefault="002C6132" w:rsidP="00141904">
      <w:pPr>
        <w:pStyle w:val="List1"/>
      </w:pPr>
      <w:r w:rsidRPr="00F43F69">
        <w:br/>
        <w:t>(e)</w:t>
      </w:r>
      <w:r w:rsidRPr="00BA2FB4">
        <w:rPr>
          <w:rFonts w:cs="Courier New"/>
        </w:rPr>
        <w:t xml:space="preserve">  See </w:t>
      </w:r>
      <w:hyperlink r:id="rId11" w:anchor="225.7303-2" w:history="1">
        <w:r w:rsidRPr="00EC4532">
          <w:rPr>
            <w:rStyle w:val="Hyperlink"/>
            <w:rFonts w:cs="Courier New"/>
          </w:rPr>
          <w:t>225.7303-2</w:t>
        </w:r>
      </w:hyperlink>
      <w:r w:rsidRPr="00BA2FB4">
        <w:rPr>
          <w:rFonts w:cs="Courier New"/>
        </w:rPr>
        <w:t>(e) for allowability provisions affecting foreign military sales contracts.</w:t>
      </w:r>
    </w:p>
    <w:p w14:paraId="3CBF7B63" w14:textId="77777777" w:rsidR="002C6132" w:rsidRDefault="002C6132" w:rsidP="00141904">
      <w:pPr>
        <w:pStyle w:val="List1"/>
      </w:pPr>
      <w:r>
        <w:rPr>
          <w:rFonts w:cs="Courier New"/>
        </w:rPr>
        <w:br/>
        <w:t>(</w:t>
      </w:r>
      <w:r w:rsidRPr="00BA2FB4">
        <w:rPr>
          <w:rFonts w:cs="Courier New"/>
        </w:rPr>
        <w:t>f)  Unallowable public relations and advertising costs include the following:</w:t>
      </w:r>
    </w:p>
    <w:p w14:paraId="18ED475B" w14:textId="77777777" w:rsidR="002C6132" w:rsidRDefault="002C6132" w:rsidP="008020A7">
      <w:pPr>
        <w:pStyle w:val="List2"/>
      </w:pPr>
      <w:r>
        <w:rPr>
          <w:rFonts w:cs="Courier New"/>
        </w:rPr>
        <w:br/>
      </w:r>
      <w:r w:rsidRPr="00BA2FB4">
        <w:rPr>
          <w:rFonts w:cs="Courier New"/>
        </w:rPr>
        <w:t xml:space="preserve">(1)  Monies paid to the Government associated with the leasing of Government equipment, including lease payments and reimbursements for support services, except for foreign military sales contracts as provided for at </w:t>
      </w:r>
      <w:hyperlink r:id="rId12" w:anchor="225.7303-2" w:history="1">
        <w:r w:rsidRPr="00EC4532">
          <w:rPr>
            <w:rStyle w:val="Hyperlink"/>
            <w:rFonts w:cs="Courier New"/>
          </w:rPr>
          <w:t>225.7303-2</w:t>
        </w:r>
      </w:hyperlink>
      <w:r w:rsidRPr="00BA2FB4">
        <w:rPr>
          <w:rFonts w:cs="Courier New"/>
        </w:rPr>
        <w:t>.</w:t>
      </w:r>
    </w:p>
    <w:p w14:paraId="61D71EFC" w14:textId="77777777" w:rsidR="002C6132" w:rsidRDefault="002C6132" w:rsidP="008020A7">
      <w:pPr>
        <w:pStyle w:val="Heading4"/>
      </w:pPr>
      <w:r>
        <w:br/>
      </w:r>
      <w:bookmarkStart w:id="20" w:name="_Toc37677363"/>
      <w:bookmarkStart w:id="21" w:name="_Toc37754661"/>
      <w:r w:rsidRPr="00150959">
        <w:t>231</w:t>
      </w:r>
      <w:r w:rsidRPr="00EA5939">
        <w:t>.</w:t>
      </w:r>
      <w:r w:rsidRPr="00150959">
        <w:t>205</w:t>
      </w:r>
      <w:r w:rsidRPr="00EA5939">
        <w:t>-</w:t>
      </w:r>
      <w:r w:rsidRPr="00150959">
        <w:t>6</w:t>
      </w:r>
      <w:r w:rsidRPr="00EA5939">
        <w:t xml:space="preserve">  </w:t>
      </w:r>
      <w:r w:rsidRPr="00150959">
        <w:t>Compensation</w:t>
      </w:r>
      <w:r w:rsidRPr="00EA5939">
        <w:t xml:space="preserve"> </w:t>
      </w:r>
      <w:r w:rsidRPr="00150959">
        <w:t>for</w:t>
      </w:r>
      <w:r w:rsidRPr="00EA5939">
        <w:t xml:space="preserve"> </w:t>
      </w:r>
      <w:r w:rsidRPr="00150959">
        <w:t>personal</w:t>
      </w:r>
      <w:r w:rsidRPr="00EA5939">
        <w:t xml:space="preserve"> </w:t>
      </w:r>
      <w:r w:rsidRPr="00150959">
        <w:t>services</w:t>
      </w:r>
      <w:r>
        <w:t>.</w:t>
      </w:r>
      <w:bookmarkEnd w:id="20"/>
      <w:bookmarkEnd w:id="21"/>
    </w:p>
    <w:p w14:paraId="14CC9AD7" w14:textId="77777777" w:rsidR="002C6132" w:rsidRDefault="002C6132" w:rsidP="00141904">
      <w:pPr>
        <w:pStyle w:val="List1"/>
      </w:pPr>
      <w:r>
        <w:b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hyperlink r:id="rId13" w:anchor="231.205-70" w:history="1">
        <w:r w:rsidRPr="00EC4532">
          <w:rPr>
            <w:rStyle w:val="Hyperlink"/>
          </w:rPr>
          <w:t>231.205-70</w:t>
        </w:r>
      </w:hyperlink>
      <w:r>
        <w:t>(b) for the definitions of “business combination” and “restructuring costs.”)</w:t>
      </w:r>
    </w:p>
    <w:p w14:paraId="085CF629" w14:textId="77777777" w:rsidR="002C6132" w:rsidRDefault="002C6132" w:rsidP="00141904">
      <w:pPr>
        <w:pStyle w:val="List1"/>
      </w:pPr>
      <w:r>
        <w:br/>
        <w:t>(m)(1)  Fringe benefit costs that are contrary to law, employer-employee agreement, or an established policy of the contractor are unallowable.</w:t>
      </w:r>
    </w:p>
    <w:p w14:paraId="715C4461" w14:textId="77777777" w:rsidR="002C6132" w:rsidRDefault="002C6132" w:rsidP="008020A7">
      <w:pPr>
        <w:pStyle w:val="Heading4"/>
      </w:pPr>
      <w:r>
        <w:br/>
      </w:r>
      <w:bookmarkStart w:id="22" w:name="_Toc37677364"/>
      <w:bookmarkStart w:id="23" w:name="_Toc37754662"/>
      <w:r w:rsidRPr="00150959">
        <w:t>231</w:t>
      </w:r>
      <w:r w:rsidRPr="00EA5939">
        <w:t>.</w:t>
      </w:r>
      <w:r w:rsidRPr="00150959">
        <w:t>205</w:t>
      </w:r>
      <w:r w:rsidRPr="00EA5939">
        <w:t>-</w:t>
      </w:r>
      <w:r w:rsidRPr="00150959">
        <w:t>18</w:t>
      </w:r>
      <w:r w:rsidRPr="00EA5939">
        <w:t xml:space="preserve">  </w:t>
      </w:r>
      <w:r w:rsidRPr="00150959">
        <w:t>Independent</w:t>
      </w:r>
      <w:r w:rsidRPr="00EA5939">
        <w:t xml:space="preserve"> </w:t>
      </w:r>
      <w:r w:rsidRPr="00150959">
        <w:t>research</w:t>
      </w:r>
      <w:r w:rsidRPr="00EA5939">
        <w:t xml:space="preserve"> </w:t>
      </w:r>
      <w:r w:rsidRPr="00150959">
        <w:t>and</w:t>
      </w:r>
      <w:r w:rsidRPr="00EA5939">
        <w:t xml:space="preserve"> </w:t>
      </w:r>
      <w:r w:rsidRPr="00150959">
        <w:t>development</w:t>
      </w:r>
      <w:r w:rsidRPr="00EA5939">
        <w:t xml:space="preserve"> </w:t>
      </w:r>
      <w:r w:rsidRPr="00150959">
        <w:t>and</w:t>
      </w:r>
      <w:r w:rsidRPr="00EA5939">
        <w:t xml:space="preserve"> </w:t>
      </w:r>
      <w:r w:rsidRPr="00150959">
        <w:t>bid</w:t>
      </w:r>
      <w:r w:rsidRPr="00EA5939">
        <w:t xml:space="preserve"> </w:t>
      </w:r>
      <w:r w:rsidRPr="00150959">
        <w:t>and</w:t>
      </w:r>
      <w:r w:rsidRPr="00EA5939">
        <w:t xml:space="preserve"> </w:t>
      </w:r>
      <w:r w:rsidRPr="00150959">
        <w:t>proposal</w:t>
      </w:r>
      <w:r w:rsidRPr="00EA5939">
        <w:t xml:space="preserve"> </w:t>
      </w:r>
      <w:r w:rsidRPr="00150959">
        <w:t>costs</w:t>
      </w:r>
      <w:r>
        <w:t>.</w:t>
      </w:r>
      <w:bookmarkEnd w:id="22"/>
      <w:bookmarkEnd w:id="23"/>
    </w:p>
    <w:p w14:paraId="7BB833FF" w14:textId="77777777" w:rsidR="002C6132" w:rsidRDefault="002C6132" w:rsidP="00141904">
      <w:pPr>
        <w:pStyle w:val="List1"/>
      </w:pPr>
      <w:r>
        <w:br/>
        <w:t xml:space="preserve">(a)  </w:t>
      </w:r>
      <w:r>
        <w:rPr>
          <w:i/>
        </w:rPr>
        <w:t>Definitions</w:t>
      </w:r>
      <w:r>
        <w:t>.  As used in this subsection—</w:t>
      </w:r>
    </w:p>
    <w:p w14:paraId="64AFBA17" w14:textId="77777777" w:rsidR="002C6132" w:rsidRDefault="002C6132" w:rsidP="008020A7">
      <w:pPr>
        <w:pStyle w:val="List3"/>
      </w:pPr>
      <w:r>
        <w:b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14:paraId="4482F952" w14:textId="77777777" w:rsidR="002C6132" w:rsidRDefault="002C6132" w:rsidP="008020A7">
      <w:pPr>
        <w:pStyle w:val="List3"/>
      </w:pPr>
      <w:r>
        <w:br/>
        <w:t xml:space="preserve">(ii)  “Covered segment” means a product division of the contractor that allocated more than $1,100,000 in independent research and development and bid and proposal (IR&amp;D/B&amp;P) costs to covered contracts during the preceding fiscal year.  </w:t>
      </w:r>
      <w:r>
        <w:lastRenderedPageBreak/>
        <w:t>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14:paraId="6FA38704" w14:textId="77777777" w:rsidR="002C6132" w:rsidRDefault="002C6132" w:rsidP="008020A7">
      <w:pPr>
        <w:pStyle w:val="List3"/>
      </w:pPr>
      <w:r>
        <w:b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14:paraId="6F7FA88D" w14:textId="77777777" w:rsidR="002C6132" w:rsidRDefault="002C6132" w:rsidP="00141904">
      <w:pPr>
        <w:pStyle w:val="List1"/>
      </w:pPr>
      <w:r>
        <w:br/>
        <w:t xml:space="preserve">(c)  </w:t>
      </w:r>
      <w:r>
        <w:rPr>
          <w:i/>
        </w:rPr>
        <w:t>Allowability</w:t>
      </w:r>
      <w:r>
        <w:t>.</w:t>
      </w:r>
    </w:p>
    <w:p w14:paraId="0F720C0E" w14:textId="77777777" w:rsidR="002C6132" w:rsidRDefault="002C6132" w:rsidP="008020A7">
      <w:pPr>
        <w:pStyle w:val="List3"/>
      </w:pPr>
      <w:r>
        <w:br/>
        <w:t xml:space="preserve">(i)  Departments/agencies shall not supplement this regulation in any way that limits IR&amp;D/B&amp;P cost allowability. </w:t>
      </w:r>
    </w:p>
    <w:p w14:paraId="25453F0B" w14:textId="77777777" w:rsidR="002C6132" w:rsidRDefault="002C6132" w:rsidP="008020A7">
      <w:pPr>
        <w:pStyle w:val="List3"/>
      </w:pPr>
      <w:r>
        <w:br/>
        <w:t xml:space="preserve">(ii)  See </w:t>
      </w:r>
      <w:hyperlink r:id="rId14" w:anchor="225.7303-2" w:history="1">
        <w:r w:rsidRPr="00EC4532">
          <w:rPr>
            <w:rStyle w:val="Hyperlink"/>
          </w:rPr>
          <w:t>225.7303-2</w:t>
        </w:r>
      </w:hyperlink>
      <w:r>
        <w:t>(c) for allowability provisions affecting foreign military sale contracts.</w:t>
      </w:r>
    </w:p>
    <w:p w14:paraId="6C90472F" w14:textId="77777777" w:rsidR="002C6132" w:rsidRDefault="002C6132" w:rsidP="008020A7">
      <w:pPr>
        <w:pStyle w:val="List3"/>
      </w:pPr>
      <w:r>
        <w:br/>
        <w:t>(iii)  For major contractors, the following limitations apply:</w:t>
      </w:r>
    </w:p>
    <w:p w14:paraId="7607CD22" w14:textId="77777777" w:rsidR="002C6132" w:rsidRDefault="002C6132" w:rsidP="008020A7">
      <w:pPr>
        <w:pStyle w:val="List4"/>
      </w:pPr>
      <w:r>
        <w:br/>
        <w:t>(A)  The amount of IR&amp;D/B&amp;P costs allowable under DoD contracts shall not exceed the lesser of—</w:t>
      </w:r>
    </w:p>
    <w:p w14:paraId="24558352" w14:textId="77777777" w:rsidR="002C6132" w:rsidRDefault="002C6132" w:rsidP="008020A7">
      <w:pPr>
        <w:pStyle w:val="List2"/>
      </w:pPr>
      <w:r>
        <w:br/>
      </w:r>
      <w:r>
        <w:rPr>
          <w:i/>
        </w:rPr>
        <w:t>(1)</w:t>
      </w:r>
      <w:r>
        <w:t xml:space="preserve">  Such contracts’ allocable share of total incurred IR&amp;D/B&amp;P costs; or</w:t>
      </w:r>
    </w:p>
    <w:p w14:paraId="7F9B9EE7" w14:textId="77777777" w:rsidR="002C6132" w:rsidRDefault="002C6132" w:rsidP="008020A7">
      <w:pPr>
        <w:pStyle w:val="List2"/>
      </w:pPr>
      <w:r>
        <w:br/>
      </w:r>
      <w:r>
        <w:rPr>
          <w:i/>
        </w:rPr>
        <w:t>(2)</w:t>
      </w:r>
      <w:r>
        <w:t xml:space="preserve">  The amount of incurred IR&amp;D/B&amp;P costs for projects having potential interest to DoD.</w:t>
      </w:r>
    </w:p>
    <w:p w14:paraId="102BF404" w14:textId="77777777" w:rsidR="002C6132" w:rsidRDefault="002C6132" w:rsidP="008020A7">
      <w:pPr>
        <w:pStyle w:val="List4"/>
      </w:pPr>
      <w:r>
        <w:br/>
        <w:t>(B)  Allowable IR&amp;D/B&amp;P costs are limited to those for projects that are of potential interest to DoD, including activities intended to accomplish any of the following:</w:t>
      </w:r>
    </w:p>
    <w:p w14:paraId="013CE6BE" w14:textId="77777777" w:rsidR="002C6132" w:rsidRDefault="002C6132" w:rsidP="008020A7">
      <w:pPr>
        <w:pStyle w:val="List2"/>
      </w:pPr>
      <w:r>
        <w:br/>
      </w:r>
      <w:r>
        <w:rPr>
          <w:i/>
        </w:rPr>
        <w:t>(1)</w:t>
      </w:r>
      <w:r>
        <w:t xml:space="preserve">  Enable superior performance of future U.S. weapon systems and components.</w:t>
      </w:r>
    </w:p>
    <w:p w14:paraId="186CBDB9" w14:textId="77777777" w:rsidR="002C6132" w:rsidRDefault="002C6132" w:rsidP="008020A7">
      <w:pPr>
        <w:pStyle w:val="List2"/>
      </w:pPr>
      <w:r>
        <w:br/>
      </w:r>
      <w:r>
        <w:rPr>
          <w:i/>
        </w:rPr>
        <w:t>(2)</w:t>
      </w:r>
      <w:r>
        <w:t xml:space="preserve">  Reduce acquisition costs and life-cycle costs of military systems.</w:t>
      </w:r>
    </w:p>
    <w:p w14:paraId="1EB72C9D" w14:textId="77777777" w:rsidR="002C6132" w:rsidRDefault="002C6132" w:rsidP="008020A7">
      <w:pPr>
        <w:pStyle w:val="List2"/>
      </w:pPr>
      <w:r>
        <w:br/>
      </w:r>
      <w:r>
        <w:rPr>
          <w:i/>
        </w:rPr>
        <w:t>(3)</w:t>
      </w:r>
      <w:r>
        <w:t xml:space="preserve">  Strengthen the defense industrial and technology base of the United States.</w:t>
      </w:r>
    </w:p>
    <w:p w14:paraId="7437502C" w14:textId="77777777" w:rsidR="002C6132" w:rsidRDefault="002C6132" w:rsidP="008020A7">
      <w:pPr>
        <w:pStyle w:val="List2"/>
      </w:pPr>
      <w:r>
        <w:br/>
      </w:r>
      <w:r>
        <w:rPr>
          <w:i/>
        </w:rPr>
        <w:t>(4)</w:t>
      </w:r>
      <w:r>
        <w:t xml:space="preserve">  Enhance the industrial competitiveness of the United States.</w:t>
      </w:r>
    </w:p>
    <w:p w14:paraId="090B94F9" w14:textId="77777777" w:rsidR="002C6132" w:rsidRDefault="002C6132" w:rsidP="008020A7">
      <w:pPr>
        <w:pStyle w:val="List2"/>
      </w:pPr>
      <w:r>
        <w:br/>
      </w:r>
      <w:r>
        <w:rPr>
          <w:i/>
        </w:rPr>
        <w:t>(5)</w:t>
      </w:r>
      <w:r>
        <w:t xml:space="preserve">  Promote the development of technologies identified as critical under 10 U.S.C. 2522.</w:t>
      </w:r>
    </w:p>
    <w:p w14:paraId="1C5EBC65" w14:textId="77777777" w:rsidR="002C6132" w:rsidRDefault="002C6132" w:rsidP="008020A7">
      <w:pPr>
        <w:pStyle w:val="List2"/>
      </w:pPr>
      <w:r>
        <w:lastRenderedPageBreak/>
        <w:br/>
      </w:r>
      <w:r>
        <w:rPr>
          <w:i/>
        </w:rPr>
        <w:t>(6)</w:t>
      </w:r>
      <w:r>
        <w:t xml:space="preserve">  Increase the development and promotion of efficient and effective applications of dual-use technologies.</w:t>
      </w:r>
    </w:p>
    <w:p w14:paraId="796E4169" w14:textId="77777777" w:rsidR="002C6132" w:rsidRDefault="002C6132" w:rsidP="008020A7">
      <w:pPr>
        <w:pStyle w:val="List2"/>
      </w:pPr>
      <w:r>
        <w:br/>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p>
    <w:p w14:paraId="15D0475E" w14:textId="77777777" w:rsidR="002C6132" w:rsidRDefault="002C6132" w:rsidP="008020A7">
      <w:pPr>
        <w:pStyle w:val="List4"/>
      </w:pPr>
      <w:r>
        <w:rPr>
          <w:i/>
        </w:rPr>
        <w:br/>
      </w:r>
      <w:r w:rsidRPr="002523C6">
        <w:t>(C)  For annual IR&amp;D costs to be allowable</w:t>
      </w:r>
      <w:r>
        <w:t>—</w:t>
      </w:r>
    </w:p>
    <w:p w14:paraId="724E9C1D" w14:textId="77777777" w:rsidR="002C6132" w:rsidRDefault="002C6132" w:rsidP="008020A7">
      <w:pPr>
        <w:pStyle w:val="List2"/>
      </w:pPr>
      <w:r>
        <w:br/>
        <w:t>(</w:t>
      </w:r>
      <w:r w:rsidRPr="00BF0F1E">
        <w:rPr>
          <w:i/>
        </w:rPr>
        <w:t>1</w:t>
      </w:r>
      <w:r>
        <w:t xml:space="preserve">) </w:t>
      </w:r>
      <w:r w:rsidRPr="002523C6">
        <w:t xml:space="preserve"> </w:t>
      </w:r>
      <w:r>
        <w:t>T</w:t>
      </w:r>
      <w:r w:rsidRPr="002523C6">
        <w:t xml:space="preserve">he IR&amp;D projects generating the costs must be reported to the Defense Technical Information Center (DTIC) using the DTIC's on-line input form and instructions at </w:t>
      </w:r>
      <w:hyperlink r:id="rId15" w:history="1">
        <w:r w:rsidRPr="00804BD1">
          <w:rPr>
            <w:rStyle w:val="Hyperlink"/>
          </w:rPr>
          <w:t>http://www.defenseinnovationmarketplace.mil</w:t>
        </w:r>
      </w:hyperlink>
      <w:r>
        <w:t>;</w:t>
      </w:r>
    </w:p>
    <w:p w14:paraId="4CC802DD" w14:textId="77777777" w:rsidR="002C6132" w:rsidRDefault="002C6132" w:rsidP="008020A7">
      <w:pPr>
        <w:pStyle w:val="List2"/>
      </w:pPr>
      <w:r>
        <w:br/>
        <w:t>(</w:t>
      </w:r>
      <w:r w:rsidRPr="00BF0F1E">
        <w:rPr>
          <w:i/>
        </w:rPr>
        <w:t>2</w:t>
      </w:r>
      <w:r>
        <w:t xml:space="preserve">)  </w:t>
      </w:r>
      <w:r w:rsidRPr="002523C6">
        <w:t>The inputs must be updated at least annually and when the project is completed</w:t>
      </w:r>
      <w:r>
        <w:t>;</w:t>
      </w:r>
    </w:p>
    <w:p w14:paraId="3022BBB7" w14:textId="77777777" w:rsidR="002C6132" w:rsidRDefault="002C6132" w:rsidP="008020A7">
      <w:pPr>
        <w:pStyle w:val="List2"/>
      </w:pPr>
      <w:r>
        <w:br/>
        <w:t>(</w:t>
      </w:r>
      <w:r w:rsidRPr="00BF0F1E">
        <w:rPr>
          <w:i/>
        </w:rPr>
        <w:t>3</w:t>
      </w:r>
      <w:r>
        <w:t xml:space="preserve">)  </w:t>
      </w:r>
      <w:r w:rsidRPr="002523C6">
        <w:t xml:space="preserve">Copies of the input and updates must be made available for review by the cognizant administrative contracting officer (ACO) and the cognizant Defense Contract Audit Agency auditor to support </w:t>
      </w:r>
      <w:r>
        <w:t>the allowability of the costs; and</w:t>
      </w:r>
    </w:p>
    <w:p w14:paraId="3F8836BE" w14:textId="77777777" w:rsidR="002C6132" w:rsidRDefault="002C6132" w:rsidP="008020A7">
      <w:pPr>
        <w:pStyle w:val="List3"/>
      </w:pPr>
      <w:r>
        <w:br/>
        <w:t>(iv)  Contractors not meeting the threshold of a major contractor are encouraged to use the DTIC online input form to report IR&amp;D projects to provide DoD with visibility into the technical content of the contractors' IR&amp;D activities.</w:t>
      </w:r>
    </w:p>
    <w:p w14:paraId="67A8FA00" w14:textId="77777777" w:rsidR="002C6132" w:rsidRDefault="002C6132" w:rsidP="008020A7">
      <w:pPr>
        <w:pStyle w:val="List3"/>
      </w:pPr>
      <w:r>
        <w:rPr>
          <w:i/>
        </w:rPr>
        <w:br/>
      </w:r>
      <w:r>
        <w:t>(v)  For major contractors, the ACO or corporate ACO shall—</w:t>
      </w:r>
    </w:p>
    <w:p w14:paraId="588BD02E" w14:textId="77777777" w:rsidR="002C6132" w:rsidRDefault="002C6132" w:rsidP="008020A7">
      <w:pPr>
        <w:pStyle w:val="List4"/>
      </w:pPr>
      <w:r>
        <w:br/>
        <w:t>(A)  Determine whether IR&amp;D/B&amp;P projects are of potential interest to DoD; and</w:t>
      </w:r>
    </w:p>
    <w:p w14:paraId="06BE4A0F" w14:textId="77777777" w:rsidR="002C6132" w:rsidRDefault="002C6132" w:rsidP="008020A7">
      <w:pPr>
        <w:pStyle w:val="List4"/>
      </w:pPr>
      <w:r>
        <w:br/>
        <w:t>(B)  Provide the results of the determination to the contractor.</w:t>
      </w:r>
    </w:p>
    <w:p w14:paraId="4D2BD0A7" w14:textId="77777777" w:rsidR="002C6132" w:rsidRDefault="002C6132" w:rsidP="008020A7">
      <w:pPr>
        <w:pStyle w:val="List3"/>
      </w:pPr>
      <w:r>
        <w:b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hyperlink r:id="rId16" w:anchor="242.771-3" w:history="1">
        <w:r w:rsidRPr="00EC4532">
          <w:rPr>
            <w:rStyle w:val="Hyperlink"/>
          </w:rPr>
          <w:t>242.771-3</w:t>
        </w:r>
      </w:hyperlink>
      <w:r>
        <w:t>(a)).</w:t>
      </w:r>
    </w:p>
    <w:p w14:paraId="24F08125" w14:textId="77777777" w:rsidR="002C6132" w:rsidRDefault="002C6132" w:rsidP="008020A7">
      <w:pPr>
        <w:pStyle w:val="Heading4"/>
      </w:pPr>
      <w:r>
        <w:br/>
      </w:r>
      <w:bookmarkStart w:id="24" w:name="_Toc37677365"/>
      <w:bookmarkStart w:id="25" w:name="_Toc37754663"/>
      <w:r w:rsidRPr="00150959">
        <w:t>231</w:t>
      </w:r>
      <w:r w:rsidRPr="00A27CBA">
        <w:t>.</w:t>
      </w:r>
      <w:r w:rsidRPr="00150959">
        <w:t>205</w:t>
      </w:r>
      <w:r w:rsidRPr="00A27CBA">
        <w:t>-</w:t>
      </w:r>
      <w:r w:rsidRPr="00150959">
        <w:t>19</w:t>
      </w:r>
      <w:r w:rsidRPr="00A27CBA">
        <w:t xml:space="preserve">  </w:t>
      </w:r>
      <w:r w:rsidRPr="00150959">
        <w:t>Insurance</w:t>
      </w:r>
      <w:r w:rsidRPr="00A27CBA">
        <w:t xml:space="preserve"> </w:t>
      </w:r>
      <w:r w:rsidRPr="00150959">
        <w:t>and</w:t>
      </w:r>
      <w:r w:rsidRPr="00A27CBA">
        <w:t xml:space="preserve"> </w:t>
      </w:r>
      <w:r w:rsidRPr="00150959">
        <w:t>indemnification</w:t>
      </w:r>
      <w:r w:rsidRPr="00A27CBA">
        <w:t>.</w:t>
      </w:r>
      <w:bookmarkEnd w:id="24"/>
      <w:bookmarkEnd w:id="25"/>
    </w:p>
    <w:p w14:paraId="39972030" w14:textId="77777777" w:rsidR="002C6132" w:rsidRDefault="002C6132" w:rsidP="00141904">
      <w:pPr>
        <w:pStyle w:val="List1"/>
      </w:pPr>
      <w:r>
        <w:br/>
      </w:r>
      <w:r w:rsidRPr="00A27CBA">
        <w:t xml:space="preserve">(e)  In addition to the cost limitations in FAR 31.205-19(e), self-insurance and purchased insurance costs are subject to the requirements of the clauses at </w:t>
      </w:r>
      <w:hyperlink r:id="rId17" w:anchor="252.217-7012" w:history="1">
        <w:r w:rsidRPr="00D23055">
          <w:rPr>
            <w:rStyle w:val="Hyperlink"/>
          </w:rPr>
          <w:t>252.217-7012</w:t>
        </w:r>
      </w:hyperlink>
      <w:r w:rsidRPr="00A27CBA">
        <w:t xml:space="preserve">, Liability and Insurance, and </w:t>
      </w:r>
      <w:hyperlink r:id="rId18" w:anchor="252.228-7001" w:history="1">
        <w:r w:rsidRPr="00D23055">
          <w:rPr>
            <w:rStyle w:val="Hyperlink"/>
          </w:rPr>
          <w:t>252.228-7001</w:t>
        </w:r>
      </w:hyperlink>
      <w:r w:rsidRPr="00A27CBA">
        <w:t>, Ground and Flight Risk.</w:t>
      </w:r>
    </w:p>
    <w:p w14:paraId="75BAB0AB" w14:textId="77777777" w:rsidR="002C6132" w:rsidRDefault="002C6132" w:rsidP="008020A7">
      <w:pPr>
        <w:pStyle w:val="Heading4"/>
      </w:pPr>
      <w:r>
        <w:br/>
      </w:r>
      <w:bookmarkStart w:id="26" w:name="_Toc37677366"/>
      <w:bookmarkStart w:id="27" w:name="_Toc37754664"/>
      <w:r w:rsidRPr="00150959">
        <w:t>231</w:t>
      </w:r>
      <w:r>
        <w:t>.</w:t>
      </w:r>
      <w:r w:rsidRPr="00150959">
        <w:t>205</w:t>
      </w:r>
      <w:r>
        <w:t>-</w:t>
      </w:r>
      <w:r w:rsidRPr="00150959">
        <w:t>22</w:t>
      </w:r>
      <w:r>
        <w:t xml:space="preserve">  </w:t>
      </w:r>
      <w:r w:rsidRPr="00150959">
        <w:t>Legislative</w:t>
      </w:r>
      <w:r>
        <w:t xml:space="preserve"> </w:t>
      </w:r>
      <w:r w:rsidRPr="00150959">
        <w:t>lobbying</w:t>
      </w:r>
      <w:r>
        <w:t xml:space="preserve"> </w:t>
      </w:r>
      <w:r w:rsidRPr="00150959">
        <w:t>costs</w:t>
      </w:r>
      <w:r>
        <w:t>.</w:t>
      </w:r>
      <w:bookmarkEnd w:id="26"/>
      <w:bookmarkEnd w:id="27"/>
    </w:p>
    <w:p w14:paraId="16188B28" w14:textId="77777777" w:rsidR="002C6132" w:rsidRDefault="002C6132" w:rsidP="00141904">
      <w:pPr>
        <w:pStyle w:val="List1"/>
      </w:pPr>
      <w:r>
        <w:br/>
        <w:t xml:space="preserve">(a)  Costs associated with preparing any material, report, list, or analysis on the actual or </w:t>
      </w:r>
      <w:r>
        <w:lastRenderedPageBreak/>
        <w:t>projected economic or employment impact in a particular State or congressional district of an acquisition program for which all research, development, testing, and evaluation has not been completed also are unallowable (10 U.S.C. 2249).</w:t>
      </w:r>
    </w:p>
    <w:p w14:paraId="469F3AE6" w14:textId="77777777" w:rsidR="002C6132" w:rsidRDefault="002C6132" w:rsidP="008020A7">
      <w:pPr>
        <w:pStyle w:val="Heading4"/>
      </w:pPr>
      <w:r>
        <w:br/>
      </w:r>
      <w:bookmarkStart w:id="28" w:name="_Toc37677367"/>
      <w:bookmarkStart w:id="29" w:name="_Toc37754665"/>
      <w:r w:rsidRPr="00150959">
        <w:t>231</w:t>
      </w:r>
      <w:r w:rsidRPr="00EA5939">
        <w:t>.</w:t>
      </w:r>
      <w:r w:rsidRPr="00150959">
        <w:t>205</w:t>
      </w:r>
      <w:r w:rsidRPr="00EA5939">
        <w:t>-</w:t>
      </w:r>
      <w:r w:rsidRPr="00150959">
        <w:t>70</w:t>
      </w:r>
      <w:r w:rsidRPr="00EA5939">
        <w:t xml:space="preserve">  </w:t>
      </w:r>
      <w:r w:rsidRPr="00150959">
        <w:t>External</w:t>
      </w:r>
      <w:r w:rsidRPr="00EA5939">
        <w:t xml:space="preserve"> </w:t>
      </w:r>
      <w:r w:rsidRPr="00150959">
        <w:t>restructuring</w:t>
      </w:r>
      <w:r w:rsidRPr="00EA5939">
        <w:t xml:space="preserve"> </w:t>
      </w:r>
      <w:r w:rsidRPr="00150959">
        <w:t>costs</w:t>
      </w:r>
      <w:r>
        <w:t>.</w:t>
      </w:r>
      <w:bookmarkEnd w:id="28"/>
      <w:bookmarkEnd w:id="29"/>
    </w:p>
    <w:p w14:paraId="65A35A53" w14:textId="77777777" w:rsidR="002C6132" w:rsidRDefault="002C6132" w:rsidP="00141904">
      <w:pPr>
        <w:pStyle w:val="List1"/>
      </w:pPr>
      <w:r>
        <w:br/>
        <w:t xml:space="preserve">(a)  </w:t>
      </w:r>
      <w:r>
        <w:rPr>
          <w:i/>
        </w:rPr>
        <w:t xml:space="preserve">Scope.  </w:t>
      </w:r>
      <w:r>
        <w:t>This subsection—</w:t>
      </w:r>
    </w:p>
    <w:p w14:paraId="46CD1B03" w14:textId="77777777" w:rsidR="002C6132" w:rsidRDefault="002C6132" w:rsidP="008020A7">
      <w:pPr>
        <w:pStyle w:val="List2"/>
      </w:pPr>
      <w:r>
        <w:br/>
        <w:t>(1)  Prescribes policies and procedures for allowing contractor external restructuring costs when savings would result for DoD; and</w:t>
      </w:r>
    </w:p>
    <w:p w14:paraId="45921B68" w14:textId="77777777" w:rsidR="002C6132" w:rsidRDefault="002C6132" w:rsidP="008020A7">
      <w:pPr>
        <w:pStyle w:val="List2"/>
      </w:pPr>
      <w:r>
        <w:br/>
        <w:t>(2)  Implements 10 U.S.C. 2325.</w:t>
      </w:r>
    </w:p>
    <w:p w14:paraId="11322C0B" w14:textId="77777777" w:rsidR="002C6132" w:rsidRDefault="002C6132" w:rsidP="00141904">
      <w:pPr>
        <w:pStyle w:val="List1"/>
      </w:pPr>
      <w:r>
        <w:br/>
        <w:t xml:space="preserve">(b)  </w:t>
      </w:r>
      <w:r>
        <w:rPr>
          <w:i/>
        </w:rPr>
        <w:t xml:space="preserve">Definitions.  </w:t>
      </w:r>
      <w:r>
        <w:t>As used in this subsection:</w:t>
      </w:r>
    </w:p>
    <w:p w14:paraId="4CD04B82" w14:textId="77777777" w:rsidR="002C6132" w:rsidRDefault="002C6132" w:rsidP="008020A7">
      <w:pPr>
        <w:pStyle w:val="List2"/>
      </w:pPr>
      <w:r>
        <w:br/>
        <w:t>(1)  “Business combination” means a transaction whereby assets or operations of two or more companies not previously under common ownership or control are combined, whether by merger, acquisition, or sale/purchase of assets.</w:t>
      </w:r>
    </w:p>
    <w:p w14:paraId="6DED85D4" w14:textId="77777777" w:rsidR="002C6132" w:rsidRDefault="002C6132" w:rsidP="008020A7">
      <w:pPr>
        <w:pStyle w:val="List2"/>
      </w:pPr>
      <w:r>
        <w:b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14:paraId="4C33FA6B" w14:textId="77777777" w:rsidR="002C6132" w:rsidRDefault="002C6132" w:rsidP="008020A7">
      <w:pPr>
        <w:pStyle w:val="List2"/>
      </w:pPr>
      <w:r>
        <w:b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14:paraId="011AC400" w14:textId="77777777" w:rsidR="002C6132" w:rsidRDefault="002C6132" w:rsidP="008020A7">
      <w:pPr>
        <w:pStyle w:val="List2"/>
      </w:pPr>
      <w:r>
        <w:br/>
        <w:t xml:space="preserve">(4)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w:t>
      </w:r>
      <w:r>
        <w:lastRenderedPageBreak/>
        <w:t>subsection; instead, the normal rules for determining cost allowability in accordance with FAR Part 31 shall apply.</w:t>
      </w:r>
    </w:p>
    <w:p w14:paraId="7ADDE167" w14:textId="77777777" w:rsidR="002C6132" w:rsidRDefault="002C6132" w:rsidP="008020A7">
      <w:pPr>
        <w:pStyle w:val="List2"/>
      </w:pPr>
      <w:r>
        <w:br/>
        <w:t>(5)  “Restructuring savings” means cost reductions, including both direct and indirect cost reductions, that result from restructuring activities.  Reassignments of cost to future periods are not restructuring savings.</w:t>
      </w:r>
    </w:p>
    <w:p w14:paraId="2D1D2F78" w14:textId="77777777" w:rsidR="002C6132" w:rsidRDefault="002C6132" w:rsidP="00141904">
      <w:pPr>
        <w:pStyle w:val="List1"/>
      </w:pPr>
      <w:r>
        <w:br/>
        <w:t xml:space="preserve">(c)  </w:t>
      </w:r>
      <w:r>
        <w:rPr>
          <w:i/>
        </w:rPr>
        <w:t>Limitations on cost allowability.</w:t>
      </w:r>
      <w:r>
        <w:t xml:space="preserve">  Restructuring costs associated with external restructuring activities shall not be allowed unless—</w:t>
      </w:r>
    </w:p>
    <w:p w14:paraId="53B2E822" w14:textId="77777777" w:rsidR="002C6132" w:rsidRDefault="002C6132" w:rsidP="008020A7">
      <w:pPr>
        <w:pStyle w:val="List2"/>
      </w:pPr>
      <w:r>
        <w:br/>
        <w:t>(1)  Such costs are allowable in accordance with FAR Part 31 and DFARS Part 231;</w:t>
      </w:r>
    </w:p>
    <w:p w14:paraId="11803C84" w14:textId="77777777" w:rsidR="002C6132" w:rsidRDefault="002C6132" w:rsidP="008020A7">
      <w:pPr>
        <w:pStyle w:val="List2"/>
      </w:pPr>
      <w:r>
        <w:br/>
        <w:t>(2)  An audit of projected restructuring costs and restructuring savings is performed;</w:t>
      </w:r>
    </w:p>
    <w:p w14:paraId="7F9E5776" w14:textId="77777777" w:rsidR="002C6132" w:rsidRDefault="002C6132" w:rsidP="008020A7">
      <w:pPr>
        <w:pStyle w:val="List2"/>
      </w:pPr>
      <w:r>
        <w:br/>
        <w:t>(3)  The cognizant administrative contracting officer (ACO) reviews the audit report and the projected costs and projected savings, and negotiates an advance agreement in accordance with paragraph (d) of this subsection; and</w:t>
      </w:r>
    </w:p>
    <w:p w14:paraId="788E3CF4" w14:textId="77777777" w:rsidR="002C6132" w:rsidRDefault="002C6132" w:rsidP="008020A7">
      <w:pPr>
        <w:pStyle w:val="List2"/>
      </w:pPr>
      <w:r>
        <w:br/>
        <w:t>(4)(i)  The official designated in paragraph (c)(4)(ii) of this subsection determines in writing that the audited projected savings, on a present value basis, for DoD resulting from the restructuring will exceed either</w:t>
      </w:r>
      <w:r>
        <w:sym w:font="Symbol" w:char="F0BE"/>
      </w:r>
    </w:p>
    <w:p w14:paraId="03C55CD9" w14:textId="77777777" w:rsidR="002C6132" w:rsidRDefault="002C6132" w:rsidP="008020A7">
      <w:pPr>
        <w:pStyle w:val="List4"/>
      </w:pPr>
      <w:r>
        <w:br/>
      </w:r>
      <w:r w:rsidRPr="00CF0017">
        <w:t>(</w:t>
      </w:r>
      <w:r>
        <w:t>A</w:t>
      </w:r>
      <w:r w:rsidRPr="00CF0017">
        <w:t>)  The costs allowed by a factor of at least two to one; or</w:t>
      </w:r>
    </w:p>
    <w:p w14:paraId="45879C37" w14:textId="77777777" w:rsidR="002C6132" w:rsidRDefault="002C6132" w:rsidP="008020A7">
      <w:pPr>
        <w:pStyle w:val="List4"/>
      </w:pPr>
      <w:r>
        <w:br/>
      </w:r>
      <w:r w:rsidRPr="00CF0017">
        <w:t>(</w:t>
      </w:r>
      <w:r>
        <w:t>B</w:t>
      </w:r>
      <w:r w:rsidRPr="00CF0017">
        <w:t>)</w:t>
      </w:r>
      <w:r>
        <w:t xml:space="preserve">  The costs allowed, and the business combination will result in the preservation of a critical capability that might otherwise be lost to DoD.</w:t>
      </w:r>
    </w:p>
    <w:p w14:paraId="7E80CA56" w14:textId="77777777" w:rsidR="002C6132" w:rsidRDefault="002C6132" w:rsidP="008020A7">
      <w:pPr>
        <w:pStyle w:val="List3"/>
      </w:pPr>
      <w:r>
        <w:b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14:paraId="2DDF35B6" w14:textId="77777777" w:rsidR="002C6132" w:rsidRDefault="002C6132" w:rsidP="008020A7">
      <w:pPr>
        <w:pStyle w:val="List4"/>
      </w:pPr>
      <w:r>
        <w:br/>
        <w:t>(B)  For all other cases, the designated official is the Director of the Defense Contract Management Agency.  The Director may not delegate this authority.</w:t>
      </w:r>
    </w:p>
    <w:bookmarkEnd w:id="13"/>
    <w:p w14:paraId="671C5351" w14:textId="77777777" w:rsidR="002C6132" w:rsidRDefault="002C6132" w:rsidP="00141904">
      <w:pPr>
        <w:pStyle w:val="List1"/>
      </w:pPr>
      <w:r>
        <w:br/>
        <w:t xml:space="preserve">(d)  </w:t>
      </w:r>
      <w:r>
        <w:rPr>
          <w:i/>
        </w:rPr>
        <w:t xml:space="preserve">Procedures and ACO responsibilities.  </w:t>
      </w:r>
      <w:r>
        <w:t xml:space="preserve">As soon as it is known that the contractor will incur restructuring costs for external restructuring activities, the cognizant ACO shall follow the procedures at </w:t>
      </w:r>
      <w:hyperlink r:id="rId19" w:anchor="231.205-70" w:history="1">
        <w:r w:rsidRPr="00D23055">
          <w:rPr>
            <w:rStyle w:val="Hyperlink"/>
          </w:rPr>
          <w:t>PGI 231.205-70</w:t>
        </w:r>
      </w:hyperlink>
      <w:r>
        <w:t>(d).</w:t>
      </w:r>
    </w:p>
    <w:p w14:paraId="44B54037" w14:textId="77777777" w:rsidR="002C6132" w:rsidRDefault="002C6132" w:rsidP="00141904">
      <w:pPr>
        <w:pStyle w:val="List1"/>
      </w:pPr>
      <w:r>
        <w:br/>
        <w:t xml:space="preserve">(e)  </w:t>
      </w:r>
      <w:r>
        <w:rPr>
          <w:i/>
        </w:rPr>
        <w:t>Information needed to obtain a determination.</w:t>
      </w:r>
    </w:p>
    <w:p w14:paraId="786D4622" w14:textId="77777777" w:rsidR="002C6132" w:rsidRDefault="002C6132" w:rsidP="008020A7">
      <w:pPr>
        <w:pStyle w:val="List2"/>
      </w:pPr>
      <w:r>
        <w:rPr>
          <w:i/>
        </w:rPr>
        <w:br/>
      </w:r>
      <w:r>
        <w:t>(1)  The novation agreement (if one is required).</w:t>
      </w:r>
    </w:p>
    <w:p w14:paraId="1328837C" w14:textId="77777777" w:rsidR="002C6132" w:rsidRDefault="002C6132" w:rsidP="008020A7">
      <w:pPr>
        <w:pStyle w:val="List2"/>
      </w:pPr>
      <w:r>
        <w:br/>
        <w:t>(2)  The contractor’s restructuring proposal.</w:t>
      </w:r>
    </w:p>
    <w:p w14:paraId="1448ECB7" w14:textId="77777777" w:rsidR="002C6132" w:rsidRDefault="002C6132" w:rsidP="008020A7">
      <w:pPr>
        <w:pStyle w:val="List2"/>
      </w:pPr>
      <w:r>
        <w:br/>
        <w:t>(3)  The proposed advance agreement.</w:t>
      </w:r>
    </w:p>
    <w:p w14:paraId="4CADD297" w14:textId="77777777" w:rsidR="002C6132" w:rsidRDefault="002C6132" w:rsidP="008020A7">
      <w:pPr>
        <w:pStyle w:val="List2"/>
      </w:pPr>
      <w:r>
        <w:lastRenderedPageBreak/>
        <w:br/>
        <w:t>(4)  The audit report.</w:t>
      </w:r>
    </w:p>
    <w:p w14:paraId="4374C7D7" w14:textId="77777777" w:rsidR="002C6132" w:rsidRDefault="002C6132" w:rsidP="008020A7">
      <w:pPr>
        <w:pStyle w:val="List2"/>
      </w:pPr>
      <w:r>
        <w:br/>
        <w:t>(5)  Any other pertinent information.</w:t>
      </w:r>
    </w:p>
    <w:p w14:paraId="72236CE7" w14:textId="77777777" w:rsidR="002C6132" w:rsidRDefault="002C6132" w:rsidP="008020A7">
      <w:pPr>
        <w:pStyle w:val="List2"/>
      </w:pPr>
      <w:r>
        <w:br/>
        <w:t>(6)  The cognizant ACO’s recommendation for a determination.  This recommendation must clearly indicate one of the following, consistent with paragraph (c)(4)(i) of this subsection:</w:t>
      </w:r>
    </w:p>
    <w:p w14:paraId="5415C60A" w14:textId="77777777" w:rsidR="002C6132" w:rsidRDefault="002C6132" w:rsidP="008020A7">
      <w:pPr>
        <w:pStyle w:val="List3"/>
      </w:pPr>
      <w:r>
        <w:br/>
        <w:t>(i)  The audited projected savings for DoD will exceed the costs allowed by a factor of at least two to one on a present value basis.</w:t>
      </w:r>
    </w:p>
    <w:p w14:paraId="625B4BAB" w14:textId="77777777" w:rsidR="002C6132" w:rsidRDefault="002C6132" w:rsidP="008020A7">
      <w:pPr>
        <w:pStyle w:val="List3"/>
      </w:pPr>
      <w:r>
        <w:br/>
        <w:t>(ii)  The business combination will result in the preservation of a critical capability that might otherwise be lost to DoD, and the audited projected savings for DoD will exceed the costs allowed on a present value basis.</w:t>
      </w:r>
    </w:p>
    <w:p w14:paraId="6372B763" w14:textId="77777777" w:rsidR="002C6132" w:rsidRDefault="002C6132" w:rsidP="00141904">
      <w:pPr>
        <w:pStyle w:val="List1"/>
      </w:pPr>
      <w:r>
        <w:br/>
        <w:t xml:space="preserve">(f)  </w:t>
      </w:r>
      <w:r>
        <w:rPr>
          <w:i/>
        </w:rPr>
        <w:t>Contracting officer responsibilities.</w:t>
      </w:r>
      <w:r>
        <w:t xml:space="preserve"> </w:t>
      </w:r>
    </w:p>
    <w:p w14:paraId="42F229C1" w14:textId="77777777" w:rsidR="002C6132" w:rsidRDefault="002C6132" w:rsidP="008020A7">
      <w:pPr>
        <w:pStyle w:val="List2"/>
      </w:pPr>
      <w:r>
        <w:br/>
        <w:t>(1)  The contracting officer, in consultation with the cognizant ACO, should consider including a repricing clause in noncompetitive fixed-price contracts that are negotiated during the period between</w:t>
      </w:r>
      <w:r>
        <w:sym w:font="Symbol" w:char="F0BE"/>
      </w:r>
    </w:p>
    <w:p w14:paraId="5F38B451" w14:textId="77777777" w:rsidR="002C6132" w:rsidRDefault="002C6132" w:rsidP="008020A7">
      <w:pPr>
        <w:pStyle w:val="List3"/>
      </w:pPr>
      <w:r>
        <w:br/>
        <w:t>(i)  The time a business combination is announced; and</w:t>
      </w:r>
    </w:p>
    <w:p w14:paraId="1D6A7426" w14:textId="77777777" w:rsidR="002C6132" w:rsidRDefault="002C6132" w:rsidP="008020A7">
      <w:pPr>
        <w:pStyle w:val="List3"/>
      </w:pPr>
      <w:r>
        <w:br/>
        <w:t>(ii)  The time the contractor’s forward pricing rates are adjusted to reflect the impact of restructuring.</w:t>
      </w:r>
    </w:p>
    <w:p w14:paraId="17F69ECA" w14:textId="77777777" w:rsidR="002C6132" w:rsidRDefault="002C6132" w:rsidP="008020A7">
      <w:pPr>
        <w:pStyle w:val="List2"/>
      </w:pPr>
      <w:r>
        <w:br/>
        <w:t>(2)  The decision to use a repricing clause will depend upon the particular circumstances involved, including</w:t>
      </w:r>
      <w:r>
        <w:sym w:font="Symbol" w:char="F0BE"/>
      </w:r>
    </w:p>
    <w:p w14:paraId="6B365BB6" w14:textId="77777777" w:rsidR="002C6132" w:rsidRDefault="002C6132" w:rsidP="008020A7">
      <w:pPr>
        <w:pStyle w:val="List3"/>
      </w:pPr>
      <w:r>
        <w:br/>
        <w:t>(i)  When the restructuring will take place;</w:t>
      </w:r>
    </w:p>
    <w:p w14:paraId="1F693507" w14:textId="77777777" w:rsidR="002C6132" w:rsidRDefault="002C6132" w:rsidP="008020A7">
      <w:pPr>
        <w:pStyle w:val="List3"/>
      </w:pPr>
      <w:r>
        <w:br/>
        <w:t>(ii)  When restructuring savings will begin to be realized;</w:t>
      </w:r>
    </w:p>
    <w:p w14:paraId="22241434" w14:textId="77777777" w:rsidR="002C6132" w:rsidRDefault="002C6132" w:rsidP="008020A7">
      <w:pPr>
        <w:pStyle w:val="List3"/>
      </w:pPr>
      <w:r>
        <w:br/>
        <w:t>(iii)  The contract performance period;</w:t>
      </w:r>
    </w:p>
    <w:p w14:paraId="5D27CD61" w14:textId="77777777" w:rsidR="002C6132" w:rsidRDefault="002C6132" w:rsidP="008020A7">
      <w:pPr>
        <w:pStyle w:val="List3"/>
      </w:pPr>
      <w:r>
        <w:br/>
        <w:t>(iv)  Whether the contracting parties are able to make a reasonable estimate of the impact of restructuring on the contract; and</w:t>
      </w:r>
    </w:p>
    <w:p w14:paraId="5AFEEECF" w14:textId="77777777" w:rsidR="002C6132" w:rsidRDefault="002C6132" w:rsidP="008020A7">
      <w:pPr>
        <w:pStyle w:val="List3"/>
      </w:pPr>
      <w:r>
        <w:br/>
        <w:t>(v)  The size of the potential dollar impact of restructuring on the contract.</w:t>
      </w:r>
    </w:p>
    <w:p w14:paraId="011C5C9C" w14:textId="77777777" w:rsidR="002C6132" w:rsidRDefault="002C6132" w:rsidP="008020A7">
      <w:pPr>
        <w:pStyle w:val="List2"/>
      </w:pPr>
      <w:r>
        <w:br/>
        <w:t>(3)  If the contracting officer decides to use a repricing clause, the clause must provide for a downward-only price adjustment to ensure that DoD receives its appropriate share of restructuring net savings.</w:t>
      </w:r>
    </w:p>
    <w:p w14:paraId="3819853E" w14:textId="77777777" w:rsidR="002C6132" w:rsidRDefault="002C6132" w:rsidP="008020A7">
      <w:pPr>
        <w:pStyle w:val="Heading4"/>
      </w:pPr>
      <w:r>
        <w:lastRenderedPageBreak/>
        <w:br/>
      </w:r>
      <w:bookmarkStart w:id="30" w:name="_Toc37677368"/>
      <w:bookmarkStart w:id="31" w:name="_Toc37754666"/>
      <w:r w:rsidRPr="00150959">
        <w:t>231</w:t>
      </w:r>
      <w:r w:rsidRPr="00EA5939">
        <w:t>.</w:t>
      </w:r>
      <w:r w:rsidRPr="00150959">
        <w:t>205</w:t>
      </w:r>
      <w:r w:rsidRPr="00EA5939">
        <w:t>-</w:t>
      </w:r>
      <w:r w:rsidRPr="00150959">
        <w:t>71</w:t>
      </w:r>
      <w:r w:rsidRPr="00EA5939">
        <w:t xml:space="preserve">  </w:t>
      </w:r>
      <w:r w:rsidRPr="00150959">
        <w:t>Costs</w:t>
      </w:r>
      <w:r w:rsidRPr="00EA5939">
        <w:t xml:space="preserve"> </w:t>
      </w:r>
      <w:r w:rsidRPr="00150959">
        <w:t>related</w:t>
      </w:r>
      <w:r w:rsidRPr="00EA5939">
        <w:t xml:space="preserve"> </w:t>
      </w:r>
      <w:r w:rsidRPr="00150959">
        <w:t>to</w:t>
      </w:r>
      <w:r w:rsidRPr="00EA5939">
        <w:t xml:space="preserve"> </w:t>
      </w:r>
      <w:r w:rsidRPr="00150959">
        <w:t>counterfeit</w:t>
      </w:r>
      <w:r w:rsidRPr="00EA5939">
        <w:t xml:space="preserve"> </w:t>
      </w:r>
      <w:r w:rsidRPr="00150959">
        <w:t>electronic</w:t>
      </w:r>
      <w:r w:rsidRPr="00EA5939">
        <w:t xml:space="preserve"> </w:t>
      </w:r>
      <w:r w:rsidRPr="00150959">
        <w:t>parts</w:t>
      </w:r>
      <w:r w:rsidRPr="00EA5939">
        <w:t xml:space="preserve"> </w:t>
      </w:r>
      <w:r w:rsidRPr="00150959">
        <w:t>and</w:t>
      </w:r>
      <w:r w:rsidRPr="00EA5939">
        <w:t xml:space="preserve"> </w:t>
      </w:r>
      <w:r w:rsidRPr="00150959">
        <w:t>suspect</w:t>
      </w:r>
      <w:r w:rsidRPr="00EA5939">
        <w:t xml:space="preserve"> </w:t>
      </w:r>
      <w:r w:rsidRPr="00150959">
        <w:t>counterfeit</w:t>
      </w:r>
      <w:r w:rsidRPr="00EA5939">
        <w:t xml:space="preserve"> </w:t>
      </w:r>
      <w:r w:rsidRPr="00150959">
        <w:t>electronic</w:t>
      </w:r>
      <w:r w:rsidRPr="00EA5939">
        <w:t xml:space="preserve"> </w:t>
      </w:r>
      <w:r w:rsidRPr="00150959">
        <w:t>parts</w:t>
      </w:r>
      <w:r w:rsidRPr="00A600D2">
        <w:t>.</w:t>
      </w:r>
      <w:bookmarkEnd w:id="30"/>
      <w:bookmarkEnd w:id="31"/>
    </w:p>
    <w:p w14:paraId="46197AAF" w14:textId="77777777" w:rsidR="002C6132" w:rsidRDefault="002C6132" w:rsidP="00141904">
      <w:pPr>
        <w:pStyle w:val="List1"/>
      </w:pPr>
      <w:r>
        <w:br/>
      </w:r>
      <w:r w:rsidRPr="00BE74A8">
        <w:rPr>
          <w:szCs w:val="24"/>
        </w:rPr>
        <w:t xml:space="preserve">(a)  </w:t>
      </w:r>
      <w:r w:rsidRPr="00BE74A8">
        <w:rPr>
          <w:i/>
          <w:szCs w:val="24"/>
        </w:rPr>
        <w:t>Scope</w:t>
      </w:r>
      <w:r w:rsidRPr="00BE74A8">
        <w:rPr>
          <w:szCs w:val="24"/>
        </w:rPr>
        <w:t>.  This section implements the requirements of section 818(c)(2),</w:t>
      </w:r>
    </w:p>
    <w:p w14:paraId="5A8464BD" w14:textId="77777777" w:rsidR="002C6132" w:rsidRPr="008020A7" w:rsidRDefault="002C6132" w:rsidP="008020A7">
      <w:r w:rsidRPr="008020A7">
        <w:rPr>
          <w:szCs w:val="24"/>
        </w:rPr>
        <w:t>National Defense Authorization Act for Fiscal Year 2012 (Pub. L. 112-81), as modified by section 833, National Defense Authorization Act for Fiscal Year 2013 (Pub. L. 112-239), and section 885 of the National Defense Authorization Act for Fiscal Year 2016 (Pub. L. 114-92).</w:t>
      </w:r>
    </w:p>
    <w:p w14:paraId="24198658" w14:textId="77777777" w:rsidR="002C6132" w:rsidRDefault="002C6132" w:rsidP="00141904">
      <w:pPr>
        <w:pStyle w:val="List1"/>
      </w:pPr>
      <w:r>
        <w:rPr>
          <w:szCs w:val="24"/>
        </w:rPr>
        <w:br/>
      </w:r>
      <w:r w:rsidRPr="00A600D2">
        <w:t xml:space="preserve">(b)  The costs of counterfeit electronic parts </w:t>
      </w:r>
      <w:r>
        <w:t>and</w:t>
      </w:r>
      <w:r w:rsidRPr="00A600D2">
        <w:t xml:space="preserve"> suspect counterfeit electronic parts and the cost</w:t>
      </w:r>
      <w:r>
        <w:t>s</w:t>
      </w:r>
      <w:r w:rsidRPr="00A600D2">
        <w:t xml:space="preserve"> of rework or corrective action that may be required to remedy the use or</w:t>
      </w:r>
      <w:r>
        <w:t xml:space="preserve"> </w:t>
      </w:r>
      <w:r w:rsidRPr="00A600D2">
        <w:t>inclusion of such parts are unallowable, unless—</w:t>
      </w:r>
    </w:p>
    <w:p w14:paraId="0243B617" w14:textId="77777777" w:rsidR="002C6132" w:rsidRDefault="002C6132" w:rsidP="008020A7">
      <w:pPr>
        <w:pStyle w:val="List2"/>
      </w:pPr>
      <w:r>
        <w:br/>
      </w:r>
      <w:r w:rsidRPr="00A600D2">
        <w:t>(1)  The contractor has an operational system to detect and avoid counterfeit</w:t>
      </w:r>
      <w:r>
        <w:t xml:space="preserve"> electronic </w:t>
      </w:r>
      <w:r w:rsidRPr="00A600D2">
        <w:t>parts and suspect counterfeit electronic parts that has been reviewed and</w:t>
      </w:r>
      <w:r>
        <w:t xml:space="preserve"> </w:t>
      </w:r>
      <w:r w:rsidRPr="00A600D2">
        <w:t xml:space="preserve">approved by DoD pursuant to </w:t>
      </w:r>
      <w:hyperlink r:id="rId20" w:anchor="244.303" w:history="1">
        <w:r w:rsidRPr="00792E2E">
          <w:rPr>
            <w:rStyle w:val="Hyperlink"/>
          </w:rPr>
          <w:t>244.303</w:t>
        </w:r>
      </w:hyperlink>
      <w:r w:rsidRPr="00A600D2">
        <w:t>;</w:t>
      </w:r>
    </w:p>
    <w:p w14:paraId="7AAD34D8" w14:textId="77777777" w:rsidR="002C6132" w:rsidRDefault="002C6132" w:rsidP="008020A7">
      <w:pPr>
        <w:pStyle w:val="List2"/>
      </w:pPr>
      <w:r>
        <w:br/>
      </w:r>
      <w:r w:rsidRPr="00A600D2">
        <w:t>(2)  The counterfeit electronic parts or suspect counterfeit electronic parts are</w:t>
      </w:r>
      <w:r>
        <w:t xml:space="preserve"> </w:t>
      </w:r>
      <w:r w:rsidRPr="00A600D2">
        <w:t xml:space="preserve">Government-furnished property as defined in </w:t>
      </w:r>
      <w:r w:rsidRPr="00BE74A8">
        <w:t>FAR 45.101</w:t>
      </w:r>
      <w:r w:rsidRPr="00BE74A8">
        <w:rPr>
          <w:szCs w:val="24"/>
        </w:rPr>
        <w:t xml:space="preserve"> or were obtained by the</w:t>
      </w:r>
      <w:r>
        <w:rPr>
          <w:szCs w:val="24"/>
        </w:rPr>
        <w:t xml:space="preserve"> </w:t>
      </w:r>
      <w:r w:rsidRPr="00BE74A8">
        <w:rPr>
          <w:szCs w:val="24"/>
        </w:rPr>
        <w:t xml:space="preserve">contractor in accordance with the clause at </w:t>
      </w:r>
      <w:hyperlink r:id="rId21" w:anchor="252.246-7008" w:history="1">
        <w:r w:rsidRPr="00792E2E">
          <w:rPr>
            <w:rStyle w:val="Hyperlink"/>
            <w:szCs w:val="24"/>
          </w:rPr>
          <w:t>252.246-7008</w:t>
        </w:r>
      </w:hyperlink>
      <w:r w:rsidRPr="00BE74A8">
        <w:rPr>
          <w:szCs w:val="24"/>
        </w:rPr>
        <w:t>, Sources of Electronic Parts</w:t>
      </w:r>
      <w:r w:rsidRPr="00BE74A8">
        <w:t>;</w:t>
      </w:r>
      <w:r>
        <w:t xml:space="preserve"> </w:t>
      </w:r>
      <w:r w:rsidRPr="00BE74A8">
        <w:t>and</w:t>
      </w:r>
    </w:p>
    <w:p w14:paraId="61D12DEB" w14:textId="77777777" w:rsidR="002C6132" w:rsidRDefault="002C6132" w:rsidP="008020A7">
      <w:pPr>
        <w:pStyle w:val="List2"/>
      </w:pPr>
      <w:r>
        <w:br/>
        <w:t>(</w:t>
      </w:r>
      <w:r w:rsidRPr="00BE74A8">
        <w:rPr>
          <w:szCs w:val="24"/>
        </w:rPr>
        <w:t>3)  The contractor—</w:t>
      </w:r>
    </w:p>
    <w:p w14:paraId="30DB6D0F" w14:textId="77777777" w:rsidR="002C6132" w:rsidRDefault="002C6132" w:rsidP="008020A7">
      <w:pPr>
        <w:pStyle w:val="List3"/>
      </w:pPr>
      <w:r>
        <w:rPr>
          <w:szCs w:val="24"/>
        </w:rPr>
        <w:br/>
      </w:r>
      <w:r w:rsidRPr="00BE74A8">
        <w:rPr>
          <w:szCs w:val="24"/>
        </w:rP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14:paraId="6CF3A65F" w14:textId="77777777" w:rsidR="002C6132" w:rsidRDefault="002C6132" w:rsidP="008020A7">
      <w:pPr>
        <w:pStyle w:val="List3"/>
      </w:pPr>
      <w:r>
        <w:rPr>
          <w:szCs w:val="24"/>
        </w:rPr>
        <w:br/>
      </w:r>
      <w:r w:rsidRPr="00BE74A8">
        <w:rPr>
          <w:szCs w:val="24"/>
        </w:rPr>
        <w:t>(ii)  Provides timely (i.e., within 60 days after the contractor becomes aware) written notice to—</w:t>
      </w:r>
    </w:p>
    <w:p w14:paraId="5A42871E" w14:textId="77777777" w:rsidR="002C6132" w:rsidRDefault="002C6132" w:rsidP="008020A7">
      <w:pPr>
        <w:pStyle w:val="List4"/>
      </w:pPr>
      <w:r>
        <w:rPr>
          <w:szCs w:val="24"/>
          <w:u w:val="single"/>
        </w:rPr>
        <w:br/>
      </w:r>
      <w:r w:rsidRPr="00BE74A8">
        <w:rPr>
          <w:szCs w:val="24"/>
        </w:rPr>
        <w:t>(A)  The cognizant contracting officer(s); and</w:t>
      </w:r>
    </w:p>
    <w:p w14:paraId="4546666F" w14:textId="77777777" w:rsidR="002C6132" w:rsidRDefault="002C6132" w:rsidP="008020A7">
      <w:pPr>
        <w:pStyle w:val="List4"/>
      </w:pPr>
      <w:r>
        <w:rPr>
          <w:szCs w:val="24"/>
        </w:rPr>
        <w:br/>
      </w:r>
      <w:r w:rsidRPr="00BE74A8">
        <w:rPr>
          <w:szCs w:val="24"/>
        </w:rP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w:p w14:paraId="38D496AD" w14:textId="77777777" w:rsidR="002C6132" w:rsidRPr="008020A7" w:rsidRDefault="002C6132" w:rsidP="008020A7">
      <w:r w:rsidRPr="008020A7">
        <w:rPr>
          <w:szCs w:val="24"/>
        </w:rPr>
        <w:br/>
      </w:r>
    </w:p>
    <w:p w14:paraId="4EA54955" w14:textId="77777777" w:rsidR="002C6132" w:rsidRDefault="002C6132">
      <w:pPr>
        <w:sectPr w:rsidR="002C6132" w:rsidSect="006C735D">
          <w:headerReference w:type="even" r:id="rId22"/>
          <w:headerReference w:type="default" r:id="rId23"/>
          <w:footerReference w:type="even" r:id="rId24"/>
          <w:footerReference w:type="default" r:id="rId25"/>
          <w:pgSz w:w="12240" w:h="15840"/>
          <w:pgMar w:top="1440" w:right="1440" w:bottom="1440" w:left="1440" w:header="720" w:footer="720" w:gutter="0"/>
          <w:cols w:space="720"/>
          <w:docGrid w:linePitch="360"/>
        </w:sectPr>
      </w:pPr>
    </w:p>
    <w:p w14:paraId="35FB1D98" w14:textId="77777777" w:rsidR="002C6132" w:rsidRPr="009314D5" w:rsidRDefault="002C6132" w:rsidP="009314D5">
      <w:pPr>
        <w:pStyle w:val="Heading2"/>
      </w:pPr>
      <w:bookmarkStart w:id="32" w:name="_Toc37345830"/>
      <w:bookmarkStart w:id="33" w:name="_Toc37677369"/>
      <w:bookmarkStart w:id="34" w:name="_Toc37754667"/>
      <w:r w:rsidRPr="009314D5">
        <w:rPr>
          <w:caps/>
        </w:rPr>
        <w:lastRenderedPageBreak/>
        <w:t>SUBPART 231.3--CONTRACTS WITH EDUCATIONAL INSTITUTIONS</w:t>
      </w:r>
      <w:bookmarkEnd w:id="32"/>
      <w:bookmarkEnd w:id="33"/>
      <w:bookmarkEnd w:id="34"/>
      <w:r w:rsidRPr="009314D5">
        <w:rPr>
          <w:caps/>
        </w:rPr>
        <w:t xml:space="preserve"> </w:t>
      </w:r>
    </w:p>
    <w:p w14:paraId="7DAB1047" w14:textId="77777777" w:rsidR="002C6132" w:rsidRDefault="002C6132" w:rsidP="00C853EF">
      <w:pPr>
        <w:pStyle w:val="Heading3"/>
      </w:pPr>
      <w:r>
        <w:rPr>
          <w:b w:val="0"/>
        </w:rPr>
        <w:br/>
      </w:r>
      <w:bookmarkStart w:id="35" w:name="_Toc37345831"/>
      <w:bookmarkStart w:id="36" w:name="_Toc37677370"/>
      <w:bookmarkStart w:id="37" w:name="_Toc37754668"/>
      <w:r w:rsidRPr="00463A60">
        <w:t>231</w:t>
      </w:r>
      <w:r>
        <w:t>.</w:t>
      </w:r>
      <w:r w:rsidRPr="00463A60">
        <w:t>303</w:t>
      </w:r>
      <w:r>
        <w:t xml:space="preserve">  </w:t>
      </w:r>
      <w:r w:rsidRPr="00463A60">
        <w:t>Requirements</w:t>
      </w:r>
      <w:r>
        <w:t>.</w:t>
      </w:r>
      <w:bookmarkEnd w:id="35"/>
      <w:bookmarkEnd w:id="36"/>
      <w:bookmarkEnd w:id="37"/>
    </w:p>
    <w:p w14:paraId="269C7F9C" w14:textId="77777777" w:rsidR="002C6132" w:rsidRDefault="002C6132" w:rsidP="00C853EF">
      <w:pPr>
        <w:pStyle w:val="List2"/>
      </w:pPr>
      <w:r>
        <w:rPr>
          <w:b/>
        </w:rPr>
        <w:br/>
      </w:r>
      <w:r>
        <w:t xml:space="preserve">(1)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w:t>
      </w:r>
      <w:r>
        <w:br/>
        <w:t>November 30, 1993, to institutions of higher education because the same limitation is not applied to other organizations performing similar work.</w:t>
      </w:r>
    </w:p>
    <w:p w14:paraId="5CD85B69" w14:textId="77777777" w:rsidR="002C6132" w:rsidRDefault="002C6132" w:rsidP="00C853EF">
      <w:pPr>
        <w:pStyle w:val="List2"/>
      </w:pPr>
      <w:r>
        <w:br/>
        <w:t>(2)  The cognizant administrative contracting officer may waive the prohibition in 231.303(1) if the governing body of the institution of higher education requests the waiver to simplify the institution’s overall management of DoD cost reimbursements under DoD contracts.</w:t>
      </w:r>
    </w:p>
    <w:p w14:paraId="7337BFE1" w14:textId="77777777" w:rsidR="002C6132" w:rsidRDefault="002C6132" w:rsidP="00C853EF">
      <w:pPr>
        <w:pStyle w:val="List2"/>
      </w:pPr>
      <w:r>
        <w:br/>
        <w:t>(3)  Under 10 U.S.C. 2249, the costs cited in 231.205-22(a) are unallowable.</w:t>
      </w:r>
    </w:p>
    <w:p w14:paraId="3CC91ACB" w14:textId="77777777" w:rsidR="002C6132" w:rsidRPr="00C853EF" w:rsidRDefault="002C6132" w:rsidP="00C853EF">
      <w:r w:rsidRPr="00C853EF">
        <w:br/>
      </w:r>
    </w:p>
    <w:p w14:paraId="0A15A18F" w14:textId="77777777" w:rsidR="002C6132" w:rsidRDefault="002C6132">
      <w:pPr>
        <w:sectPr w:rsidR="002C6132" w:rsidSect="00E8176F">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pPr>
    </w:p>
    <w:p w14:paraId="7AE3AD2F" w14:textId="77777777" w:rsidR="002C6132" w:rsidRPr="00542B0B" w:rsidRDefault="002C6132" w:rsidP="00542B0B">
      <w:pPr>
        <w:pStyle w:val="Heading2"/>
      </w:pPr>
      <w:bookmarkStart w:id="38" w:name="_Toc37345832"/>
      <w:bookmarkStart w:id="39" w:name="_Toc37677371"/>
      <w:bookmarkStart w:id="40" w:name="_Toc37754669"/>
      <w:r w:rsidRPr="00542B0B">
        <w:rPr>
          <w:caps/>
        </w:rPr>
        <w:lastRenderedPageBreak/>
        <w:t>SUBPART 231.6--CONTRACTS WITH STATE, LOCAL, AND FEDERALLY</w:t>
      </w:r>
      <w:bookmarkEnd w:id="38"/>
      <w:bookmarkEnd w:id="39"/>
      <w:bookmarkEnd w:id="40"/>
    </w:p>
    <w:p w14:paraId="0B77D3CC" w14:textId="77777777" w:rsidR="002C6132" w:rsidRPr="00310722" w:rsidRDefault="002C6132" w:rsidP="00310722">
      <w:r w:rsidRPr="00310722">
        <w:t>RECOGNIZED INDIAN TRIBAL GOVERNMENTS</w:t>
      </w:r>
    </w:p>
    <w:p w14:paraId="0F04E5FF" w14:textId="77777777" w:rsidR="002C6132" w:rsidRDefault="002C6132" w:rsidP="00310722">
      <w:pPr>
        <w:pStyle w:val="Heading3"/>
      </w:pPr>
      <w:r>
        <w:rPr>
          <w:b w:val="0"/>
        </w:rPr>
        <w:br/>
      </w:r>
      <w:bookmarkStart w:id="41" w:name="_Toc37345833"/>
      <w:bookmarkStart w:id="42" w:name="_Toc37677372"/>
      <w:bookmarkStart w:id="43" w:name="_Toc37754670"/>
      <w:r w:rsidRPr="009676AD">
        <w:t>231</w:t>
      </w:r>
      <w:r>
        <w:t>.</w:t>
      </w:r>
      <w:r w:rsidRPr="009676AD">
        <w:t>603</w:t>
      </w:r>
      <w:r>
        <w:t xml:space="preserve">  </w:t>
      </w:r>
      <w:r w:rsidRPr="009676AD">
        <w:t>Requirements</w:t>
      </w:r>
      <w:r>
        <w:t>.</w:t>
      </w:r>
      <w:bookmarkEnd w:id="41"/>
      <w:bookmarkEnd w:id="42"/>
      <w:bookmarkEnd w:id="43"/>
    </w:p>
    <w:p w14:paraId="49F8138B" w14:textId="77777777" w:rsidR="002C6132" w:rsidRPr="00310722" w:rsidRDefault="002C6132" w:rsidP="00310722">
      <w:r w:rsidRPr="00310722">
        <w:t>Under 10 U.S.C. 2249, the costs cited in 231.205-22(a) are unallowable.</w:t>
      </w:r>
    </w:p>
    <w:p w14:paraId="4D12A645" w14:textId="77777777" w:rsidR="002C6132" w:rsidRPr="00310722" w:rsidRDefault="002C6132" w:rsidP="00310722">
      <w:r w:rsidRPr="00310722">
        <w:br/>
      </w:r>
    </w:p>
    <w:p w14:paraId="5F8178AF" w14:textId="77777777" w:rsidR="002C6132" w:rsidRDefault="002C6132">
      <w:pPr>
        <w:sectPr w:rsidR="002C6132" w:rsidSect="003C7AD5">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pPr>
    </w:p>
    <w:p w14:paraId="04FFC6B1" w14:textId="77777777" w:rsidR="002C6132" w:rsidRPr="00E31AA2" w:rsidRDefault="002C6132" w:rsidP="00E31AA2">
      <w:pPr>
        <w:pStyle w:val="Heading2"/>
      </w:pPr>
      <w:bookmarkStart w:id="44" w:name="_Toc37345834"/>
      <w:bookmarkStart w:id="45" w:name="_Toc37677373"/>
      <w:bookmarkStart w:id="46" w:name="BM231_7"/>
      <w:bookmarkStart w:id="47" w:name="_Toc37754671"/>
      <w:r w:rsidRPr="00E31AA2">
        <w:rPr>
          <w:caps/>
        </w:rPr>
        <w:lastRenderedPageBreak/>
        <w:t>SUBPART 231.7--CONTRACTS WITH NONPROFIT ORGANIZATIONS</w:t>
      </w:r>
      <w:bookmarkEnd w:id="44"/>
      <w:bookmarkEnd w:id="45"/>
      <w:bookmarkEnd w:id="47"/>
    </w:p>
    <w:p w14:paraId="6376241A" w14:textId="77777777" w:rsidR="002C6132" w:rsidRDefault="002C6132" w:rsidP="005E77B2">
      <w:pPr>
        <w:pStyle w:val="Heading3"/>
      </w:pPr>
      <w:r>
        <w:rPr>
          <w:b w:val="0"/>
        </w:rPr>
        <w:br/>
      </w:r>
      <w:bookmarkStart w:id="48" w:name="_Toc37345835"/>
      <w:bookmarkStart w:id="49" w:name="_Toc37677374"/>
      <w:bookmarkStart w:id="50" w:name="_Toc37754672"/>
      <w:r w:rsidRPr="00AB36E8">
        <w:t>231</w:t>
      </w:r>
      <w:r>
        <w:t>.</w:t>
      </w:r>
      <w:r w:rsidRPr="00AB36E8">
        <w:t>703</w:t>
      </w:r>
      <w:r>
        <w:t xml:space="preserve">  </w:t>
      </w:r>
      <w:r w:rsidRPr="00AB36E8">
        <w:t>Requirements</w:t>
      </w:r>
      <w:r>
        <w:t>.</w:t>
      </w:r>
      <w:bookmarkEnd w:id="48"/>
      <w:bookmarkEnd w:id="49"/>
      <w:bookmarkEnd w:id="50"/>
    </w:p>
    <w:p w14:paraId="4653F54D" w14:textId="77777777" w:rsidR="002C6132" w:rsidRPr="005E77B2" w:rsidRDefault="002C6132" w:rsidP="005E77B2">
      <w:r w:rsidRPr="005E77B2">
        <w:t>Under 10 U.S.C. 2249, the costs cited in 231.205-22(a) are unallowable.</w:t>
      </w:r>
      <w:bookmarkEnd w:id="46"/>
    </w:p>
    <w:p w14:paraId="1DF66E7B" w14:textId="77777777" w:rsidR="002C6132" w:rsidRPr="005E77B2" w:rsidRDefault="002C6132" w:rsidP="005E77B2">
      <w:r w:rsidRPr="005E77B2">
        <w:br/>
      </w:r>
    </w:p>
    <w:p w14:paraId="11F9208E" w14:textId="77777777" w:rsidR="00850595" w:rsidRDefault="00850595"/>
    <w:sectPr w:rsidR="00850595" w:rsidSect="00C209D7">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2FA3" w14:textId="77777777" w:rsidR="009B6296" w:rsidRDefault="009B6296">
      <w:pPr>
        <w:spacing w:after="0" w:line="240" w:lineRule="auto"/>
      </w:pPr>
      <w:r>
        <w:separator/>
      </w:r>
    </w:p>
  </w:endnote>
  <w:endnote w:type="continuationSeparator" w:id="0">
    <w:p w14:paraId="3CF383DF" w14:textId="77777777" w:rsidR="009B6296" w:rsidRDefault="009B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1720" w14:textId="77777777" w:rsidR="004B384A" w:rsidRDefault="009B6296">
    <w:pPr>
      <w:tabs>
        <w:tab w:val="left" w:pos="80"/>
      </w:tabs>
      <w:ind w:right="-720"/>
      <w:rPr>
        <w:rFonts w:ascii="Geneva" w:hAnsi="Geneva"/>
        <w:sz w:val="18"/>
      </w:rPr>
    </w:pPr>
  </w:p>
  <w:p w14:paraId="198A076F" w14:textId="77777777" w:rsidR="004B384A" w:rsidRDefault="009B6296">
    <w:pPr>
      <w:rPr>
        <w:rFonts w:ascii="Geneva" w:hAnsi="Geneva"/>
        <w:sz w:val="18"/>
      </w:rPr>
    </w:pPr>
  </w:p>
  <w:p w14:paraId="5F4BFAE0" w14:textId="77777777" w:rsidR="004B384A" w:rsidRDefault="002C61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00E43D25" w14:textId="77777777" w:rsidR="004B384A" w:rsidRDefault="002C6132">
    <w:pPr>
      <w:tabs>
        <w:tab w:val="right" w:pos="9260"/>
      </w:tabs>
      <w:ind w:right="-80"/>
      <w:rPr>
        <w:rFonts w:ascii="Helvetica" w:hAnsi="Helvetica"/>
        <w:b/>
        <w:sz w:val="20"/>
      </w:rPr>
    </w:pPr>
    <w:r>
      <w:rPr>
        <w:rFonts w:ascii="Helvetica" w:hAnsi="Helvetica"/>
        <w:sz w:val="20"/>
      </w:rPr>
      <w:t>231.1-</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1BF57" w14:textId="77777777" w:rsidR="0000314E" w:rsidRDefault="009B6296">
    <w:pPr>
      <w:pStyle w:val="Footer"/>
      <w:rPr>
        <w:b/>
        <w:sz w:val="20"/>
      </w:rPr>
    </w:pPr>
  </w:p>
  <w:p w14:paraId="48265774" w14:textId="77777777" w:rsidR="0000314E" w:rsidRDefault="009B6296">
    <w:pPr>
      <w:pStyle w:val="Footer"/>
      <w:rPr>
        <w:b/>
        <w:sz w:val="20"/>
      </w:rPr>
    </w:pPr>
  </w:p>
  <w:p w14:paraId="01F5D7BC" w14:textId="77777777" w:rsidR="0000314E" w:rsidRDefault="002C6132">
    <w:pPr>
      <w:pStyle w:val="Footer"/>
      <w:pBdr>
        <w:top w:val="single" w:sz="6" w:space="1" w:color="auto"/>
      </w:pBdr>
      <w:tabs>
        <w:tab w:val="clear" w:pos="8640"/>
        <w:tab w:val="right" w:pos="9260"/>
      </w:tabs>
      <w:rPr>
        <w:sz w:val="20"/>
      </w:rPr>
    </w:pPr>
    <w:r>
      <w:rPr>
        <w:sz w:val="20"/>
      </w:rPr>
      <w:t>1998 EDITION</w:t>
    </w:r>
    <w:r>
      <w:rPr>
        <w:sz w:val="20"/>
      </w:rPr>
      <w:tab/>
    </w:r>
    <w:r>
      <w:rPr>
        <w:sz w:val="20"/>
      </w:rPr>
      <w:tab/>
      <w:t>231.7-</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CE2B" w14:textId="77777777" w:rsidR="004B384A" w:rsidRDefault="009B6296">
    <w:pPr>
      <w:pStyle w:val="Footer"/>
      <w:rPr>
        <w:b/>
        <w:sz w:val="20"/>
      </w:rPr>
    </w:pPr>
  </w:p>
  <w:p w14:paraId="2F7E20F0" w14:textId="77777777" w:rsidR="004B384A" w:rsidRDefault="009B6296">
    <w:pPr>
      <w:pStyle w:val="Footer"/>
      <w:rPr>
        <w:b/>
        <w:sz w:val="20"/>
      </w:rPr>
    </w:pPr>
  </w:p>
  <w:p w14:paraId="14C25E73" w14:textId="77777777" w:rsidR="004B384A" w:rsidRDefault="002C6132">
    <w:pPr>
      <w:pStyle w:val="Footer"/>
      <w:pBdr>
        <w:top w:val="single" w:sz="6" w:space="1" w:color="auto"/>
      </w:pBdr>
      <w:tabs>
        <w:tab w:val="clear" w:pos="8640"/>
        <w:tab w:val="right" w:pos="9260"/>
      </w:tabs>
      <w:rPr>
        <w:sz w:val="20"/>
      </w:rPr>
    </w:pPr>
    <w:r>
      <w:rPr>
        <w:sz w:val="20"/>
      </w:rPr>
      <w:t>1998 EDITION</w:t>
    </w:r>
    <w:r>
      <w:rPr>
        <w:sz w:val="20"/>
      </w:rPr>
      <w:tab/>
    </w:r>
    <w:r>
      <w:rPr>
        <w:sz w:val="20"/>
      </w:rPr>
      <w:tab/>
      <w:t>231.1-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7E2D" w14:textId="77777777" w:rsidR="00EC4532" w:rsidRDefault="009B6296">
    <w:pPr>
      <w:tabs>
        <w:tab w:val="left" w:pos="80"/>
      </w:tabs>
      <w:rPr>
        <w:b/>
        <w:sz w:val="20"/>
      </w:rPr>
    </w:pPr>
  </w:p>
  <w:p w14:paraId="6D9A6E85" w14:textId="77777777" w:rsidR="00EC4532" w:rsidRDefault="009B6296">
    <w:pPr>
      <w:rPr>
        <w:b/>
        <w:sz w:val="20"/>
      </w:rPr>
    </w:pPr>
  </w:p>
  <w:p w14:paraId="588ECCEA" w14:textId="77777777" w:rsidR="00EC4532" w:rsidRDefault="002C6132">
    <w:pPr>
      <w:pBdr>
        <w:top w:val="single" w:sz="6" w:space="1" w:color="auto"/>
      </w:pBdr>
      <w:tabs>
        <w:tab w:val="right" w:pos="9260"/>
      </w:tabs>
      <w:rPr>
        <w:sz w:val="20"/>
      </w:rPr>
    </w:pPr>
    <w:r>
      <w:rPr>
        <w:sz w:val="20"/>
      </w:rPr>
      <w:t>231.2-</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2DEBE" w14:textId="77777777" w:rsidR="00EC4532" w:rsidRDefault="009B6296">
    <w:pPr>
      <w:pStyle w:val="Footer"/>
      <w:rPr>
        <w:b/>
        <w:sz w:val="20"/>
      </w:rPr>
    </w:pPr>
  </w:p>
  <w:p w14:paraId="3A37EA7A" w14:textId="77777777" w:rsidR="00EC4532" w:rsidRDefault="009B6296">
    <w:pPr>
      <w:pStyle w:val="Footer"/>
      <w:rPr>
        <w:b/>
        <w:sz w:val="20"/>
      </w:rPr>
    </w:pPr>
  </w:p>
  <w:p w14:paraId="0E2B20CA" w14:textId="77777777" w:rsidR="00EC4532" w:rsidRDefault="002C6132">
    <w:pPr>
      <w:pStyle w:val="Footer"/>
      <w:pBdr>
        <w:top w:val="single" w:sz="6" w:space="1" w:color="auto"/>
      </w:pBdr>
      <w:tabs>
        <w:tab w:val="clear" w:pos="8640"/>
        <w:tab w:val="right" w:pos="9260"/>
      </w:tabs>
      <w:rPr>
        <w:sz w:val="20"/>
      </w:rPr>
    </w:pPr>
    <w:r>
      <w:rPr>
        <w:sz w:val="20"/>
      </w:rPr>
      <w:t>1998 EDITION</w:t>
    </w:r>
    <w:r>
      <w:rPr>
        <w:sz w:val="20"/>
      </w:rPr>
      <w:tab/>
    </w:r>
    <w:r>
      <w:rPr>
        <w:sz w:val="20"/>
      </w:rPr>
      <w:tab/>
      <w:t>231.2-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03180" w14:textId="77777777" w:rsidR="00DD0405" w:rsidRDefault="009B6296">
    <w:pPr>
      <w:tabs>
        <w:tab w:val="left" w:pos="80"/>
      </w:tabs>
      <w:ind w:right="-720"/>
      <w:rPr>
        <w:rFonts w:ascii="Geneva" w:hAnsi="Geneva"/>
        <w:sz w:val="18"/>
      </w:rPr>
    </w:pPr>
  </w:p>
  <w:p w14:paraId="5407DF61" w14:textId="77777777" w:rsidR="00DD0405" w:rsidRDefault="009B6296">
    <w:pPr>
      <w:rPr>
        <w:rFonts w:ascii="Geneva" w:hAnsi="Geneva"/>
        <w:sz w:val="18"/>
      </w:rPr>
    </w:pPr>
  </w:p>
  <w:p w14:paraId="4D116AF2" w14:textId="77777777" w:rsidR="00DD0405" w:rsidRDefault="002C61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3040B688" w14:textId="77777777" w:rsidR="00DD0405" w:rsidRDefault="002C6132">
    <w:pPr>
      <w:tabs>
        <w:tab w:val="right" w:pos="9260"/>
      </w:tabs>
      <w:ind w:right="-80"/>
      <w:rPr>
        <w:rFonts w:ascii="Helvetica" w:hAnsi="Helvetica"/>
        <w:b/>
        <w:sz w:val="20"/>
      </w:rPr>
    </w:pPr>
    <w:r>
      <w:rPr>
        <w:rFonts w:ascii="Helvetica" w:hAnsi="Helvetica"/>
        <w:sz w:val="20"/>
      </w:rPr>
      <w:t>231.1-</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0372B" w14:textId="77777777" w:rsidR="00DD0405" w:rsidRDefault="009B6296">
    <w:pPr>
      <w:pStyle w:val="Footer"/>
      <w:rPr>
        <w:sz w:val="20"/>
      </w:rPr>
    </w:pPr>
  </w:p>
  <w:p w14:paraId="66F16002" w14:textId="77777777" w:rsidR="00DD0405" w:rsidRDefault="009B6296">
    <w:pPr>
      <w:pStyle w:val="Footer"/>
      <w:rPr>
        <w:sz w:val="20"/>
      </w:rPr>
    </w:pPr>
  </w:p>
  <w:p w14:paraId="54FD2270" w14:textId="77777777" w:rsidR="00DD0405" w:rsidRDefault="002C6132">
    <w:pPr>
      <w:pStyle w:val="Footer"/>
      <w:pBdr>
        <w:top w:val="single" w:sz="6" w:space="1" w:color="auto"/>
      </w:pBdr>
      <w:tabs>
        <w:tab w:val="clear" w:pos="8640"/>
        <w:tab w:val="right" w:pos="9260"/>
      </w:tabs>
      <w:rPr>
        <w:sz w:val="20"/>
      </w:rPr>
    </w:pPr>
    <w:r>
      <w:rPr>
        <w:sz w:val="20"/>
      </w:rPr>
      <w:t>1998 EDITION</w:t>
    </w:r>
    <w:r>
      <w:rPr>
        <w:sz w:val="20"/>
      </w:rPr>
      <w:tab/>
    </w:r>
    <w:r>
      <w:rPr>
        <w:sz w:val="20"/>
      </w:rPr>
      <w:tab/>
      <w:t>231.3-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4B84" w14:textId="77777777" w:rsidR="00640045" w:rsidRDefault="009B6296">
    <w:pPr>
      <w:tabs>
        <w:tab w:val="left" w:pos="80"/>
      </w:tabs>
      <w:rPr>
        <w:rFonts w:ascii="Arial" w:hAnsi="Arial"/>
        <w:sz w:val="18"/>
      </w:rPr>
    </w:pPr>
  </w:p>
  <w:p w14:paraId="48E4B5B5" w14:textId="77777777" w:rsidR="00640045" w:rsidRDefault="009B6296">
    <w:pPr>
      <w:rPr>
        <w:rFonts w:ascii="Arial" w:hAnsi="Arial"/>
        <w:sz w:val="18"/>
      </w:rPr>
    </w:pPr>
  </w:p>
  <w:p w14:paraId="091BC7C9" w14:textId="77777777" w:rsidR="00640045" w:rsidRDefault="009B6296">
    <w:pPr>
      <w:tabs>
        <w:tab w:val="right" w:pos="9720"/>
      </w:tabs>
      <w:rPr>
        <w:rFonts w:ascii="Arial" w:hAnsi="Arial"/>
        <w:b/>
        <w:sz w:val="18"/>
      </w:rPr>
    </w:pPr>
  </w:p>
  <w:p w14:paraId="09CC1422" w14:textId="77777777" w:rsidR="00640045" w:rsidRDefault="002C6132">
    <w:pPr>
      <w:pBdr>
        <w:top w:val="single" w:sz="6" w:space="1" w:color="auto"/>
      </w:pBdr>
      <w:tabs>
        <w:tab w:val="right" w:pos="9260"/>
      </w:tabs>
      <w:rPr>
        <w:rFonts w:ascii="Arial" w:hAnsi="Arial"/>
        <w:b/>
        <w:sz w:val="20"/>
      </w:rPr>
    </w:pPr>
    <w:r>
      <w:rPr>
        <w:rFonts w:ascii="Arial" w:hAnsi="Arial"/>
        <w:sz w:val="20"/>
      </w:rPr>
      <w:t>231.6-</w:t>
    </w:r>
    <w:r>
      <w:rPr>
        <w:rFonts w:ascii="Arial" w:hAnsi="Arial"/>
        <w:sz w:val="20"/>
      </w:rPr>
      <w:pgNum/>
    </w:r>
    <w:r>
      <w:rPr>
        <w:rFonts w:ascii="Arial" w:hAnsi="Arial"/>
        <w:sz w:val="20"/>
      </w:rPr>
      <w:tab/>
    </w:r>
    <w:r>
      <w:rPr>
        <w:rFonts w:ascii="Arial" w:hAnsi="Arial"/>
        <w:sz w:val="20"/>
      </w:rPr>
      <w:tab/>
      <w:t>DAC 91-7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DC441" w14:textId="77777777" w:rsidR="00640045" w:rsidRDefault="009B6296">
    <w:pPr>
      <w:pStyle w:val="Footer"/>
      <w:ind w:right="-800"/>
      <w:rPr>
        <w:b/>
        <w:sz w:val="20"/>
      </w:rPr>
    </w:pPr>
  </w:p>
  <w:p w14:paraId="259EDDBD" w14:textId="77777777" w:rsidR="00640045" w:rsidRDefault="009B6296">
    <w:pPr>
      <w:pStyle w:val="Footer"/>
      <w:rPr>
        <w:b/>
        <w:sz w:val="20"/>
      </w:rPr>
    </w:pPr>
  </w:p>
  <w:p w14:paraId="5AAD5341" w14:textId="77777777" w:rsidR="00640045" w:rsidRDefault="002C61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231.6-</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13A9" w14:textId="77777777" w:rsidR="0000314E" w:rsidRDefault="009B6296">
    <w:pPr>
      <w:tabs>
        <w:tab w:val="left" w:pos="80"/>
      </w:tabs>
      <w:ind w:right="-720"/>
      <w:rPr>
        <w:rFonts w:ascii="Geneva" w:hAnsi="Geneva"/>
        <w:sz w:val="18"/>
      </w:rPr>
    </w:pPr>
  </w:p>
  <w:p w14:paraId="25E31EBA" w14:textId="77777777" w:rsidR="0000314E" w:rsidRDefault="009B6296">
    <w:pPr>
      <w:rPr>
        <w:rFonts w:ascii="Geneva" w:hAnsi="Geneva"/>
        <w:sz w:val="18"/>
      </w:rPr>
    </w:pPr>
  </w:p>
  <w:p w14:paraId="151E815E" w14:textId="77777777" w:rsidR="0000314E" w:rsidRDefault="002C61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4E55A4AD" w14:textId="77777777" w:rsidR="0000314E" w:rsidRDefault="002C6132">
    <w:pPr>
      <w:tabs>
        <w:tab w:val="right" w:pos="9260"/>
      </w:tabs>
      <w:ind w:right="-80"/>
      <w:rPr>
        <w:rFonts w:ascii="Helvetica" w:hAnsi="Helvetica"/>
        <w:b/>
        <w:sz w:val="20"/>
      </w:rPr>
    </w:pPr>
    <w:r>
      <w:rPr>
        <w:rFonts w:ascii="Helvetica" w:hAnsi="Helvetica"/>
        <w:sz w:val="20"/>
      </w:rPr>
      <w:t>231.7-</w:t>
    </w:r>
    <w:r>
      <w:rPr>
        <w:rFonts w:ascii="Helvetica" w:hAnsi="Helvetica"/>
        <w:sz w:val="20"/>
      </w:rPr>
      <w:pgNum/>
    </w:r>
    <w:r>
      <w:rPr>
        <w:rFonts w:ascii="Helvetica" w:hAnsi="Helvetica"/>
        <w:sz w:val="20"/>
      </w:rPr>
      <w:tab/>
    </w:r>
    <w:r>
      <w:rPr>
        <w:rFonts w:ascii="Helvetica" w:hAnsi="Helvetica"/>
        <w:sz w:val="20"/>
      </w:rPr>
      <w:tab/>
      <w:t>DAC 91-3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2734" w14:textId="77777777" w:rsidR="009B6296" w:rsidRDefault="009B6296">
      <w:pPr>
        <w:spacing w:after="0" w:line="240" w:lineRule="auto"/>
      </w:pPr>
      <w:r>
        <w:separator/>
      </w:r>
    </w:p>
  </w:footnote>
  <w:footnote w:type="continuationSeparator" w:id="0">
    <w:p w14:paraId="74E9036B" w14:textId="77777777" w:rsidR="009B6296" w:rsidRDefault="009B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57D5" w14:textId="77777777" w:rsidR="004B384A" w:rsidRDefault="002C61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ED85F9D" w14:textId="77777777" w:rsidR="004B384A" w:rsidRDefault="009B6296">
    <w:pPr>
      <w:pStyle w:val="Header"/>
      <w:rPr>
        <w:rFonts w:ascii="Helvetica" w:hAnsi="Helvetica"/>
        <w:sz w:val="18"/>
      </w:rPr>
    </w:pPr>
  </w:p>
  <w:p w14:paraId="4DD9170D" w14:textId="77777777" w:rsidR="004B384A" w:rsidRDefault="002C6132">
    <w:pPr>
      <w:pStyle w:val="Header"/>
      <w:spacing w:after="10"/>
      <w:rPr>
        <w:rFonts w:ascii="Helvetica" w:hAnsi="Helvetica"/>
        <w:b/>
        <w:sz w:val="20"/>
      </w:rPr>
    </w:pPr>
    <w:r>
      <w:rPr>
        <w:rFonts w:ascii="Helvetica" w:hAnsi="Helvetica"/>
        <w:sz w:val="20"/>
      </w:rPr>
      <w:t>Part 231--Contract Cost Principles and Procedures</w:t>
    </w:r>
  </w:p>
  <w:p w14:paraId="1C5621DF" w14:textId="77777777" w:rsidR="004B384A" w:rsidRDefault="002C61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F5E1AD0" w14:textId="77777777" w:rsidR="004B384A" w:rsidRDefault="009B6296">
    <w:pPr>
      <w:pStyle w:val="Header"/>
      <w:tabs>
        <w:tab w:val="right" w:pos="10260"/>
      </w:tabs>
      <w:ind w:right="-800"/>
      <w:rPr>
        <w:rFonts w:ascii="Helvetica" w:hAnsi="Helvetica"/>
        <w:sz w:val="20"/>
        <w:u w:val="single"/>
      </w:rPr>
    </w:pPr>
  </w:p>
  <w:p w14:paraId="48377D3F" w14:textId="77777777" w:rsidR="004B384A" w:rsidRDefault="009B6296">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AEEA" w14:textId="77777777" w:rsidR="0000314E" w:rsidRDefault="002C6132">
    <w:pPr>
      <w:pStyle w:val="Header"/>
      <w:tabs>
        <w:tab w:val="clear" w:pos="8640"/>
      </w:tabs>
      <w:jc w:val="center"/>
    </w:pPr>
    <w:r>
      <w:t>Defense Federal Acquisition Regulation Supplement</w:t>
    </w:r>
  </w:p>
  <w:p w14:paraId="7DA71887" w14:textId="77777777" w:rsidR="0000314E" w:rsidRDefault="009B6296">
    <w:pPr>
      <w:pStyle w:val="Header"/>
      <w:rPr>
        <w:b/>
        <w:sz w:val="20"/>
      </w:rPr>
    </w:pPr>
  </w:p>
  <w:p w14:paraId="0E64E4DD" w14:textId="77777777" w:rsidR="0000314E" w:rsidRDefault="002C6132">
    <w:pPr>
      <w:pStyle w:val="Header"/>
      <w:pBdr>
        <w:bottom w:val="single" w:sz="6" w:space="1" w:color="auto"/>
      </w:pBdr>
      <w:tabs>
        <w:tab w:val="clear" w:pos="8640"/>
        <w:tab w:val="right" w:pos="9260"/>
      </w:tabs>
      <w:spacing w:after="20"/>
      <w:rPr>
        <w:sz w:val="20"/>
      </w:rPr>
    </w:pPr>
    <w:r>
      <w:rPr>
        <w:sz w:val="20"/>
      </w:rPr>
      <w:t>Part 231—Contract Cost Principles and Procedures</w:t>
    </w:r>
  </w:p>
  <w:p w14:paraId="4FACA277" w14:textId="77777777" w:rsidR="0000314E" w:rsidRDefault="009B6296">
    <w:pPr>
      <w:pStyle w:val="Header"/>
      <w:tabs>
        <w:tab w:val="clear" w:pos="8640"/>
        <w:tab w:val="right" w:pos="9260"/>
      </w:tabs>
      <w:spacing w:before="20" w:line="20" w:lineRule="exact"/>
      <w:rPr>
        <w:b/>
        <w:position w:val="6"/>
        <w:sz w:val="20"/>
      </w:rPr>
    </w:pPr>
  </w:p>
  <w:p w14:paraId="2CE18134" w14:textId="77777777" w:rsidR="0000314E" w:rsidRDefault="009B6296">
    <w:pPr>
      <w:pStyle w:val="Header"/>
      <w:tabs>
        <w:tab w:val="clear" w:pos="8640"/>
        <w:tab w:val="right" w:pos="9260"/>
      </w:tabs>
      <w:rPr>
        <w:b/>
        <w:sz w:val="20"/>
      </w:rPr>
    </w:pPr>
  </w:p>
  <w:p w14:paraId="622676CA" w14:textId="77777777" w:rsidR="0000314E" w:rsidRDefault="009B6296">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59B38" w14:textId="77777777" w:rsidR="004B384A" w:rsidRDefault="002C6132">
    <w:pPr>
      <w:pStyle w:val="Header"/>
      <w:tabs>
        <w:tab w:val="clear" w:pos="8640"/>
      </w:tabs>
      <w:jc w:val="center"/>
    </w:pPr>
    <w:r>
      <w:t>Defense Federal Acquisition Regulation Supplement</w:t>
    </w:r>
  </w:p>
  <w:p w14:paraId="53B0786D" w14:textId="77777777" w:rsidR="004B384A" w:rsidRDefault="009B6296">
    <w:pPr>
      <w:pStyle w:val="Header"/>
      <w:rPr>
        <w:b/>
        <w:sz w:val="20"/>
      </w:rPr>
    </w:pPr>
  </w:p>
  <w:p w14:paraId="3408D992" w14:textId="77777777" w:rsidR="004B384A" w:rsidRDefault="002C6132">
    <w:pPr>
      <w:pStyle w:val="Header"/>
      <w:pBdr>
        <w:bottom w:val="single" w:sz="6" w:space="1" w:color="auto"/>
      </w:pBdr>
      <w:tabs>
        <w:tab w:val="clear" w:pos="8640"/>
        <w:tab w:val="right" w:pos="9260"/>
      </w:tabs>
      <w:spacing w:after="20"/>
      <w:rPr>
        <w:sz w:val="20"/>
      </w:rPr>
    </w:pPr>
    <w:r>
      <w:rPr>
        <w:sz w:val="20"/>
      </w:rPr>
      <w:t>Part 231—Contract Cost Principles and Procedures</w:t>
    </w:r>
  </w:p>
  <w:p w14:paraId="528F8610" w14:textId="77777777" w:rsidR="004B384A" w:rsidRDefault="009B6296">
    <w:pPr>
      <w:pStyle w:val="Header"/>
      <w:tabs>
        <w:tab w:val="clear" w:pos="8640"/>
        <w:tab w:val="right" w:pos="9260"/>
      </w:tabs>
      <w:spacing w:before="20" w:line="20" w:lineRule="exact"/>
      <w:rPr>
        <w:b/>
        <w:position w:val="6"/>
        <w:sz w:val="20"/>
      </w:rPr>
    </w:pPr>
  </w:p>
  <w:p w14:paraId="6716ED5A" w14:textId="77777777" w:rsidR="004B384A" w:rsidRDefault="009B6296">
    <w:pPr>
      <w:pStyle w:val="Header"/>
      <w:tabs>
        <w:tab w:val="clear" w:pos="8640"/>
        <w:tab w:val="right" w:pos="9260"/>
      </w:tabs>
      <w:rPr>
        <w:b/>
        <w:sz w:val="20"/>
      </w:rPr>
    </w:pPr>
  </w:p>
  <w:p w14:paraId="759C71DB" w14:textId="77777777" w:rsidR="004B384A" w:rsidRDefault="009B6296">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3E17C" w14:textId="77777777" w:rsidR="00EC4532" w:rsidRDefault="002C6132">
    <w:pPr>
      <w:pStyle w:val="Header"/>
      <w:tabs>
        <w:tab w:val="clear" w:pos="8640"/>
      </w:tabs>
      <w:jc w:val="center"/>
    </w:pPr>
    <w:r>
      <w:t>Defense Federal Acquisition Regulation Supplement</w:t>
    </w:r>
  </w:p>
  <w:p w14:paraId="711E3686" w14:textId="77777777" w:rsidR="00EC4532" w:rsidRDefault="009B6296">
    <w:pPr>
      <w:pStyle w:val="Header"/>
      <w:rPr>
        <w:b/>
        <w:sz w:val="20"/>
      </w:rPr>
    </w:pPr>
  </w:p>
  <w:p w14:paraId="2F1EA2C6" w14:textId="77777777" w:rsidR="00EC4532" w:rsidRDefault="002C6132">
    <w:pPr>
      <w:pStyle w:val="Header"/>
      <w:pBdr>
        <w:bottom w:val="single" w:sz="6" w:space="1" w:color="auto"/>
      </w:pBdr>
      <w:spacing w:after="10"/>
      <w:rPr>
        <w:sz w:val="20"/>
      </w:rPr>
    </w:pPr>
    <w:r>
      <w:rPr>
        <w:sz w:val="20"/>
      </w:rPr>
      <w:t>Part 231—Contract Cost Principles and Procedures</w:t>
    </w:r>
  </w:p>
  <w:p w14:paraId="45575594" w14:textId="77777777" w:rsidR="00EC4532" w:rsidRDefault="009B6296">
    <w:pPr>
      <w:pStyle w:val="Header"/>
      <w:spacing w:before="10" w:line="40" w:lineRule="exact"/>
      <w:rPr>
        <w:b/>
        <w:position w:val="6"/>
        <w:sz w:val="20"/>
      </w:rPr>
    </w:pPr>
  </w:p>
  <w:p w14:paraId="427AEBD4" w14:textId="77777777" w:rsidR="00EC4532" w:rsidRDefault="009B6296">
    <w:pPr>
      <w:pStyle w:val="Header"/>
      <w:tabs>
        <w:tab w:val="right" w:pos="10260"/>
      </w:tabs>
      <w:rPr>
        <w:b/>
        <w:sz w:val="20"/>
      </w:rPr>
    </w:pPr>
  </w:p>
  <w:p w14:paraId="00B5EE6C" w14:textId="77777777" w:rsidR="00EC4532" w:rsidRDefault="009B6296">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F5759" w14:textId="77777777" w:rsidR="00EC4532" w:rsidRDefault="002C6132">
    <w:pPr>
      <w:pStyle w:val="Header"/>
      <w:tabs>
        <w:tab w:val="clear" w:pos="8640"/>
      </w:tabs>
      <w:jc w:val="center"/>
    </w:pPr>
    <w:r>
      <w:t>Defense Federal Acquisition Regulation Supplement</w:t>
    </w:r>
  </w:p>
  <w:p w14:paraId="6026CA92" w14:textId="77777777" w:rsidR="00EC4532" w:rsidRDefault="009B6296">
    <w:pPr>
      <w:pStyle w:val="Header"/>
      <w:rPr>
        <w:b/>
        <w:sz w:val="20"/>
      </w:rPr>
    </w:pPr>
  </w:p>
  <w:p w14:paraId="4B3629B1" w14:textId="77777777" w:rsidR="00EC4532" w:rsidRDefault="002C6132">
    <w:pPr>
      <w:pStyle w:val="Header"/>
      <w:pBdr>
        <w:bottom w:val="single" w:sz="6" w:space="1" w:color="auto"/>
      </w:pBdr>
      <w:tabs>
        <w:tab w:val="clear" w:pos="8640"/>
        <w:tab w:val="right" w:pos="9260"/>
      </w:tabs>
      <w:spacing w:after="20"/>
      <w:rPr>
        <w:sz w:val="20"/>
      </w:rPr>
    </w:pPr>
    <w:r>
      <w:rPr>
        <w:sz w:val="20"/>
      </w:rPr>
      <w:t>Part 231—Contract Cost Principles and Procedures</w:t>
    </w:r>
  </w:p>
  <w:p w14:paraId="77EA3F4B" w14:textId="77777777" w:rsidR="00EC4532" w:rsidRDefault="009B6296">
    <w:pPr>
      <w:pStyle w:val="Header"/>
      <w:tabs>
        <w:tab w:val="clear" w:pos="8640"/>
        <w:tab w:val="right" w:pos="9260"/>
      </w:tabs>
      <w:spacing w:before="20" w:line="20" w:lineRule="exact"/>
      <w:rPr>
        <w:b/>
        <w:position w:val="6"/>
        <w:sz w:val="20"/>
      </w:rPr>
    </w:pPr>
  </w:p>
  <w:p w14:paraId="708B11D6" w14:textId="77777777" w:rsidR="00EC4532" w:rsidRDefault="009B6296">
    <w:pPr>
      <w:pStyle w:val="Header"/>
      <w:tabs>
        <w:tab w:val="clear" w:pos="8640"/>
        <w:tab w:val="right" w:pos="9260"/>
      </w:tabs>
      <w:rPr>
        <w:b/>
        <w:sz w:val="20"/>
      </w:rPr>
    </w:pPr>
  </w:p>
  <w:p w14:paraId="223826AB" w14:textId="77777777" w:rsidR="00EC4532" w:rsidRDefault="009B6296">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C98FD" w14:textId="77777777" w:rsidR="00DD0405" w:rsidRDefault="002C61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6A5DF46" w14:textId="77777777" w:rsidR="00DD0405" w:rsidRDefault="009B6296">
    <w:pPr>
      <w:pStyle w:val="Header"/>
      <w:rPr>
        <w:rFonts w:ascii="Helvetica" w:hAnsi="Helvetica"/>
        <w:sz w:val="18"/>
      </w:rPr>
    </w:pPr>
  </w:p>
  <w:p w14:paraId="54737791" w14:textId="77777777" w:rsidR="00DD0405" w:rsidRDefault="002C6132">
    <w:pPr>
      <w:pStyle w:val="Header"/>
      <w:spacing w:after="10"/>
      <w:rPr>
        <w:rFonts w:ascii="Helvetica" w:hAnsi="Helvetica"/>
        <w:b/>
        <w:sz w:val="20"/>
      </w:rPr>
    </w:pPr>
    <w:r>
      <w:rPr>
        <w:rFonts w:ascii="Helvetica" w:hAnsi="Helvetica"/>
        <w:sz w:val="20"/>
      </w:rPr>
      <w:t>Part 231--Contract Cost Principles and Procedures</w:t>
    </w:r>
  </w:p>
  <w:p w14:paraId="6CBEC852" w14:textId="77777777" w:rsidR="00DD0405" w:rsidRDefault="002C61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E17D90A" w14:textId="77777777" w:rsidR="00DD0405" w:rsidRDefault="009B6296">
    <w:pPr>
      <w:pStyle w:val="Header"/>
      <w:tabs>
        <w:tab w:val="right" w:pos="10260"/>
      </w:tabs>
      <w:ind w:right="-800"/>
      <w:rPr>
        <w:rFonts w:ascii="Helvetica" w:hAnsi="Helvetica"/>
        <w:sz w:val="20"/>
        <w:u w:val="single"/>
      </w:rPr>
    </w:pPr>
  </w:p>
  <w:p w14:paraId="23EE3A2A" w14:textId="77777777" w:rsidR="00DD0405" w:rsidRDefault="009B6296">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8C5B2" w14:textId="77777777" w:rsidR="00DD0405" w:rsidRDefault="002C6132">
    <w:pPr>
      <w:pStyle w:val="Header"/>
      <w:tabs>
        <w:tab w:val="clear" w:pos="8640"/>
      </w:tabs>
      <w:jc w:val="center"/>
    </w:pPr>
    <w:r>
      <w:t>Defense Federal Acquisition Regulation Supplement</w:t>
    </w:r>
  </w:p>
  <w:p w14:paraId="08A4F57D" w14:textId="77777777" w:rsidR="00DD0405" w:rsidRDefault="009B6296">
    <w:pPr>
      <w:pStyle w:val="Header"/>
      <w:rPr>
        <w:b/>
        <w:sz w:val="20"/>
      </w:rPr>
    </w:pPr>
  </w:p>
  <w:p w14:paraId="3B6A7C40" w14:textId="77777777" w:rsidR="00DD0405" w:rsidRDefault="002C6132">
    <w:pPr>
      <w:pStyle w:val="Header"/>
      <w:pBdr>
        <w:bottom w:val="single" w:sz="6" w:space="1" w:color="auto"/>
      </w:pBdr>
      <w:tabs>
        <w:tab w:val="clear" w:pos="8640"/>
        <w:tab w:val="right" w:pos="9260"/>
      </w:tabs>
      <w:spacing w:after="20"/>
      <w:rPr>
        <w:sz w:val="20"/>
      </w:rPr>
    </w:pPr>
    <w:r>
      <w:rPr>
        <w:sz w:val="20"/>
      </w:rPr>
      <w:t>Part 231—Contract Cost Principles and Procedures</w:t>
    </w:r>
  </w:p>
  <w:p w14:paraId="7F2D73CB" w14:textId="77777777" w:rsidR="00DD0405" w:rsidRDefault="009B6296">
    <w:pPr>
      <w:pStyle w:val="Header"/>
      <w:tabs>
        <w:tab w:val="clear" w:pos="8640"/>
        <w:tab w:val="right" w:pos="9260"/>
      </w:tabs>
      <w:spacing w:before="20" w:line="20" w:lineRule="exact"/>
      <w:rPr>
        <w:b/>
        <w:position w:val="6"/>
        <w:sz w:val="20"/>
      </w:rPr>
    </w:pPr>
  </w:p>
  <w:p w14:paraId="0DC03D11" w14:textId="77777777" w:rsidR="00DD0405" w:rsidRDefault="009B6296">
    <w:pPr>
      <w:pStyle w:val="Header"/>
      <w:tabs>
        <w:tab w:val="clear" w:pos="8640"/>
        <w:tab w:val="right" w:pos="9260"/>
      </w:tabs>
      <w:rPr>
        <w:b/>
        <w:sz w:val="20"/>
      </w:rPr>
    </w:pPr>
  </w:p>
  <w:p w14:paraId="22F374A4" w14:textId="77777777" w:rsidR="00DD0405" w:rsidRDefault="009B6296">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A10C" w14:textId="77777777" w:rsidR="00640045" w:rsidRDefault="002C6132">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2CA72FDD" w14:textId="77777777" w:rsidR="00640045" w:rsidRDefault="009B6296">
    <w:pPr>
      <w:pStyle w:val="Header"/>
      <w:rPr>
        <w:rFonts w:ascii="Helvetica" w:hAnsi="Helvetica"/>
        <w:sz w:val="18"/>
      </w:rPr>
    </w:pPr>
  </w:p>
  <w:p w14:paraId="24E3F758" w14:textId="77777777" w:rsidR="00640045" w:rsidRDefault="002C6132">
    <w:pPr>
      <w:pStyle w:val="Header"/>
      <w:pBdr>
        <w:bottom w:val="single" w:sz="6" w:space="1" w:color="auto"/>
      </w:pBdr>
      <w:spacing w:after="10"/>
      <w:rPr>
        <w:rFonts w:ascii="Helvetica" w:hAnsi="Helvetica"/>
        <w:b/>
        <w:sz w:val="20"/>
      </w:rPr>
    </w:pPr>
    <w:r>
      <w:rPr>
        <w:rFonts w:ascii="Helvetica" w:hAnsi="Helvetica"/>
        <w:sz w:val="20"/>
      </w:rPr>
      <w:t>Part 231--Contract Cost Principles and Procedures</w:t>
    </w:r>
  </w:p>
  <w:p w14:paraId="5894BE70" w14:textId="77777777" w:rsidR="00640045" w:rsidRDefault="009B6296">
    <w:pPr>
      <w:pStyle w:val="Header"/>
      <w:tabs>
        <w:tab w:val="right" w:pos="10260"/>
      </w:tabs>
      <w:rPr>
        <w:rFonts w:ascii="Helvetica" w:hAnsi="Helvetica"/>
        <w:sz w:val="20"/>
        <w:u w:val="single"/>
      </w:rPr>
    </w:pPr>
  </w:p>
  <w:p w14:paraId="5D5AB5DD" w14:textId="77777777" w:rsidR="00640045" w:rsidRDefault="009B6296">
    <w:pPr>
      <w:pStyle w:val="Header"/>
      <w:tabs>
        <w:tab w:val="right" w:pos="10260"/>
      </w:tabs>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D2A69" w14:textId="77777777" w:rsidR="00640045" w:rsidRDefault="002C6132">
    <w:pPr>
      <w:pStyle w:val="Header"/>
      <w:tabs>
        <w:tab w:val="clear" w:pos="8640"/>
      </w:tabs>
      <w:ind w:right="280"/>
      <w:jc w:val="center"/>
    </w:pPr>
    <w:r>
      <w:t>Defense Federal Acquisition Regulation Supplement</w:t>
    </w:r>
  </w:p>
  <w:p w14:paraId="02F0C269" w14:textId="77777777" w:rsidR="00640045" w:rsidRDefault="009B6296">
    <w:pPr>
      <w:pStyle w:val="Header"/>
      <w:rPr>
        <w:b/>
        <w:sz w:val="20"/>
      </w:rPr>
    </w:pPr>
  </w:p>
  <w:p w14:paraId="695ED576" w14:textId="77777777" w:rsidR="00640045" w:rsidRDefault="002C6132">
    <w:pPr>
      <w:pStyle w:val="Header"/>
      <w:pBdr>
        <w:bottom w:val="single" w:sz="6" w:space="1" w:color="auto"/>
      </w:pBdr>
      <w:tabs>
        <w:tab w:val="clear" w:pos="8640"/>
        <w:tab w:val="right" w:pos="9260"/>
      </w:tabs>
      <w:spacing w:after="20"/>
      <w:ind w:right="10"/>
      <w:rPr>
        <w:sz w:val="20"/>
      </w:rPr>
    </w:pPr>
    <w:r>
      <w:rPr>
        <w:sz w:val="20"/>
      </w:rPr>
      <w:t>Part 231—Contract Cost Principles and Procedures</w:t>
    </w:r>
  </w:p>
  <w:p w14:paraId="76300D39" w14:textId="77777777" w:rsidR="00640045" w:rsidRDefault="009B6296">
    <w:pPr>
      <w:pStyle w:val="Header"/>
      <w:tabs>
        <w:tab w:val="clear" w:pos="8640"/>
        <w:tab w:val="right" w:pos="9260"/>
      </w:tabs>
      <w:spacing w:before="20" w:line="20" w:lineRule="exact"/>
      <w:ind w:right="-440"/>
      <w:rPr>
        <w:b/>
        <w:position w:val="6"/>
        <w:sz w:val="18"/>
      </w:rPr>
    </w:pPr>
  </w:p>
  <w:p w14:paraId="2C783021" w14:textId="77777777" w:rsidR="00640045" w:rsidRDefault="009B6296">
    <w:pPr>
      <w:pStyle w:val="Header"/>
      <w:tabs>
        <w:tab w:val="clear" w:pos="8640"/>
        <w:tab w:val="right" w:pos="9260"/>
      </w:tabs>
      <w:ind w:right="-440"/>
      <w:rPr>
        <w:b/>
        <w:sz w:val="20"/>
      </w:rPr>
    </w:pPr>
  </w:p>
  <w:p w14:paraId="19DB3589" w14:textId="77777777" w:rsidR="00640045" w:rsidRDefault="009B6296">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24657" w14:textId="77777777" w:rsidR="0000314E" w:rsidRDefault="002C61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4A15A70" w14:textId="77777777" w:rsidR="0000314E" w:rsidRDefault="009B6296">
    <w:pPr>
      <w:pStyle w:val="Header"/>
      <w:rPr>
        <w:rFonts w:ascii="Helvetica" w:hAnsi="Helvetica"/>
        <w:sz w:val="18"/>
      </w:rPr>
    </w:pPr>
  </w:p>
  <w:p w14:paraId="0D174492" w14:textId="77777777" w:rsidR="0000314E" w:rsidRDefault="002C6132">
    <w:pPr>
      <w:pStyle w:val="Header"/>
      <w:spacing w:after="10"/>
      <w:rPr>
        <w:rFonts w:ascii="Helvetica" w:hAnsi="Helvetica"/>
        <w:b/>
        <w:sz w:val="20"/>
      </w:rPr>
    </w:pPr>
    <w:r>
      <w:rPr>
        <w:rFonts w:ascii="Helvetica" w:hAnsi="Helvetica"/>
        <w:sz w:val="20"/>
      </w:rPr>
      <w:t>Part 231--Contract Cost Principles and Procedures</w:t>
    </w:r>
  </w:p>
  <w:p w14:paraId="50AE4C43" w14:textId="77777777" w:rsidR="0000314E" w:rsidRDefault="002C61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9B07B29" w14:textId="77777777" w:rsidR="0000314E" w:rsidRDefault="009B6296">
    <w:pPr>
      <w:pStyle w:val="Header"/>
      <w:tabs>
        <w:tab w:val="right" w:pos="10260"/>
      </w:tabs>
      <w:ind w:right="-800"/>
      <w:rPr>
        <w:rFonts w:ascii="Helvetica" w:hAnsi="Helvetica"/>
        <w:sz w:val="20"/>
        <w:u w:val="single"/>
      </w:rPr>
    </w:pPr>
  </w:p>
  <w:p w14:paraId="12719F0D" w14:textId="77777777" w:rsidR="0000314E" w:rsidRDefault="009B6296">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32"/>
    <w:rsid w:val="00141904"/>
    <w:rsid w:val="002C6132"/>
    <w:rsid w:val="00505901"/>
    <w:rsid w:val="005566F3"/>
    <w:rsid w:val="00646884"/>
    <w:rsid w:val="006E73AF"/>
    <w:rsid w:val="007D6208"/>
    <w:rsid w:val="00850595"/>
    <w:rsid w:val="009B6296"/>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B0AD"/>
  <w15:chartTrackingRefBased/>
  <w15:docId w15:val="{F18B1585-1C96-4D76-991F-A379D8A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2C613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2C6132"/>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2C613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2C6132"/>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132"/>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2C6132"/>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2C6132"/>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2C6132"/>
    <w:rPr>
      <w:rFonts w:ascii="Century Schoolbook" w:eastAsia="Times New Roman" w:hAnsi="Century Schoolbook" w:cs="Times New Roman"/>
      <w:b/>
      <w:sz w:val="24"/>
      <w:szCs w:val="20"/>
    </w:rPr>
  </w:style>
  <w:style w:type="paragraph" w:styleId="Footer">
    <w:name w:val="footer"/>
    <w:basedOn w:val="Normal"/>
    <w:link w:val="FooterChar"/>
    <w:rsid w:val="002C613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semiHidden/>
    <w:rsid w:val="002C6132"/>
    <w:rPr>
      <w:rFonts w:ascii="Century Schoolbook" w:eastAsia="Times New Roman" w:hAnsi="Century Schoolbook" w:cs="Times New Roman"/>
      <w:szCs w:val="20"/>
    </w:rPr>
  </w:style>
  <w:style w:type="paragraph" w:styleId="Header">
    <w:name w:val="header"/>
    <w:basedOn w:val="Normal"/>
    <w:link w:val="HeaderChar"/>
    <w:rsid w:val="002C613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semiHidden/>
    <w:rsid w:val="002C6132"/>
    <w:rPr>
      <w:rFonts w:ascii="Century Schoolbook" w:eastAsia="Times New Roman" w:hAnsi="Century Schoolbook" w:cs="Times New Roman"/>
      <w:szCs w:val="20"/>
    </w:rPr>
  </w:style>
  <w:style w:type="character" w:styleId="Hyperlink">
    <w:name w:val="Hyperlink"/>
    <w:basedOn w:val="DefaultParagraphFont"/>
    <w:uiPriority w:val="99"/>
    <w:unhideWhenUsed/>
    <w:rsid w:val="002C6132"/>
    <w:rPr>
      <w:color w:val="0000FF"/>
      <w:u w:val="single"/>
    </w:rPr>
  </w:style>
  <w:style w:type="paragraph" w:styleId="List2">
    <w:name w:val="List 2"/>
    <w:link w:val="List2Char"/>
    <w:uiPriority w:val="99"/>
    <w:semiHidden/>
    <w:unhideWhenUsed/>
    <w:rsid w:val="002C6132"/>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semiHidden/>
    <w:unhideWhenUsed/>
    <w:rsid w:val="002C6132"/>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2C6132"/>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141904"/>
    <w:pPr>
      <w:ind w:left="0" w:firstLine="0"/>
    </w:pPr>
  </w:style>
  <w:style w:type="character" w:customStyle="1" w:styleId="ListChar">
    <w:name w:val="List Char"/>
    <w:basedOn w:val="DefaultParagraphFont"/>
    <w:link w:val="List"/>
    <w:uiPriority w:val="99"/>
    <w:semiHidden/>
    <w:rsid w:val="00141904"/>
  </w:style>
  <w:style w:type="character" w:customStyle="1" w:styleId="List4Char">
    <w:name w:val="List 4 Char"/>
    <w:basedOn w:val="DefaultParagraphFont"/>
    <w:link w:val="List4"/>
    <w:rsid w:val="002C6132"/>
    <w:rPr>
      <w:rFonts w:ascii="Century Schoolbook" w:eastAsia="Times New Roman" w:hAnsi="Century Schoolbook" w:cs="Times New Roman"/>
      <w:szCs w:val="20"/>
    </w:rPr>
  </w:style>
  <w:style w:type="character" w:customStyle="1" w:styleId="List2Char">
    <w:name w:val="List 2 Char"/>
    <w:basedOn w:val="DefaultParagraphFont"/>
    <w:link w:val="List2"/>
    <w:uiPriority w:val="99"/>
    <w:semiHidden/>
    <w:rsid w:val="002C6132"/>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2C6132"/>
    <w:pPr>
      <w:spacing w:after="100"/>
    </w:pPr>
    <w:rPr>
      <w:rFonts w:cs="Arial"/>
    </w:rPr>
  </w:style>
  <w:style w:type="paragraph" w:styleId="TOC2">
    <w:name w:val="toc 2"/>
    <w:basedOn w:val="Normal"/>
    <w:next w:val="Normal"/>
    <w:autoRedefine/>
    <w:uiPriority w:val="39"/>
    <w:unhideWhenUsed/>
    <w:rsid w:val="002C6132"/>
    <w:pPr>
      <w:spacing w:after="100"/>
      <w:ind w:left="220"/>
    </w:pPr>
  </w:style>
  <w:style w:type="paragraph" w:styleId="TOC3">
    <w:name w:val="toc 3"/>
    <w:basedOn w:val="Normal"/>
    <w:next w:val="Normal"/>
    <w:autoRedefine/>
    <w:uiPriority w:val="39"/>
    <w:unhideWhenUsed/>
    <w:rsid w:val="002C6132"/>
    <w:pPr>
      <w:spacing w:after="100"/>
      <w:ind w:left="440"/>
    </w:pPr>
  </w:style>
  <w:style w:type="paragraph" w:styleId="TOC4">
    <w:name w:val="toc 4"/>
    <w:basedOn w:val="Normal"/>
    <w:next w:val="Normal"/>
    <w:autoRedefine/>
    <w:uiPriority w:val="39"/>
    <w:unhideWhenUsed/>
    <w:rsid w:val="002C6132"/>
    <w:pPr>
      <w:spacing w:after="100"/>
      <w:ind w:left="660"/>
    </w:pPr>
  </w:style>
  <w:style w:type="paragraph" w:styleId="TOC5">
    <w:name w:val="toc 5"/>
    <w:basedOn w:val="Normal"/>
    <w:next w:val="Normal"/>
    <w:autoRedefine/>
    <w:uiPriority w:val="39"/>
    <w:semiHidden/>
    <w:unhideWhenUsed/>
    <w:rsid w:val="002C6132"/>
    <w:pPr>
      <w:spacing w:after="100"/>
      <w:ind w:left="880"/>
    </w:pPr>
  </w:style>
  <w:style w:type="paragraph" w:styleId="TOC6">
    <w:name w:val="toc 6"/>
    <w:basedOn w:val="Normal"/>
    <w:next w:val="Normal"/>
    <w:autoRedefine/>
    <w:uiPriority w:val="39"/>
    <w:semiHidden/>
    <w:unhideWhenUsed/>
    <w:rsid w:val="002C6132"/>
    <w:pPr>
      <w:spacing w:after="100"/>
      <w:ind w:left="1100"/>
    </w:pPr>
  </w:style>
  <w:style w:type="paragraph" w:styleId="TOC7">
    <w:name w:val="toc 7"/>
    <w:basedOn w:val="Normal"/>
    <w:next w:val="Normal"/>
    <w:autoRedefine/>
    <w:uiPriority w:val="39"/>
    <w:semiHidden/>
    <w:unhideWhenUsed/>
    <w:rsid w:val="002C6132"/>
    <w:pPr>
      <w:spacing w:after="100"/>
      <w:ind w:left="1320"/>
    </w:pPr>
  </w:style>
  <w:style w:type="paragraph" w:styleId="TOC8">
    <w:name w:val="toc 8"/>
    <w:basedOn w:val="Normal"/>
    <w:next w:val="Normal"/>
    <w:autoRedefine/>
    <w:uiPriority w:val="39"/>
    <w:semiHidden/>
    <w:unhideWhenUsed/>
    <w:rsid w:val="002C6132"/>
    <w:pPr>
      <w:spacing w:after="100"/>
      <w:ind w:left="1540"/>
    </w:pPr>
  </w:style>
  <w:style w:type="paragraph" w:styleId="TOC9">
    <w:name w:val="toc 9"/>
    <w:basedOn w:val="Normal"/>
    <w:next w:val="Normal"/>
    <w:autoRedefine/>
    <w:uiPriority w:val="39"/>
    <w:semiHidden/>
    <w:unhideWhenUsed/>
    <w:rsid w:val="002C6132"/>
    <w:pPr>
      <w:spacing w:after="100"/>
      <w:ind w:left="1760"/>
    </w:pPr>
  </w:style>
  <w:style w:type="paragraph" w:styleId="List">
    <w:name w:val="List"/>
    <w:basedOn w:val="Normal"/>
    <w:link w:val="ListChar"/>
    <w:uiPriority w:val="99"/>
    <w:semiHidden/>
    <w:unhideWhenUsed/>
    <w:rsid w:val="00141904"/>
    <w:pPr>
      <w:ind w:left="360" w:hanging="360"/>
      <w:contextualSpacing/>
    </w:pPr>
  </w:style>
  <w:style w:type="character" w:customStyle="1" w:styleId="List1Char">
    <w:name w:val="List 1 Char"/>
    <w:basedOn w:val="ListChar"/>
    <w:link w:val="List1"/>
    <w:rsid w:val="00141904"/>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cq.osd.mil/dpap/dars/dfars/html/current/231_2.htm" TargetMode="External"/><Relationship Id="rId18" Type="http://schemas.openxmlformats.org/officeDocument/2006/relationships/hyperlink" Target="http://www.acq.osd.mil/dpap/dars/dfars/html/current/252228.htm" TargetMode="External"/><Relationship Id="rId26" Type="http://schemas.openxmlformats.org/officeDocument/2006/relationships/header" Target="header5.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acq.osd.mil/dpap/dars/dfars/html/current/252246.htm" TargetMode="External"/><Relationship Id="rId34" Type="http://schemas.openxmlformats.org/officeDocument/2006/relationships/header" Target="header9.xml"/><Relationship Id="rId7" Type="http://schemas.openxmlformats.org/officeDocument/2006/relationships/header" Target="header1.xml"/><Relationship Id="rId12" Type="http://schemas.openxmlformats.org/officeDocument/2006/relationships/hyperlink" Target="http://www.acq.osd.mil/dpap/dars/dfars/html/current/225_73.htm" TargetMode="External"/><Relationship Id="rId17" Type="http://schemas.openxmlformats.org/officeDocument/2006/relationships/hyperlink" Target="http://www.acq.osd.mil/dpap/dars/dfars/html/current/252217.htm" TargetMode="External"/><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cq.osd.mil/dpap/dars/dfars/html/current/242_7.htm" TargetMode="External"/><Relationship Id="rId20" Type="http://schemas.openxmlformats.org/officeDocument/2006/relationships/hyperlink" Target="http://www.acq.osd.mil/dpap/dars/dfars/html/current/244_3.htm" TargetMode="External"/><Relationship Id="rId29" Type="http://schemas.openxmlformats.org/officeDocument/2006/relationships/footer" Target="footer6.xml"/><Relationship Id="rId1" Type="http://schemas.openxmlformats.org/officeDocument/2006/relationships/styles" Target="styles.xml"/><Relationship Id="rId6" Type="http://schemas.openxmlformats.org/officeDocument/2006/relationships/hyperlink" Target="http://www.acq.osd.mil/dpap/policy/policyvault/USA001350-11-DPAP.pdf" TargetMode="External"/><Relationship Id="rId11" Type="http://schemas.openxmlformats.org/officeDocument/2006/relationships/hyperlink" Target="http://www.acq.osd.mil/dpap/dars/dfars/html/current/225_73.htm" TargetMode="External"/><Relationship Id="rId24" Type="http://schemas.openxmlformats.org/officeDocument/2006/relationships/footer" Target="footer3.xml"/><Relationship Id="rId32" Type="http://schemas.openxmlformats.org/officeDocument/2006/relationships/footer" Target="footer7.xml"/><Relationship Id="rId37" Type="http://schemas.openxmlformats.org/officeDocument/2006/relationships/footer" Target="footer10.xml"/><Relationship Id="rId5" Type="http://schemas.openxmlformats.org/officeDocument/2006/relationships/endnotes" Target="endnotes.xml"/><Relationship Id="rId15" Type="http://schemas.openxmlformats.org/officeDocument/2006/relationships/hyperlink" Target="http://www.defenseinnovationmarketplace.mil" TargetMode="External"/><Relationship Id="rId23" Type="http://schemas.openxmlformats.org/officeDocument/2006/relationships/header" Target="header4.xml"/><Relationship Id="rId28" Type="http://schemas.openxmlformats.org/officeDocument/2006/relationships/footer" Target="footer5.xml"/><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hyperlink" Target="http://www.acq.osd.mil/dpap/dars/pgi/pgi_htm/PGI231_2.htm" TargetMode="External"/><Relationship Id="rId31"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acq.osd.mil/dpap/dars/dfars/html/current/225_73.htm" TargetMode="Externa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2905</Words>
  <Characters>16560</Characters>
  <Application>Microsoft Office Word</Application>
  <DocSecurity>0</DocSecurity>
  <Lines>138</Lines>
  <Paragraphs>38</Paragraphs>
  <ScaleCrop>false</ScaleCrop>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2020-04-14T14:56:00Z</dcterms:modified>
</cp:coreProperties>
</file>