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DFBA6" w14:textId="77777777" w:rsidR="00C7441A" w:rsidRDefault="00C7441A">
      <w:pPr>
        <w:sectPr w:rsidR="00C7441A">
          <w:pgSz w:w="12240" w:h="15840"/>
          <w:pgMar w:top="1440" w:right="1440" w:bottom="1440" w:left="1440" w:header="720" w:footer="720" w:gutter="0"/>
          <w:cols w:space="720"/>
          <w:docGrid w:linePitch="360"/>
        </w:sectPr>
      </w:pPr>
    </w:p>
    <w:p w14:paraId="092BF0F1" w14:textId="77777777" w:rsidR="00C7441A" w:rsidRDefault="00C7441A" w:rsidP="00E5430D">
      <w:pPr>
        <w:pStyle w:val="Heading1"/>
      </w:pPr>
      <w:bookmarkStart w:id="0" w:name="_Toc37677463"/>
      <w:bookmarkStart w:id="1" w:name="_Toc37754382"/>
      <w:r w:rsidRPr="007B495C">
        <w:lastRenderedPageBreak/>
        <w:t>PART 2</w:t>
      </w:r>
      <w:r>
        <w:t>33</w:t>
      </w:r>
      <w:r w:rsidRPr="007B495C">
        <w:t xml:space="preserve"> - </w:t>
      </w:r>
      <w:r>
        <w:br/>
      </w:r>
      <w:r w:rsidRPr="00CE2184">
        <w:t>Protests, Disputes, and Appeals</w:t>
      </w:r>
      <w:bookmarkEnd w:id="0"/>
      <w:bookmarkEnd w:id="1"/>
    </w:p>
    <w:p w14:paraId="75C6F4BC" w14:textId="77777777" w:rsidR="00C7441A" w:rsidRDefault="00C7441A">
      <w:r>
        <w:br w:type="page"/>
      </w:r>
      <w:r>
        <w:lastRenderedPageBreak/>
        <w:br/>
      </w:r>
    </w:p>
    <w:p w14:paraId="57C1B857" w14:textId="77777777" w:rsidR="00100C3D" w:rsidRDefault="00100C3D" w:rsidP="00C7441A">
      <w:pPr>
        <w:jc w:val="center"/>
        <w:rPr>
          <w:rFonts w:ascii="Arial" w:hAnsi="Arial" w:cs="Arial"/>
          <w:b/>
        </w:rPr>
      </w:pPr>
      <w:r>
        <w:rPr>
          <w:rFonts w:ascii="Arial" w:hAnsi="Arial" w:cs="Arial"/>
          <w:b/>
        </w:rPr>
        <w:t>Table of Contents</w:t>
      </w:r>
    </w:p>
    <w:p w14:paraId="3D40F948" w14:textId="575BCE7F" w:rsidR="00790BED" w:rsidRDefault="00790BED" w:rsidP="00790BED">
      <w:pPr>
        <w:pStyle w:val="TOC1"/>
        <w:tabs>
          <w:tab w:val="right" w:leader="dot" w:pos="9350"/>
        </w:tabs>
        <w:rPr>
          <w:rFonts w:asciiTheme="minorHAnsi" w:eastAsiaTheme="minorEastAsia" w:hAnsiTheme="minorHAnsi" w:cstheme="minorBidi"/>
          <w:noProof/>
        </w:rPr>
      </w:pPr>
      <w:r>
        <w:rPr>
          <w:rStyle w:val="Hyperlink"/>
          <w:caps/>
          <w:noProof/>
        </w:rPr>
        <w:fldChar w:fldCharType="begin"/>
      </w:r>
      <w:r>
        <w:rPr>
          <w:rStyle w:val="Hyperlink"/>
          <w:caps/>
          <w:noProof/>
        </w:rPr>
        <w:instrText xml:space="preserve"> TOC \o "1-4" \n \h \z \u </w:instrText>
      </w:r>
      <w:r>
        <w:rPr>
          <w:rStyle w:val="Hyperlink"/>
          <w:caps/>
          <w:noProof/>
        </w:rPr>
        <w:fldChar w:fldCharType="separate"/>
      </w:r>
      <w:hyperlink w:anchor="_Toc37754382" w:history="1">
        <w:r w:rsidRPr="00A7525F">
          <w:rPr>
            <w:rStyle w:val="Hyperlink"/>
            <w:noProof/>
          </w:rPr>
          <w:t>PART 233 -  Protests, Disputes, and Appeals</w:t>
        </w:r>
      </w:hyperlink>
    </w:p>
    <w:p w14:paraId="00A82596" w14:textId="44546117" w:rsidR="00790BED" w:rsidRDefault="00790BED" w:rsidP="00790BED">
      <w:pPr>
        <w:pStyle w:val="TOC2"/>
        <w:tabs>
          <w:tab w:val="right" w:leader="dot" w:pos="9350"/>
        </w:tabs>
        <w:rPr>
          <w:rFonts w:asciiTheme="minorHAnsi" w:eastAsiaTheme="minorEastAsia" w:hAnsiTheme="minorHAnsi"/>
          <w:noProof/>
        </w:rPr>
      </w:pPr>
      <w:hyperlink w:anchor="_Toc37754383" w:history="1">
        <w:r w:rsidRPr="00A7525F">
          <w:rPr>
            <w:rStyle w:val="Hyperlink"/>
            <w:caps/>
            <w:noProof/>
          </w:rPr>
          <w:t>SUBPART 233.1--PROTESTS</w:t>
        </w:r>
      </w:hyperlink>
    </w:p>
    <w:p w14:paraId="4DB6AA95" w14:textId="2E86796C" w:rsidR="00790BED" w:rsidRDefault="00790BED" w:rsidP="00790BED">
      <w:pPr>
        <w:pStyle w:val="TOC3"/>
        <w:tabs>
          <w:tab w:val="right" w:leader="dot" w:pos="9350"/>
        </w:tabs>
        <w:rPr>
          <w:rFonts w:asciiTheme="minorHAnsi" w:eastAsiaTheme="minorEastAsia" w:hAnsiTheme="minorHAnsi"/>
          <w:noProof/>
        </w:rPr>
      </w:pPr>
      <w:hyperlink w:anchor="_Toc37754384" w:history="1">
        <w:r w:rsidRPr="00A7525F">
          <w:rPr>
            <w:rStyle w:val="Hyperlink"/>
            <w:noProof/>
          </w:rPr>
          <w:t>233.102  General.</w:t>
        </w:r>
      </w:hyperlink>
    </w:p>
    <w:p w14:paraId="73BAEDB8" w14:textId="555E244E" w:rsidR="00790BED" w:rsidRDefault="00790BED" w:rsidP="00790BED">
      <w:pPr>
        <w:pStyle w:val="TOC3"/>
        <w:tabs>
          <w:tab w:val="right" w:leader="dot" w:pos="9350"/>
        </w:tabs>
        <w:rPr>
          <w:rFonts w:asciiTheme="minorHAnsi" w:eastAsiaTheme="minorEastAsia" w:hAnsiTheme="minorHAnsi"/>
          <w:noProof/>
        </w:rPr>
      </w:pPr>
      <w:hyperlink w:anchor="_Toc37754385" w:history="1">
        <w:r w:rsidRPr="00A7525F">
          <w:rPr>
            <w:rStyle w:val="Hyperlink"/>
            <w:noProof/>
          </w:rPr>
          <w:t>233.170  Briefing requirement for protested acquisitions valued at $1 billionor more.</w:t>
        </w:r>
      </w:hyperlink>
    </w:p>
    <w:p w14:paraId="653E9E1C" w14:textId="7ABE789A" w:rsidR="00790BED" w:rsidRDefault="00790BED" w:rsidP="00790BED">
      <w:pPr>
        <w:pStyle w:val="TOC3"/>
        <w:tabs>
          <w:tab w:val="right" w:leader="dot" w:pos="9350"/>
        </w:tabs>
        <w:rPr>
          <w:rFonts w:asciiTheme="minorHAnsi" w:eastAsiaTheme="minorEastAsia" w:hAnsiTheme="minorHAnsi"/>
          <w:noProof/>
        </w:rPr>
      </w:pPr>
      <w:hyperlink w:anchor="_Toc37754386" w:history="1">
        <w:r w:rsidRPr="00A7525F">
          <w:rPr>
            <w:rStyle w:val="Hyperlink"/>
            <w:noProof/>
          </w:rPr>
          <w:t>233.171 Reporting requirement for protests of solicitations or awards.</w:t>
        </w:r>
      </w:hyperlink>
    </w:p>
    <w:p w14:paraId="2E44722A" w14:textId="5913367F" w:rsidR="00790BED" w:rsidRDefault="00790BED" w:rsidP="00790BED">
      <w:pPr>
        <w:pStyle w:val="TOC2"/>
        <w:tabs>
          <w:tab w:val="right" w:leader="dot" w:pos="9350"/>
        </w:tabs>
        <w:rPr>
          <w:rFonts w:asciiTheme="minorHAnsi" w:eastAsiaTheme="minorEastAsia" w:hAnsiTheme="minorHAnsi"/>
          <w:noProof/>
        </w:rPr>
      </w:pPr>
      <w:hyperlink w:anchor="_Toc37754387" w:history="1">
        <w:r w:rsidRPr="00A7525F">
          <w:rPr>
            <w:rStyle w:val="Hyperlink"/>
            <w:caps/>
            <w:noProof/>
          </w:rPr>
          <w:t>SUBPART 233.2--DISPUTES AND APPEALS</w:t>
        </w:r>
      </w:hyperlink>
    </w:p>
    <w:p w14:paraId="12DC6E82" w14:textId="1DE0804D" w:rsidR="00790BED" w:rsidRDefault="00790BED" w:rsidP="00790BED">
      <w:pPr>
        <w:pStyle w:val="TOC4"/>
        <w:tabs>
          <w:tab w:val="right" w:leader="dot" w:pos="9350"/>
        </w:tabs>
        <w:rPr>
          <w:rFonts w:asciiTheme="minorHAnsi" w:eastAsiaTheme="minorEastAsia" w:hAnsiTheme="minorHAnsi"/>
          <w:noProof/>
        </w:rPr>
      </w:pPr>
      <w:hyperlink w:anchor="_Toc37754388" w:history="1">
        <w:r w:rsidRPr="00A7525F">
          <w:rPr>
            <w:rStyle w:val="Hyperlink"/>
            <w:noProof/>
          </w:rPr>
          <w:t>233.204-70  Limitations on payment.</w:t>
        </w:r>
      </w:hyperlink>
    </w:p>
    <w:p w14:paraId="2D881C03" w14:textId="405FAF35" w:rsidR="00790BED" w:rsidRDefault="00790BED" w:rsidP="00790BED">
      <w:pPr>
        <w:pStyle w:val="TOC3"/>
        <w:tabs>
          <w:tab w:val="right" w:leader="dot" w:pos="9350"/>
        </w:tabs>
        <w:rPr>
          <w:rFonts w:asciiTheme="minorHAnsi" w:eastAsiaTheme="minorEastAsia" w:hAnsiTheme="minorHAnsi"/>
          <w:noProof/>
        </w:rPr>
      </w:pPr>
      <w:hyperlink w:anchor="_Toc37754389" w:history="1">
        <w:r w:rsidRPr="00A7525F">
          <w:rPr>
            <w:rStyle w:val="Hyperlink"/>
            <w:noProof/>
          </w:rPr>
          <w:t>233.210  Contracting officer's authority.</w:t>
        </w:r>
      </w:hyperlink>
    </w:p>
    <w:p w14:paraId="59A76E10" w14:textId="47EB5233" w:rsidR="00790BED" w:rsidRDefault="00790BED" w:rsidP="00790BED">
      <w:pPr>
        <w:pStyle w:val="TOC3"/>
        <w:tabs>
          <w:tab w:val="right" w:leader="dot" w:pos="9350"/>
        </w:tabs>
        <w:rPr>
          <w:rFonts w:asciiTheme="minorHAnsi" w:eastAsiaTheme="minorEastAsia" w:hAnsiTheme="minorHAnsi"/>
          <w:noProof/>
        </w:rPr>
      </w:pPr>
      <w:hyperlink w:anchor="_Toc37754390" w:history="1">
        <w:r w:rsidRPr="00A7525F">
          <w:rPr>
            <w:rStyle w:val="Hyperlink"/>
            <w:noProof/>
          </w:rPr>
          <w:t>233.215  Contract clause.</w:t>
        </w:r>
      </w:hyperlink>
    </w:p>
    <w:p w14:paraId="073646E4" w14:textId="60626F3A" w:rsidR="00790BED" w:rsidRDefault="00790BED" w:rsidP="00790BED">
      <w:pPr>
        <w:pStyle w:val="TOC4"/>
        <w:tabs>
          <w:tab w:val="right" w:leader="dot" w:pos="9350"/>
        </w:tabs>
        <w:rPr>
          <w:rFonts w:asciiTheme="minorHAnsi" w:eastAsiaTheme="minorEastAsia" w:hAnsiTheme="minorHAnsi"/>
          <w:noProof/>
        </w:rPr>
      </w:pPr>
      <w:hyperlink w:anchor="_Toc37754391" w:history="1">
        <w:r w:rsidRPr="00A7525F">
          <w:rPr>
            <w:rStyle w:val="Hyperlink"/>
            <w:noProof/>
          </w:rPr>
          <w:t>233.215-70  Additional contract clause.</w:t>
        </w:r>
      </w:hyperlink>
    </w:p>
    <w:p w14:paraId="6CA7D06C" w14:textId="484A3B98" w:rsidR="00C7441A" w:rsidRPr="00C7441A" w:rsidRDefault="00790BED" w:rsidP="00C7441A">
      <w:pPr>
        <w:jc w:val="center"/>
        <w:rPr>
          <w:rFonts w:ascii="Arial" w:hAnsi="Arial" w:cs="Arial"/>
          <w:b/>
        </w:rPr>
      </w:pPr>
      <w:r>
        <w:rPr>
          <w:rStyle w:val="Hyperlink"/>
          <w:rFonts w:cs="Arial"/>
          <w:caps/>
          <w:noProof/>
        </w:rPr>
        <w:fldChar w:fldCharType="end"/>
      </w:r>
    </w:p>
    <w:p w14:paraId="193E5C09" w14:textId="0278CFF0" w:rsidR="00C7441A" w:rsidRPr="0058057C" w:rsidRDefault="00C7441A" w:rsidP="0058057C">
      <w:pPr>
        <w:pStyle w:val="Heading2"/>
      </w:pPr>
      <w:bookmarkStart w:id="2" w:name="_Toc37345903"/>
      <w:bookmarkStart w:id="3" w:name="_Toc37677464"/>
      <w:bookmarkStart w:id="4" w:name="BM233_2"/>
      <w:bookmarkStart w:id="5" w:name="_Toc37754383"/>
      <w:r w:rsidRPr="0058057C">
        <w:rPr>
          <w:caps/>
        </w:rPr>
        <w:t>SUBPART 233.1--PROTESTS</w:t>
      </w:r>
      <w:bookmarkEnd w:id="2"/>
      <w:bookmarkEnd w:id="3"/>
      <w:bookmarkEnd w:id="5"/>
    </w:p>
    <w:p w14:paraId="085D8F61" w14:textId="77777777" w:rsidR="00C7441A" w:rsidRPr="00902048" w:rsidRDefault="00C7441A" w:rsidP="0058057C">
      <w:pPr>
        <w:jc w:val="center"/>
      </w:pPr>
      <w:r w:rsidRPr="00902048">
        <w:rPr>
          <w:i/>
        </w:rPr>
        <w:t>(Revised May 31, 2019)</w:t>
      </w:r>
    </w:p>
    <w:p w14:paraId="08522202" w14:textId="77777777" w:rsidR="00C7441A" w:rsidRPr="00FA5641" w:rsidRDefault="00C7441A" w:rsidP="00902048">
      <w:pPr>
        <w:pStyle w:val="Heading3"/>
      </w:pPr>
      <w:r>
        <w:rPr>
          <w:i/>
        </w:rPr>
        <w:br/>
      </w:r>
      <w:bookmarkStart w:id="6" w:name="_Toc37345904"/>
      <w:bookmarkStart w:id="7" w:name="_Toc37677465"/>
      <w:bookmarkStart w:id="8" w:name="_Toc37754384"/>
      <w:proofErr w:type="gramStart"/>
      <w:r w:rsidRPr="00085080">
        <w:t>233</w:t>
      </w:r>
      <w:r w:rsidRPr="00FA5641">
        <w:t>.</w:t>
      </w:r>
      <w:r w:rsidRPr="00085080">
        <w:t>102</w:t>
      </w:r>
      <w:r w:rsidRPr="00FA5641">
        <w:t xml:space="preserve">  </w:t>
      </w:r>
      <w:r w:rsidRPr="00085080">
        <w:t>General</w:t>
      </w:r>
      <w:proofErr w:type="gramEnd"/>
      <w:r w:rsidRPr="00FA5641">
        <w:rPr>
          <w:b w:val="0"/>
        </w:rPr>
        <w:t>.</w:t>
      </w:r>
      <w:bookmarkEnd w:id="6"/>
      <w:bookmarkEnd w:id="7"/>
      <w:bookmarkEnd w:id="8"/>
    </w:p>
    <w:p w14:paraId="51EF48D1" w14:textId="5F420556" w:rsidR="00C7441A" w:rsidRDefault="00C7441A" w:rsidP="00902048">
      <w:pPr>
        <w:rPr>
          <w:color w:val="333333"/>
        </w:rPr>
      </w:pPr>
      <w:r w:rsidRPr="00902048">
        <w:rPr>
          <w:color w:val="333333"/>
        </w:rPr>
        <w:t xml:space="preserve">If the Government exercises the authority provided in </w:t>
      </w:r>
      <w:hyperlink r:id="rId7" w:anchor="239.7305" w:history="1">
        <w:r w:rsidRPr="00902048">
          <w:rPr>
            <w:rStyle w:val="Hyperlink"/>
          </w:rPr>
          <w:t>239.7305</w:t>
        </w:r>
      </w:hyperlink>
      <w:r w:rsidRPr="00902048">
        <w:t>(d)</w:t>
      </w:r>
      <w:r w:rsidRPr="00902048">
        <w:rPr>
          <w:color w:val="333333"/>
        </w:rPr>
        <w:t xml:space="preserve"> to limit disclosure of information, no action undertaken by the Government under such authority shall be subject to review in a bid protest before the Government Accountability Office or in any Federal court (see subpart </w:t>
      </w:r>
      <w:hyperlink r:id="rId8" w:history="1">
        <w:r w:rsidRPr="00902048">
          <w:rPr>
            <w:rStyle w:val="Hyperlink"/>
          </w:rPr>
          <w:t>239.73</w:t>
        </w:r>
      </w:hyperlink>
      <w:r w:rsidRPr="00902048">
        <w:rPr>
          <w:color w:val="333333"/>
        </w:rPr>
        <w:t>).</w:t>
      </w:r>
    </w:p>
    <w:p w14:paraId="02D390DC" w14:textId="77777777" w:rsidR="00AF5D28" w:rsidRPr="00902048" w:rsidRDefault="00AF5D28" w:rsidP="00C722BD">
      <w:pPr>
        <w:pStyle w:val="List1"/>
      </w:pPr>
    </w:p>
    <w:p w14:paraId="63C96C90" w14:textId="77777777" w:rsidR="00C7441A" w:rsidRDefault="00C7441A" w:rsidP="00902048">
      <w:pPr>
        <w:pStyle w:val="Heading3"/>
      </w:pPr>
      <w:r>
        <w:br/>
      </w:r>
      <w:bookmarkStart w:id="9" w:name="_Toc37345905"/>
      <w:bookmarkStart w:id="10" w:name="_Toc37677466"/>
      <w:bookmarkStart w:id="11" w:name="_Toc37754385"/>
      <w:proofErr w:type="gramStart"/>
      <w:r w:rsidRPr="00085080">
        <w:t>233</w:t>
      </w:r>
      <w:r>
        <w:t>.</w:t>
      </w:r>
      <w:r w:rsidRPr="00085080">
        <w:t>170</w:t>
      </w:r>
      <w:r>
        <w:t xml:space="preserve">  </w:t>
      </w:r>
      <w:r w:rsidRPr="00085080">
        <w:t>Briefing</w:t>
      </w:r>
      <w:proofErr w:type="gramEnd"/>
      <w:r>
        <w:t xml:space="preserve"> </w:t>
      </w:r>
      <w:r w:rsidRPr="00085080">
        <w:t>requirement</w:t>
      </w:r>
      <w:r>
        <w:t xml:space="preserve"> </w:t>
      </w:r>
      <w:r w:rsidRPr="00085080">
        <w:t>for</w:t>
      </w:r>
      <w:r>
        <w:t xml:space="preserve"> </w:t>
      </w:r>
      <w:r w:rsidRPr="00085080">
        <w:t>protested</w:t>
      </w:r>
      <w:r>
        <w:t xml:space="preserve"> </w:t>
      </w:r>
      <w:r w:rsidRPr="00085080">
        <w:t>acquisitions</w:t>
      </w:r>
      <w:r>
        <w:t xml:space="preserve"> </w:t>
      </w:r>
      <w:r w:rsidRPr="00085080">
        <w:t>valued</w:t>
      </w:r>
      <w:r>
        <w:t xml:space="preserve"> </w:t>
      </w:r>
      <w:r w:rsidRPr="00085080">
        <w:t>at</w:t>
      </w:r>
      <w:r>
        <w:t xml:space="preserve"> $</w:t>
      </w:r>
      <w:r w:rsidRPr="00085080">
        <w:t>1</w:t>
      </w:r>
      <w:r>
        <w:t xml:space="preserve"> </w:t>
      </w:r>
      <w:proofErr w:type="spellStart"/>
      <w:r w:rsidRPr="00085080">
        <w:t>billion</w:t>
      </w:r>
      <w:r>
        <w:t>or</w:t>
      </w:r>
      <w:proofErr w:type="spellEnd"/>
      <w:r>
        <w:t xml:space="preserve"> more.</w:t>
      </w:r>
      <w:bookmarkEnd w:id="9"/>
      <w:bookmarkEnd w:id="10"/>
      <w:bookmarkEnd w:id="11"/>
    </w:p>
    <w:p w14:paraId="4156CD11" w14:textId="77777777" w:rsidR="00C7441A" w:rsidRPr="00902048" w:rsidRDefault="00C7441A" w:rsidP="00902048">
      <w:r w:rsidRPr="00902048">
        <w:t xml:space="preserve">Follow the procedures at </w:t>
      </w:r>
      <w:hyperlink r:id="rId9" w:anchor="233.170" w:history="1">
        <w:r w:rsidRPr="00902048">
          <w:rPr>
            <w:rStyle w:val="Hyperlink"/>
          </w:rPr>
          <w:t>PGI 233.170</w:t>
        </w:r>
      </w:hyperlink>
      <w:r w:rsidRPr="00902048">
        <w:t xml:space="preserve"> for briefing protested acquisitions valued at </w:t>
      </w:r>
    </w:p>
    <w:p w14:paraId="3A05EF93" w14:textId="77777777" w:rsidR="00C7441A" w:rsidRPr="00902048" w:rsidRDefault="00C7441A" w:rsidP="00902048">
      <w:r w:rsidRPr="00902048">
        <w:t xml:space="preserve">$1 billion or more. </w:t>
      </w:r>
      <w:bookmarkEnd w:id="4"/>
    </w:p>
    <w:p w14:paraId="10C4B18C" w14:textId="77777777" w:rsidR="00C7441A" w:rsidRDefault="00C7441A" w:rsidP="00902048">
      <w:pPr>
        <w:pStyle w:val="Heading3"/>
      </w:pPr>
      <w:r>
        <w:br/>
      </w:r>
      <w:bookmarkStart w:id="12" w:name="_Toc37345906"/>
      <w:bookmarkStart w:id="13" w:name="_Toc37677467"/>
      <w:bookmarkStart w:id="14" w:name="_Toc37754386"/>
      <w:r w:rsidRPr="00085080">
        <w:t>233</w:t>
      </w:r>
      <w:r>
        <w:t>.</w:t>
      </w:r>
      <w:r w:rsidRPr="00085080">
        <w:t>171</w:t>
      </w:r>
      <w:r>
        <w:t xml:space="preserve"> </w:t>
      </w:r>
      <w:r w:rsidRPr="00085080">
        <w:t>Reporting</w:t>
      </w:r>
      <w:r>
        <w:t xml:space="preserve"> </w:t>
      </w:r>
      <w:r w:rsidRPr="00085080">
        <w:t>requirement</w:t>
      </w:r>
      <w:r>
        <w:t xml:space="preserve"> </w:t>
      </w:r>
      <w:r w:rsidRPr="00085080">
        <w:t>for</w:t>
      </w:r>
      <w:r>
        <w:t xml:space="preserve"> </w:t>
      </w:r>
      <w:r w:rsidRPr="00085080">
        <w:t>protests</w:t>
      </w:r>
      <w:r>
        <w:t xml:space="preserve"> </w:t>
      </w:r>
      <w:r w:rsidRPr="00085080">
        <w:t>of</w:t>
      </w:r>
      <w:r>
        <w:t xml:space="preserve"> </w:t>
      </w:r>
      <w:r w:rsidRPr="00085080">
        <w:t>solicitations</w:t>
      </w:r>
      <w:r>
        <w:t xml:space="preserve"> </w:t>
      </w:r>
      <w:r w:rsidRPr="00085080">
        <w:t>or</w:t>
      </w:r>
      <w:r>
        <w:t xml:space="preserve"> </w:t>
      </w:r>
      <w:r w:rsidRPr="00085080">
        <w:t>awards</w:t>
      </w:r>
      <w:r>
        <w:t>.</w:t>
      </w:r>
      <w:bookmarkEnd w:id="12"/>
      <w:bookmarkEnd w:id="13"/>
      <w:bookmarkEnd w:id="14"/>
    </w:p>
    <w:p w14:paraId="64DC04D9" w14:textId="77777777" w:rsidR="00C7441A" w:rsidRPr="00902048" w:rsidRDefault="00C7441A" w:rsidP="00902048">
      <w:r w:rsidRPr="00902048">
        <w:t xml:space="preserve">Follow the procedures at </w:t>
      </w:r>
      <w:hyperlink r:id="rId10" w:anchor="233.171" w:history="1">
        <w:r w:rsidRPr="00902048">
          <w:rPr>
            <w:rStyle w:val="Hyperlink"/>
          </w:rPr>
          <w:t>PGI 233.171</w:t>
        </w:r>
      </w:hyperlink>
      <w:r w:rsidRPr="00902048">
        <w:t xml:space="preserve"> for reporting information on protests involving the same contract award or proposed award that have been filed at both the Government Accountability Office and the United States Court of Federal Claims.</w:t>
      </w:r>
    </w:p>
    <w:p w14:paraId="67B2F37D" w14:textId="77777777" w:rsidR="00C7441A" w:rsidRDefault="00C7441A">
      <w:pPr>
        <w:sectPr w:rsidR="00C7441A" w:rsidSect="0078305F">
          <w:headerReference w:type="default" r:id="rId11"/>
          <w:footerReference w:type="default" r:id="rId12"/>
          <w:pgSz w:w="12240" w:h="15840"/>
          <w:pgMar w:top="1440" w:right="1440" w:bottom="1440" w:left="1440" w:header="720" w:footer="720" w:gutter="0"/>
          <w:cols w:space="720"/>
          <w:docGrid w:linePitch="360"/>
        </w:sectPr>
      </w:pPr>
    </w:p>
    <w:p w14:paraId="5733E983" w14:textId="77777777" w:rsidR="00C7441A" w:rsidRPr="007B0118" w:rsidRDefault="00C7441A" w:rsidP="007B0118">
      <w:pPr>
        <w:pStyle w:val="Heading2"/>
      </w:pPr>
      <w:bookmarkStart w:id="15" w:name="_Toc37345907"/>
      <w:bookmarkStart w:id="16" w:name="_Toc37677468"/>
      <w:bookmarkStart w:id="17" w:name="_Toc37754387"/>
      <w:r w:rsidRPr="007B0118">
        <w:rPr>
          <w:caps/>
        </w:rPr>
        <w:lastRenderedPageBreak/>
        <w:t>SUBPART 233.2--DISPUTES AND APPEALS</w:t>
      </w:r>
      <w:bookmarkEnd w:id="15"/>
      <w:bookmarkEnd w:id="16"/>
      <w:bookmarkEnd w:id="17"/>
    </w:p>
    <w:p w14:paraId="7D921E07" w14:textId="77777777" w:rsidR="00C7441A" w:rsidRPr="00A16E1C" w:rsidRDefault="00C7441A" w:rsidP="007B0118">
      <w:pPr>
        <w:jc w:val="center"/>
      </w:pPr>
      <w:r w:rsidRPr="00A16E1C">
        <w:rPr>
          <w:i/>
        </w:rPr>
        <w:t>(Revised June 15, 2012)</w:t>
      </w:r>
    </w:p>
    <w:p w14:paraId="6996F1C5" w14:textId="77777777" w:rsidR="00C7441A" w:rsidRDefault="00C7441A" w:rsidP="00A16E1C">
      <w:pPr>
        <w:pStyle w:val="Heading4"/>
      </w:pPr>
      <w:r>
        <w:rPr>
          <w:i/>
        </w:rPr>
        <w:br/>
      </w:r>
      <w:bookmarkStart w:id="18" w:name="_Toc37677469"/>
      <w:bookmarkStart w:id="19" w:name="_Toc37754388"/>
      <w:r w:rsidRPr="005D7402">
        <w:t>233</w:t>
      </w:r>
      <w:r>
        <w:t>.</w:t>
      </w:r>
      <w:r w:rsidRPr="005D7402">
        <w:t>204</w:t>
      </w:r>
      <w:r>
        <w:t>-</w:t>
      </w:r>
      <w:proofErr w:type="gramStart"/>
      <w:r w:rsidRPr="005D7402">
        <w:t>70</w:t>
      </w:r>
      <w:r>
        <w:t xml:space="preserve">  </w:t>
      </w:r>
      <w:r w:rsidRPr="005D7402">
        <w:t>Limitations</w:t>
      </w:r>
      <w:proofErr w:type="gramEnd"/>
      <w:r>
        <w:t xml:space="preserve"> </w:t>
      </w:r>
      <w:r w:rsidRPr="005D7402">
        <w:t>on</w:t>
      </w:r>
      <w:r>
        <w:t xml:space="preserve"> </w:t>
      </w:r>
      <w:r w:rsidRPr="005D7402">
        <w:t>payment</w:t>
      </w:r>
      <w:r>
        <w:t>.</w:t>
      </w:r>
      <w:bookmarkEnd w:id="18"/>
      <w:bookmarkEnd w:id="19"/>
    </w:p>
    <w:p w14:paraId="5EC5FCE3" w14:textId="77777777" w:rsidR="00C7441A" w:rsidRPr="00A16E1C" w:rsidRDefault="00C7441A" w:rsidP="00A16E1C">
      <w:r w:rsidRPr="00A16E1C">
        <w:t>See 10 U.S.C. 2410(b) for limitations on Congressionally directed payment of a claim under 41 U.S.C. chapter 71 (Contract Disputes), a request for equitable adjustment to contract terms, or a request for relief under Pub. L. 85-804.</w:t>
      </w:r>
    </w:p>
    <w:p w14:paraId="6C838700" w14:textId="77777777" w:rsidR="00C7441A" w:rsidRDefault="00C7441A" w:rsidP="00A16E1C">
      <w:pPr>
        <w:pStyle w:val="Heading3"/>
      </w:pPr>
      <w:r>
        <w:br/>
      </w:r>
      <w:bookmarkStart w:id="20" w:name="_Toc37345908"/>
      <w:bookmarkStart w:id="21" w:name="_Toc37677470"/>
      <w:bookmarkStart w:id="22" w:name="_Toc37754389"/>
      <w:proofErr w:type="gramStart"/>
      <w:r w:rsidRPr="006B0E42">
        <w:t>233</w:t>
      </w:r>
      <w:r>
        <w:t>.</w:t>
      </w:r>
      <w:r w:rsidRPr="006B0E42">
        <w:t>210</w:t>
      </w:r>
      <w:r>
        <w:t xml:space="preserve">  </w:t>
      </w:r>
      <w:r w:rsidRPr="006B0E42">
        <w:t>Contracting</w:t>
      </w:r>
      <w:proofErr w:type="gramEnd"/>
      <w:r>
        <w:t xml:space="preserve"> </w:t>
      </w:r>
      <w:r w:rsidRPr="006B0E42">
        <w:t>officer's</w:t>
      </w:r>
      <w:r>
        <w:t xml:space="preserve"> </w:t>
      </w:r>
      <w:r w:rsidRPr="006B0E42">
        <w:t>authority</w:t>
      </w:r>
      <w:r>
        <w:t>.</w:t>
      </w:r>
      <w:bookmarkEnd w:id="20"/>
      <w:bookmarkEnd w:id="21"/>
      <w:bookmarkEnd w:id="22"/>
    </w:p>
    <w:p w14:paraId="0CDEF27B" w14:textId="77777777" w:rsidR="00C7441A" w:rsidRPr="00A16E1C" w:rsidRDefault="00C7441A" w:rsidP="00A16E1C">
      <w:r w:rsidRPr="00A16E1C">
        <w:t xml:space="preserve">See </w:t>
      </w:r>
      <w:hyperlink r:id="rId13" w:anchor="233.210" w:history="1">
        <w:r w:rsidRPr="00A16E1C">
          <w:rPr>
            <w:rStyle w:val="Hyperlink"/>
          </w:rPr>
          <w:t>PGI 233.210</w:t>
        </w:r>
      </w:hyperlink>
      <w:r w:rsidRPr="00A16E1C">
        <w:t xml:space="preserve"> for guidance on reviewing a contractor’s claim.</w:t>
      </w:r>
    </w:p>
    <w:p w14:paraId="60090650" w14:textId="77777777" w:rsidR="00C7441A" w:rsidRDefault="00C7441A" w:rsidP="00A16E1C">
      <w:pPr>
        <w:pStyle w:val="Heading3"/>
      </w:pPr>
      <w:r>
        <w:br/>
      </w:r>
      <w:bookmarkStart w:id="23" w:name="_Toc37345909"/>
      <w:bookmarkStart w:id="24" w:name="_Toc37677471"/>
      <w:bookmarkStart w:id="25" w:name="_Toc37754390"/>
      <w:proofErr w:type="gramStart"/>
      <w:r w:rsidRPr="006B0E42">
        <w:t>233</w:t>
      </w:r>
      <w:r>
        <w:t>.</w:t>
      </w:r>
      <w:r w:rsidRPr="006B0E42">
        <w:t>215</w:t>
      </w:r>
      <w:r>
        <w:t xml:space="preserve">  </w:t>
      </w:r>
      <w:r w:rsidRPr="006B0E42">
        <w:t>Contract</w:t>
      </w:r>
      <w:proofErr w:type="gramEnd"/>
      <w:r>
        <w:t xml:space="preserve"> </w:t>
      </w:r>
      <w:r w:rsidRPr="006B0E42">
        <w:t>clause</w:t>
      </w:r>
      <w:r>
        <w:t>.</w:t>
      </w:r>
      <w:bookmarkEnd w:id="23"/>
      <w:bookmarkEnd w:id="24"/>
      <w:bookmarkEnd w:id="25"/>
    </w:p>
    <w:p w14:paraId="55441CA7" w14:textId="77777777" w:rsidR="00C7441A" w:rsidRPr="00A16E1C" w:rsidRDefault="00C7441A" w:rsidP="00AF5D28">
      <w:r w:rsidRPr="00A16E1C">
        <w:t xml:space="preserve">Use </w:t>
      </w:r>
      <w:r w:rsidRPr="00AF5D28">
        <w:t>Alternate</w:t>
      </w:r>
      <w:r w:rsidRPr="00A16E1C">
        <w:t xml:space="preserve"> I of the clause at FAR 52.233-1, Disputes, when—</w:t>
      </w:r>
    </w:p>
    <w:p w14:paraId="310C1A98" w14:textId="77777777" w:rsidR="00C7441A" w:rsidRDefault="00C7441A" w:rsidP="00A16E1C">
      <w:pPr>
        <w:pStyle w:val="List2"/>
      </w:pPr>
      <w:r>
        <w:br/>
        <w:t>(1)  The acquisition is for—</w:t>
      </w:r>
    </w:p>
    <w:p w14:paraId="38651096" w14:textId="77777777" w:rsidR="00C7441A" w:rsidRDefault="00C7441A" w:rsidP="00A16E1C">
      <w:pPr>
        <w:pStyle w:val="List3"/>
      </w:pPr>
      <w:r>
        <w:br/>
        <w:t>(</w:t>
      </w:r>
      <w:proofErr w:type="spellStart"/>
      <w:r>
        <w:t>i</w:t>
      </w:r>
      <w:proofErr w:type="spellEnd"/>
      <w:r>
        <w:t>)  Aircraft</w:t>
      </w:r>
    </w:p>
    <w:p w14:paraId="183A1C64" w14:textId="77777777" w:rsidR="00C7441A" w:rsidRDefault="00C7441A" w:rsidP="00A16E1C">
      <w:pPr>
        <w:pStyle w:val="List3"/>
      </w:pPr>
      <w:r>
        <w:br/>
        <w:t>(ii)  Spacecraft and launch vehicles</w:t>
      </w:r>
    </w:p>
    <w:p w14:paraId="085FF043" w14:textId="77777777" w:rsidR="00C7441A" w:rsidRDefault="00C7441A" w:rsidP="00A16E1C">
      <w:pPr>
        <w:pStyle w:val="List3"/>
      </w:pPr>
      <w:r>
        <w:br/>
        <w:t>(iii)  Naval vessels</w:t>
      </w:r>
    </w:p>
    <w:p w14:paraId="6390FC33" w14:textId="77777777" w:rsidR="00C7441A" w:rsidRDefault="00C7441A" w:rsidP="00A16E1C">
      <w:pPr>
        <w:pStyle w:val="List3"/>
      </w:pPr>
      <w:r>
        <w:br/>
        <w:t>(iv)  Missile systems</w:t>
      </w:r>
    </w:p>
    <w:p w14:paraId="4C2823C4" w14:textId="77777777" w:rsidR="00C7441A" w:rsidRDefault="00C7441A" w:rsidP="00A16E1C">
      <w:pPr>
        <w:pStyle w:val="List3"/>
      </w:pPr>
      <w:r>
        <w:br/>
        <w:t>(v)  Tracked combat vehicles</w:t>
      </w:r>
    </w:p>
    <w:p w14:paraId="3AF0FDFB" w14:textId="77777777" w:rsidR="00C7441A" w:rsidRDefault="00C7441A" w:rsidP="00A16E1C">
      <w:pPr>
        <w:pStyle w:val="List3"/>
      </w:pPr>
      <w:r>
        <w:br/>
        <w:t xml:space="preserve">(vi)  Related electronic </w:t>
      </w:r>
      <w:proofErr w:type="gramStart"/>
      <w:r>
        <w:t>systems;</w:t>
      </w:r>
      <w:proofErr w:type="gramEnd"/>
    </w:p>
    <w:p w14:paraId="4A4C4F9D" w14:textId="77777777" w:rsidR="00C7441A" w:rsidRDefault="00C7441A" w:rsidP="00A16E1C">
      <w:pPr>
        <w:pStyle w:val="List2"/>
      </w:pPr>
      <w:r>
        <w:br/>
        <w:t>(2)  The contracting officer determines that continued performance is—</w:t>
      </w:r>
    </w:p>
    <w:p w14:paraId="6C97142C" w14:textId="77777777" w:rsidR="00C7441A" w:rsidRDefault="00C7441A" w:rsidP="00A16E1C">
      <w:pPr>
        <w:pStyle w:val="List3"/>
      </w:pPr>
      <w:r>
        <w:br/>
        <w:t>(</w:t>
      </w:r>
      <w:proofErr w:type="spellStart"/>
      <w:r>
        <w:t>i</w:t>
      </w:r>
      <w:proofErr w:type="spellEnd"/>
      <w:r>
        <w:t>)  Vital to the national security, or</w:t>
      </w:r>
    </w:p>
    <w:p w14:paraId="7AEDC987" w14:textId="77777777" w:rsidR="00C7441A" w:rsidRDefault="00C7441A" w:rsidP="00A16E1C">
      <w:pPr>
        <w:pStyle w:val="List3"/>
      </w:pPr>
      <w:r>
        <w:br/>
        <w:t>(ii)  Vital to the public health and welfare; or</w:t>
      </w:r>
    </w:p>
    <w:p w14:paraId="0F592F77" w14:textId="77777777" w:rsidR="00C7441A" w:rsidRDefault="00C7441A" w:rsidP="00A16E1C">
      <w:pPr>
        <w:pStyle w:val="List2"/>
      </w:pPr>
      <w:r>
        <w:br/>
        <w:t>(3)  The head of the contracting activity determines that continued performance is necessary pending resolution of any claim that might arise under or be related to the contract.</w:t>
      </w:r>
    </w:p>
    <w:p w14:paraId="6B7E9F9A" w14:textId="77777777" w:rsidR="00C7441A" w:rsidRDefault="00C7441A" w:rsidP="00A16E1C">
      <w:pPr>
        <w:pStyle w:val="Heading4"/>
      </w:pPr>
      <w:r>
        <w:br/>
      </w:r>
      <w:bookmarkStart w:id="26" w:name="_Toc37677472"/>
      <w:bookmarkStart w:id="27" w:name="_Toc37754391"/>
      <w:r w:rsidRPr="005D7402">
        <w:t>233</w:t>
      </w:r>
      <w:r>
        <w:t>.</w:t>
      </w:r>
      <w:r w:rsidRPr="005D7402">
        <w:t>215</w:t>
      </w:r>
      <w:r>
        <w:t>-</w:t>
      </w:r>
      <w:proofErr w:type="gramStart"/>
      <w:r w:rsidRPr="005D7402">
        <w:t>70</w:t>
      </w:r>
      <w:r>
        <w:t xml:space="preserve">  </w:t>
      </w:r>
      <w:r w:rsidRPr="005D7402">
        <w:t>Additional</w:t>
      </w:r>
      <w:proofErr w:type="gramEnd"/>
      <w:r>
        <w:t xml:space="preserve"> </w:t>
      </w:r>
      <w:r w:rsidRPr="005D7402">
        <w:t>contract</w:t>
      </w:r>
      <w:r>
        <w:t xml:space="preserve"> </w:t>
      </w:r>
      <w:r w:rsidRPr="005D7402">
        <w:t>clause</w:t>
      </w:r>
      <w:r>
        <w:t>.</w:t>
      </w:r>
      <w:bookmarkEnd w:id="26"/>
      <w:bookmarkEnd w:id="27"/>
    </w:p>
    <w:p w14:paraId="73BDB9B3" w14:textId="77777777" w:rsidR="00C7441A" w:rsidRPr="00A16E1C" w:rsidRDefault="00C7441A" w:rsidP="00A16E1C">
      <w:r w:rsidRPr="00A16E1C">
        <w:lastRenderedPageBreak/>
        <w:t xml:space="preserve">Use the clause at </w:t>
      </w:r>
      <w:hyperlink r:id="rId14" w:anchor="252.233-7001" w:history="1">
        <w:r w:rsidRPr="00A16E1C">
          <w:rPr>
            <w:rStyle w:val="Hyperlink"/>
          </w:rPr>
          <w:t>252.233-7001</w:t>
        </w:r>
      </w:hyperlink>
      <w:r w:rsidRPr="00A16E1C">
        <w:t>, Choice of Law (Overseas), in solicitations and contracts when contract performance will be outside the United States and its outlying areas, unless otherwise provided for in a government-to-government agreement.</w:t>
      </w:r>
    </w:p>
    <w:p w14:paraId="5089F173" w14:textId="77777777" w:rsidR="00C7441A" w:rsidRPr="00A16E1C" w:rsidRDefault="00C7441A" w:rsidP="00A16E1C">
      <w:r w:rsidRPr="00A16E1C">
        <w:br/>
      </w:r>
    </w:p>
    <w:p w14:paraId="5700B87F" w14:textId="77777777" w:rsidR="00850595" w:rsidRDefault="00850595"/>
    <w:sectPr w:rsidR="00850595" w:rsidSect="00740DF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FFF6E" w14:textId="77777777" w:rsidR="00962393" w:rsidRDefault="00962393">
      <w:pPr>
        <w:spacing w:after="0" w:line="240" w:lineRule="auto"/>
      </w:pPr>
      <w:r>
        <w:separator/>
      </w:r>
    </w:p>
  </w:endnote>
  <w:endnote w:type="continuationSeparator" w:id="0">
    <w:p w14:paraId="5E1DDE26" w14:textId="77777777" w:rsidR="00962393" w:rsidRDefault="00962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7155D" w14:textId="77777777" w:rsidR="003637EE" w:rsidRDefault="00962393">
    <w:pPr>
      <w:pStyle w:val="Footer"/>
      <w:rPr>
        <w:b/>
        <w:sz w:val="20"/>
      </w:rPr>
    </w:pPr>
  </w:p>
  <w:p w14:paraId="21BB343A" w14:textId="77777777" w:rsidR="003637EE" w:rsidRDefault="00962393">
    <w:pPr>
      <w:pStyle w:val="Footer"/>
      <w:rPr>
        <w:b/>
        <w:sz w:val="20"/>
      </w:rPr>
    </w:pPr>
  </w:p>
  <w:p w14:paraId="25CF6BB0" w14:textId="77777777" w:rsidR="003637EE" w:rsidRDefault="00C7441A">
    <w:pPr>
      <w:pStyle w:val="Footer"/>
      <w:pBdr>
        <w:top w:val="single" w:sz="6" w:space="1" w:color="auto"/>
      </w:pBdr>
      <w:tabs>
        <w:tab w:val="clear" w:pos="8640"/>
        <w:tab w:val="right" w:pos="9260"/>
      </w:tabs>
      <w:rPr>
        <w:sz w:val="20"/>
      </w:rPr>
    </w:pPr>
    <w:r>
      <w:rPr>
        <w:sz w:val="20"/>
      </w:rPr>
      <w:t>1998 EDITION</w:t>
    </w:r>
    <w:r>
      <w:rPr>
        <w:sz w:val="20"/>
      </w:rPr>
      <w:tab/>
    </w:r>
    <w:r>
      <w:rPr>
        <w:sz w:val="20"/>
      </w:rPr>
      <w:tab/>
      <w:t>233.1-</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9AD11" w14:textId="77777777" w:rsidR="00B05535" w:rsidRDefault="00962393">
    <w:pPr>
      <w:pStyle w:val="Footer"/>
      <w:rPr>
        <w:b/>
        <w:sz w:val="20"/>
      </w:rPr>
    </w:pPr>
  </w:p>
  <w:p w14:paraId="05310C5E" w14:textId="77777777" w:rsidR="00B05535" w:rsidRDefault="00962393">
    <w:pPr>
      <w:pStyle w:val="Footer"/>
      <w:rPr>
        <w:b/>
        <w:sz w:val="20"/>
      </w:rPr>
    </w:pPr>
  </w:p>
  <w:p w14:paraId="45B4258D" w14:textId="77777777" w:rsidR="00B05535" w:rsidRDefault="00C7441A">
    <w:pPr>
      <w:pStyle w:val="Footer"/>
      <w:pBdr>
        <w:top w:val="single" w:sz="6" w:space="1" w:color="auto"/>
      </w:pBdr>
      <w:tabs>
        <w:tab w:val="clear" w:pos="8640"/>
        <w:tab w:val="right" w:pos="9260"/>
      </w:tabs>
      <w:rPr>
        <w:sz w:val="20"/>
      </w:rPr>
    </w:pPr>
    <w:r>
      <w:rPr>
        <w:sz w:val="20"/>
      </w:rPr>
      <w:t>1998 EDITION</w:t>
    </w:r>
    <w:r>
      <w:rPr>
        <w:sz w:val="20"/>
      </w:rPr>
      <w:tab/>
    </w:r>
    <w:r>
      <w:rPr>
        <w:sz w:val="20"/>
      </w:rPr>
      <w:tab/>
      <w:t>233.2-</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C2463" w14:textId="77777777" w:rsidR="00962393" w:rsidRDefault="00962393">
      <w:pPr>
        <w:spacing w:after="0" w:line="240" w:lineRule="auto"/>
      </w:pPr>
      <w:r>
        <w:separator/>
      </w:r>
    </w:p>
  </w:footnote>
  <w:footnote w:type="continuationSeparator" w:id="0">
    <w:p w14:paraId="32064D67" w14:textId="77777777" w:rsidR="00962393" w:rsidRDefault="00962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926CB" w14:textId="77777777" w:rsidR="003637EE" w:rsidRDefault="00C7441A">
    <w:pPr>
      <w:pStyle w:val="Header"/>
      <w:tabs>
        <w:tab w:val="clear" w:pos="8640"/>
      </w:tabs>
      <w:jc w:val="center"/>
    </w:pPr>
    <w:r>
      <w:t>Defense Federal Acquisition Regulation Supplement</w:t>
    </w:r>
  </w:p>
  <w:p w14:paraId="4671FFF5" w14:textId="77777777" w:rsidR="003637EE" w:rsidRDefault="00962393">
    <w:pPr>
      <w:pStyle w:val="Header"/>
      <w:rPr>
        <w:b/>
        <w:sz w:val="20"/>
      </w:rPr>
    </w:pPr>
  </w:p>
  <w:p w14:paraId="1E7522B5" w14:textId="77777777" w:rsidR="003637EE" w:rsidRDefault="00C7441A">
    <w:pPr>
      <w:pStyle w:val="Header"/>
      <w:pBdr>
        <w:bottom w:val="single" w:sz="6" w:space="1" w:color="auto"/>
      </w:pBdr>
      <w:tabs>
        <w:tab w:val="clear" w:pos="8640"/>
        <w:tab w:val="right" w:pos="9260"/>
      </w:tabs>
      <w:spacing w:after="20"/>
      <w:rPr>
        <w:sz w:val="20"/>
      </w:rPr>
    </w:pPr>
    <w:r>
      <w:rPr>
        <w:sz w:val="20"/>
      </w:rPr>
      <w:t>Part 233—Protests, Disputes, and Appeals</w:t>
    </w:r>
  </w:p>
  <w:p w14:paraId="0EC12CB5" w14:textId="77777777" w:rsidR="003637EE" w:rsidRDefault="00962393">
    <w:pPr>
      <w:pStyle w:val="Header"/>
      <w:tabs>
        <w:tab w:val="clear" w:pos="8640"/>
        <w:tab w:val="right" w:pos="9260"/>
      </w:tabs>
      <w:spacing w:before="20" w:line="20" w:lineRule="exact"/>
      <w:rPr>
        <w:b/>
        <w:position w:val="6"/>
        <w:sz w:val="20"/>
      </w:rPr>
    </w:pPr>
  </w:p>
  <w:p w14:paraId="23DCE303" w14:textId="77777777" w:rsidR="003637EE" w:rsidRDefault="00962393">
    <w:pPr>
      <w:pStyle w:val="Header"/>
      <w:tabs>
        <w:tab w:val="clear" w:pos="8640"/>
        <w:tab w:val="right" w:pos="9260"/>
      </w:tabs>
      <w:rPr>
        <w:b/>
        <w:sz w:val="20"/>
      </w:rPr>
    </w:pPr>
  </w:p>
  <w:p w14:paraId="6BFDB9F6" w14:textId="77777777" w:rsidR="003637EE" w:rsidRDefault="00962393">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7DD84" w14:textId="77777777" w:rsidR="00B05535" w:rsidRDefault="00C7441A">
    <w:pPr>
      <w:pStyle w:val="Header"/>
      <w:tabs>
        <w:tab w:val="clear" w:pos="8640"/>
      </w:tabs>
      <w:jc w:val="center"/>
    </w:pPr>
    <w:r>
      <w:t>Defense Federal Acquisition Regulation Supplement</w:t>
    </w:r>
  </w:p>
  <w:p w14:paraId="6A19F56E" w14:textId="77777777" w:rsidR="00B05535" w:rsidRDefault="00962393">
    <w:pPr>
      <w:pStyle w:val="Header"/>
      <w:rPr>
        <w:b/>
        <w:sz w:val="20"/>
      </w:rPr>
    </w:pPr>
  </w:p>
  <w:p w14:paraId="00E96D22" w14:textId="77777777" w:rsidR="00B05535" w:rsidRDefault="00C7441A">
    <w:pPr>
      <w:pStyle w:val="Header"/>
      <w:pBdr>
        <w:bottom w:val="single" w:sz="6" w:space="1" w:color="auto"/>
      </w:pBdr>
      <w:tabs>
        <w:tab w:val="clear" w:pos="8640"/>
        <w:tab w:val="right" w:pos="9260"/>
      </w:tabs>
      <w:spacing w:after="20"/>
      <w:rPr>
        <w:sz w:val="20"/>
      </w:rPr>
    </w:pPr>
    <w:r>
      <w:rPr>
        <w:sz w:val="20"/>
      </w:rPr>
      <w:t>Part 233—Protests, Disputes, and Appeals</w:t>
    </w:r>
  </w:p>
  <w:p w14:paraId="160C619C" w14:textId="77777777" w:rsidR="00B05535" w:rsidRDefault="00962393">
    <w:pPr>
      <w:pStyle w:val="Header"/>
      <w:tabs>
        <w:tab w:val="clear" w:pos="8640"/>
        <w:tab w:val="right" w:pos="9260"/>
      </w:tabs>
      <w:spacing w:before="20" w:line="20" w:lineRule="exact"/>
      <w:rPr>
        <w:b/>
        <w:position w:val="6"/>
        <w:sz w:val="20"/>
      </w:rPr>
    </w:pPr>
  </w:p>
  <w:p w14:paraId="7409503F" w14:textId="77777777" w:rsidR="00B05535" w:rsidRDefault="00962393">
    <w:pPr>
      <w:pStyle w:val="Header"/>
      <w:tabs>
        <w:tab w:val="clear" w:pos="8640"/>
        <w:tab w:val="right" w:pos="9260"/>
      </w:tabs>
      <w:rPr>
        <w:b/>
        <w:sz w:val="20"/>
      </w:rPr>
    </w:pPr>
  </w:p>
  <w:p w14:paraId="24587D88" w14:textId="77777777" w:rsidR="00B05535" w:rsidRDefault="00962393">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E43A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D644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95281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A806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44B0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AB0F6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5EBF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C8C5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CED6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3464D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1A"/>
    <w:rsid w:val="000E6797"/>
    <w:rsid w:val="00100C3D"/>
    <w:rsid w:val="00505901"/>
    <w:rsid w:val="00790BED"/>
    <w:rsid w:val="007D6208"/>
    <w:rsid w:val="00850595"/>
    <w:rsid w:val="00962393"/>
    <w:rsid w:val="00AF5D28"/>
    <w:rsid w:val="00B8095C"/>
    <w:rsid w:val="00BF48DE"/>
    <w:rsid w:val="00C722BD"/>
    <w:rsid w:val="00C7441A"/>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8EF5"/>
  <w15:chartTrackingRefBased/>
  <w15:docId w15:val="{E0FBC614-CB0B-471F-BA61-ABD08A8B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8"/>
    <w:rPr>
      <w:rFonts w:ascii="Century Schoolbook" w:hAnsi="Century Schoolbook"/>
    </w:rPr>
  </w:style>
  <w:style w:type="paragraph" w:styleId="Heading1">
    <w:name w:val="heading 1"/>
    <w:basedOn w:val="Normal"/>
    <w:link w:val="Heading1Char"/>
    <w:uiPriority w:val="9"/>
    <w:qFormat/>
    <w:rsid w:val="00C7441A"/>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C7441A"/>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C7441A"/>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C7441A"/>
    <w:pPr>
      <w:overflowPunct w:val="0"/>
      <w:autoSpaceDE w:val="0"/>
      <w:autoSpaceDN w:val="0"/>
      <w:adjustRightInd w:val="0"/>
      <w:spacing w:after="0" w:line="240" w:lineRule="auto"/>
      <w:textAlignment w:val="baseline"/>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41A"/>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C7441A"/>
    <w:rPr>
      <w:rFonts w:ascii="Century Schoolbook" w:eastAsiaTheme="majorEastAsia" w:hAnsi="Century Schoolbook" w:cstheme="majorBidi"/>
      <w:b/>
      <w:bCs/>
      <w:iCs/>
      <w:sz w:val="28"/>
      <w:szCs w:val="28"/>
    </w:rPr>
  </w:style>
  <w:style w:type="character" w:customStyle="1" w:styleId="Heading3Char">
    <w:name w:val="Heading 3 Char"/>
    <w:basedOn w:val="DefaultParagraphFont"/>
    <w:link w:val="Heading3"/>
    <w:rsid w:val="00C7441A"/>
    <w:rPr>
      <w:rFonts w:ascii="Century Schoolbook" w:eastAsia="Times New Roman" w:hAnsi="Century Schoolbook" w:cs="Times New Roman"/>
      <w:b/>
      <w:sz w:val="24"/>
      <w:szCs w:val="20"/>
    </w:rPr>
  </w:style>
  <w:style w:type="paragraph" w:styleId="Footer">
    <w:name w:val="footer"/>
    <w:basedOn w:val="Normal"/>
    <w:link w:val="FooterChar"/>
    <w:rsid w:val="00C7441A"/>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uiPriority w:val="99"/>
    <w:rsid w:val="00C7441A"/>
    <w:rPr>
      <w:rFonts w:ascii="Century Schoolbook" w:eastAsia="Times New Roman" w:hAnsi="Century Schoolbook" w:cs="Times New Roman"/>
      <w:szCs w:val="20"/>
    </w:rPr>
  </w:style>
  <w:style w:type="paragraph" w:styleId="Header">
    <w:name w:val="header"/>
    <w:basedOn w:val="Normal"/>
    <w:link w:val="HeaderChar"/>
    <w:semiHidden/>
    <w:rsid w:val="00C7441A"/>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semiHidden/>
    <w:rsid w:val="00C7441A"/>
    <w:rPr>
      <w:rFonts w:ascii="Century Schoolbook" w:eastAsia="Times New Roman" w:hAnsi="Century Schoolbook" w:cs="Times New Roman"/>
      <w:szCs w:val="20"/>
    </w:rPr>
  </w:style>
  <w:style w:type="character" w:styleId="Hyperlink">
    <w:name w:val="Hyperlink"/>
    <w:uiPriority w:val="99"/>
    <w:unhideWhenUsed/>
    <w:rsid w:val="00C7441A"/>
    <w:rPr>
      <w:color w:val="0000FF"/>
      <w:u w:val="single"/>
    </w:rPr>
  </w:style>
  <w:style w:type="character" w:customStyle="1" w:styleId="Heading4Char">
    <w:name w:val="Heading 4 Char"/>
    <w:basedOn w:val="DefaultParagraphFont"/>
    <w:link w:val="Heading4"/>
    <w:rsid w:val="00C7441A"/>
    <w:rPr>
      <w:rFonts w:ascii="Century Schoolbook" w:eastAsia="Times New Roman" w:hAnsi="Century Schoolbook" w:cs="Times New Roman"/>
      <w:b/>
      <w:sz w:val="24"/>
      <w:szCs w:val="20"/>
    </w:rPr>
  </w:style>
  <w:style w:type="paragraph" w:styleId="List2">
    <w:name w:val="List 2"/>
    <w:uiPriority w:val="99"/>
    <w:semiHidden/>
    <w:unhideWhenUsed/>
    <w:rsid w:val="00C7441A"/>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uiPriority w:val="99"/>
    <w:semiHidden/>
    <w:unhideWhenUsed/>
    <w:rsid w:val="00C7441A"/>
    <w:pPr>
      <w:spacing w:after="0" w:line="240" w:lineRule="auto"/>
      <w:ind w:left="1080" w:hanging="360"/>
      <w:contextualSpacing/>
    </w:pPr>
    <w:rPr>
      <w:rFonts w:ascii="Century Schoolbook" w:eastAsia="Times New Roman" w:hAnsi="Century Schoolbook" w:cs="Times New Roman"/>
      <w:szCs w:val="20"/>
    </w:rPr>
  </w:style>
  <w:style w:type="character" w:customStyle="1" w:styleId="List3Char">
    <w:name w:val="List 3 Char"/>
    <w:basedOn w:val="DefaultParagraphFont"/>
    <w:link w:val="List3"/>
    <w:uiPriority w:val="99"/>
    <w:semiHidden/>
    <w:rsid w:val="00C7441A"/>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C7441A"/>
    <w:pPr>
      <w:spacing w:after="100"/>
    </w:pPr>
    <w:rPr>
      <w:rFonts w:cs="Arial"/>
    </w:rPr>
  </w:style>
  <w:style w:type="paragraph" w:styleId="TOC2">
    <w:name w:val="toc 2"/>
    <w:basedOn w:val="Normal"/>
    <w:next w:val="Normal"/>
    <w:autoRedefine/>
    <w:uiPriority w:val="39"/>
    <w:unhideWhenUsed/>
    <w:rsid w:val="00C7441A"/>
    <w:pPr>
      <w:spacing w:after="100"/>
      <w:ind w:left="220"/>
    </w:pPr>
  </w:style>
  <w:style w:type="paragraph" w:styleId="TOC3">
    <w:name w:val="toc 3"/>
    <w:basedOn w:val="Normal"/>
    <w:next w:val="Normal"/>
    <w:autoRedefine/>
    <w:uiPriority w:val="39"/>
    <w:unhideWhenUsed/>
    <w:rsid w:val="00C7441A"/>
    <w:pPr>
      <w:spacing w:after="100"/>
      <w:ind w:left="440"/>
    </w:pPr>
  </w:style>
  <w:style w:type="paragraph" w:styleId="TOC4">
    <w:name w:val="toc 4"/>
    <w:basedOn w:val="Normal"/>
    <w:next w:val="Normal"/>
    <w:autoRedefine/>
    <w:uiPriority w:val="39"/>
    <w:unhideWhenUsed/>
    <w:rsid w:val="00C7441A"/>
    <w:pPr>
      <w:spacing w:after="100"/>
      <w:ind w:left="660"/>
    </w:pPr>
  </w:style>
  <w:style w:type="paragraph" w:styleId="TOC5">
    <w:name w:val="toc 5"/>
    <w:basedOn w:val="Normal"/>
    <w:next w:val="Normal"/>
    <w:autoRedefine/>
    <w:uiPriority w:val="39"/>
    <w:semiHidden/>
    <w:unhideWhenUsed/>
    <w:rsid w:val="00C7441A"/>
    <w:pPr>
      <w:spacing w:after="100"/>
      <w:ind w:left="880"/>
    </w:pPr>
  </w:style>
  <w:style w:type="paragraph" w:styleId="TOC6">
    <w:name w:val="toc 6"/>
    <w:basedOn w:val="Normal"/>
    <w:next w:val="Normal"/>
    <w:autoRedefine/>
    <w:uiPriority w:val="39"/>
    <w:semiHidden/>
    <w:unhideWhenUsed/>
    <w:rsid w:val="00C7441A"/>
    <w:pPr>
      <w:spacing w:after="100"/>
      <w:ind w:left="1100"/>
    </w:pPr>
  </w:style>
  <w:style w:type="paragraph" w:styleId="TOC7">
    <w:name w:val="toc 7"/>
    <w:basedOn w:val="Normal"/>
    <w:next w:val="Normal"/>
    <w:autoRedefine/>
    <w:uiPriority w:val="39"/>
    <w:semiHidden/>
    <w:unhideWhenUsed/>
    <w:rsid w:val="00C7441A"/>
    <w:pPr>
      <w:spacing w:after="100"/>
      <w:ind w:left="1320"/>
    </w:pPr>
  </w:style>
  <w:style w:type="paragraph" w:styleId="TOC8">
    <w:name w:val="toc 8"/>
    <w:basedOn w:val="Normal"/>
    <w:next w:val="Normal"/>
    <w:autoRedefine/>
    <w:uiPriority w:val="39"/>
    <w:semiHidden/>
    <w:unhideWhenUsed/>
    <w:rsid w:val="00C7441A"/>
    <w:pPr>
      <w:spacing w:after="100"/>
      <w:ind w:left="1540"/>
    </w:pPr>
  </w:style>
  <w:style w:type="paragraph" w:styleId="TOC9">
    <w:name w:val="toc 9"/>
    <w:basedOn w:val="Normal"/>
    <w:next w:val="Normal"/>
    <w:autoRedefine/>
    <w:uiPriority w:val="39"/>
    <w:semiHidden/>
    <w:unhideWhenUsed/>
    <w:rsid w:val="00C7441A"/>
    <w:pPr>
      <w:spacing w:after="100"/>
      <w:ind w:left="1760"/>
    </w:pPr>
  </w:style>
  <w:style w:type="paragraph" w:styleId="List">
    <w:name w:val="List"/>
    <w:basedOn w:val="Normal"/>
    <w:link w:val="ListChar"/>
    <w:uiPriority w:val="99"/>
    <w:unhideWhenUsed/>
    <w:rsid w:val="00AF5D28"/>
    <w:pPr>
      <w:ind w:left="360" w:hanging="360"/>
      <w:contextualSpacing/>
    </w:pPr>
  </w:style>
  <w:style w:type="paragraph" w:customStyle="1" w:styleId="List1">
    <w:name w:val="List 1"/>
    <w:basedOn w:val="List2"/>
    <w:link w:val="List1Char"/>
    <w:autoRedefine/>
    <w:rsid w:val="00C722BD"/>
    <w:pPr>
      <w:ind w:left="0" w:firstLine="0"/>
    </w:pPr>
  </w:style>
  <w:style w:type="character" w:customStyle="1" w:styleId="ListChar">
    <w:name w:val="List Char"/>
    <w:basedOn w:val="DefaultParagraphFont"/>
    <w:link w:val="List"/>
    <w:uiPriority w:val="99"/>
    <w:rsid w:val="00C722BD"/>
  </w:style>
  <w:style w:type="character" w:customStyle="1" w:styleId="List1Char">
    <w:name w:val="List 1 Char"/>
    <w:basedOn w:val="ListChar"/>
    <w:link w:val="List1"/>
    <w:rsid w:val="00C722BD"/>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dfars/html/current/239_73.htm" TargetMode="External"/><Relationship Id="rId13" Type="http://schemas.openxmlformats.org/officeDocument/2006/relationships/hyperlink" Target="http://www.acq.osd.mil/dpap/dars/pgi/pgi_htm/PGI233_2.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cq.osd.mil/dpap/dars/dfars/html/current/239_73.htm" TargetMode="Externa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acq.osd.mil/dpap/dars/pgi/pgi_htm/PGI233_1.htm" TargetMode="External"/><Relationship Id="rId4" Type="http://schemas.openxmlformats.org/officeDocument/2006/relationships/webSettings" Target="webSettings.xml"/><Relationship Id="rId9" Type="http://schemas.openxmlformats.org/officeDocument/2006/relationships/hyperlink" Target="http://www.acq.osd.mil/dpap/dars/pgi/pgi_htm/PGI233_1.htm" TargetMode="External"/><Relationship Id="rId14" Type="http://schemas.openxmlformats.org/officeDocument/2006/relationships/hyperlink" Target="http://www.acq.osd.mil/dpap/dars/dfars/html/current/25223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2020-04-09T21:23:00Z</dcterms:created>
  <dcterms:modified xsi:type="dcterms:W3CDTF">2020-04-14T14:59:00Z</dcterms:modified>
</cp:coreProperties>
</file>