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44E1B" w14:textId="77777777" w:rsidR="00B62036" w:rsidRDefault="00B62036">
      <w:pPr>
        <w:sectPr w:rsidR="00B62036">
          <w:pgSz w:w="12240" w:h="15840"/>
          <w:pgMar w:top="1440" w:right="1440" w:bottom="1440" w:left="1440" w:header="720" w:footer="720" w:gutter="0"/>
          <w:cols w:space="720"/>
          <w:docGrid w:linePitch="360"/>
        </w:sectPr>
      </w:pPr>
    </w:p>
    <w:p w14:paraId="1E953E46" w14:textId="77777777" w:rsidR="00B62036" w:rsidRDefault="00B62036" w:rsidP="002E74B2">
      <w:pPr>
        <w:pStyle w:val="Heading1"/>
      </w:pPr>
      <w:bookmarkStart w:id="0" w:name="_Toc37677473"/>
      <w:bookmarkStart w:id="1" w:name="_Toc37754337"/>
      <w:r w:rsidRPr="007B495C">
        <w:lastRenderedPageBreak/>
        <w:t>PART 2</w:t>
      </w:r>
      <w:r>
        <w:t>34</w:t>
      </w:r>
      <w:r w:rsidRPr="007B495C">
        <w:t xml:space="preserve"> - </w:t>
      </w:r>
      <w:r>
        <w:br/>
      </w:r>
      <w:r w:rsidRPr="003A6429">
        <w:t>Major System Acquisition</w:t>
      </w:r>
      <w:bookmarkEnd w:id="0"/>
      <w:bookmarkEnd w:id="1"/>
      <w:r w:rsidRPr="003A6429">
        <w:tab/>
      </w:r>
    </w:p>
    <w:p w14:paraId="5E82BC73" w14:textId="77777777" w:rsidR="00B62036" w:rsidRDefault="00B62036">
      <w:r>
        <w:br w:type="page"/>
      </w:r>
      <w:r>
        <w:lastRenderedPageBreak/>
        <w:br/>
      </w:r>
    </w:p>
    <w:p w14:paraId="58846A62" w14:textId="77777777" w:rsidR="00541A8B" w:rsidRDefault="00541A8B" w:rsidP="00B62036">
      <w:pPr>
        <w:jc w:val="center"/>
        <w:rPr>
          <w:rFonts w:ascii="Arial" w:hAnsi="Arial" w:cs="Arial"/>
          <w:b/>
        </w:rPr>
      </w:pPr>
      <w:r>
        <w:rPr>
          <w:rFonts w:ascii="Arial" w:hAnsi="Arial" w:cs="Arial"/>
          <w:b/>
        </w:rPr>
        <w:t>Table of Contents</w:t>
      </w:r>
    </w:p>
    <w:p w14:paraId="3EA70658" w14:textId="268AF843" w:rsidR="00C8402D" w:rsidRDefault="00C8402D" w:rsidP="00C8402D">
      <w:pPr>
        <w:pStyle w:val="TOC1"/>
        <w:tabs>
          <w:tab w:val="right" w:leader="dot" w:pos="9350"/>
        </w:tabs>
        <w:rPr>
          <w:rFonts w:asciiTheme="minorHAnsi" w:eastAsiaTheme="minorEastAsia" w:hAnsiTheme="minorHAnsi" w:cstheme="minorBidi"/>
          <w:noProof/>
        </w:rPr>
      </w:pPr>
      <w:r>
        <w:rPr>
          <w:rStyle w:val="Hyperlink"/>
          <w:noProof/>
        </w:rPr>
        <w:fldChar w:fldCharType="begin"/>
      </w:r>
      <w:r>
        <w:rPr>
          <w:rStyle w:val="Hyperlink"/>
          <w:noProof/>
        </w:rPr>
        <w:instrText xml:space="preserve"> TOC \o "1-4" \n \h \z \u </w:instrText>
      </w:r>
      <w:r>
        <w:rPr>
          <w:rStyle w:val="Hyperlink"/>
          <w:noProof/>
        </w:rPr>
        <w:fldChar w:fldCharType="separate"/>
      </w:r>
      <w:hyperlink w:anchor="_Toc37754337" w:history="1">
        <w:r w:rsidRPr="00C6202C">
          <w:rPr>
            <w:rStyle w:val="Hyperlink"/>
            <w:noProof/>
          </w:rPr>
          <w:t>PART 234 -  Major System Acquisition</w:t>
        </w:r>
      </w:hyperlink>
    </w:p>
    <w:p w14:paraId="28AB3C9B" w14:textId="37A019DD" w:rsidR="00C8402D" w:rsidRDefault="00C8402D" w:rsidP="00C8402D">
      <w:pPr>
        <w:pStyle w:val="TOC3"/>
        <w:tabs>
          <w:tab w:val="right" w:leader="dot" w:pos="9350"/>
        </w:tabs>
        <w:rPr>
          <w:rFonts w:asciiTheme="minorHAnsi" w:eastAsiaTheme="minorEastAsia" w:hAnsiTheme="minorHAnsi"/>
          <w:noProof/>
        </w:rPr>
      </w:pPr>
      <w:hyperlink w:anchor="_Toc37754338" w:history="1">
        <w:r w:rsidRPr="00C6202C">
          <w:rPr>
            <w:rStyle w:val="Hyperlink"/>
            <w:noProof/>
          </w:rPr>
          <w:t>234.001  Definition.</w:t>
        </w:r>
      </w:hyperlink>
    </w:p>
    <w:p w14:paraId="4C40C998" w14:textId="5427B183" w:rsidR="00C8402D" w:rsidRDefault="00C8402D" w:rsidP="00C8402D">
      <w:pPr>
        <w:pStyle w:val="TOC3"/>
        <w:tabs>
          <w:tab w:val="right" w:leader="dot" w:pos="9350"/>
        </w:tabs>
        <w:rPr>
          <w:rFonts w:asciiTheme="minorHAnsi" w:eastAsiaTheme="minorEastAsia" w:hAnsiTheme="minorHAnsi"/>
          <w:noProof/>
        </w:rPr>
      </w:pPr>
      <w:hyperlink w:anchor="_Toc37754339" w:history="1">
        <w:r w:rsidRPr="00C6202C">
          <w:rPr>
            <w:rStyle w:val="Hyperlink"/>
            <w:noProof/>
          </w:rPr>
          <w:t>234.003  Responsibilities.</w:t>
        </w:r>
      </w:hyperlink>
    </w:p>
    <w:p w14:paraId="6C82AA67" w14:textId="381714BA" w:rsidR="00C8402D" w:rsidRDefault="00C8402D" w:rsidP="00C8402D">
      <w:pPr>
        <w:pStyle w:val="TOC3"/>
        <w:tabs>
          <w:tab w:val="right" w:leader="dot" w:pos="9350"/>
        </w:tabs>
        <w:rPr>
          <w:rFonts w:asciiTheme="minorHAnsi" w:eastAsiaTheme="minorEastAsia" w:hAnsiTheme="minorHAnsi"/>
          <w:noProof/>
        </w:rPr>
      </w:pPr>
      <w:hyperlink w:anchor="_Toc37754340" w:history="1">
        <w:r w:rsidRPr="00C6202C">
          <w:rPr>
            <w:rStyle w:val="Hyperlink"/>
            <w:rFonts w:cs="Courier New"/>
            <w:noProof/>
          </w:rPr>
          <w:t>234.004  Acquisition strategy.</w:t>
        </w:r>
      </w:hyperlink>
    </w:p>
    <w:p w14:paraId="6BD0179E" w14:textId="059C472C" w:rsidR="00C8402D" w:rsidRDefault="00C8402D" w:rsidP="00C8402D">
      <w:pPr>
        <w:pStyle w:val="TOC3"/>
        <w:tabs>
          <w:tab w:val="right" w:leader="dot" w:pos="9350"/>
        </w:tabs>
        <w:rPr>
          <w:rFonts w:asciiTheme="minorHAnsi" w:eastAsiaTheme="minorEastAsia" w:hAnsiTheme="minorHAnsi"/>
          <w:noProof/>
        </w:rPr>
      </w:pPr>
      <w:hyperlink w:anchor="_Toc37754341" w:history="1">
        <w:r w:rsidRPr="00C6202C">
          <w:rPr>
            <w:rStyle w:val="Hyperlink"/>
            <w:rFonts w:cs="Courier New"/>
            <w:noProof/>
          </w:rPr>
          <w:t>234.005  General requirements.</w:t>
        </w:r>
      </w:hyperlink>
    </w:p>
    <w:p w14:paraId="2926FF50" w14:textId="0F531F30" w:rsidR="00C8402D" w:rsidRDefault="00C8402D" w:rsidP="00C8402D">
      <w:pPr>
        <w:pStyle w:val="TOC4"/>
        <w:tabs>
          <w:tab w:val="right" w:leader="dot" w:pos="9350"/>
        </w:tabs>
        <w:rPr>
          <w:rFonts w:asciiTheme="minorHAnsi" w:eastAsiaTheme="minorEastAsia" w:hAnsiTheme="minorHAnsi"/>
          <w:noProof/>
        </w:rPr>
      </w:pPr>
      <w:hyperlink w:anchor="_Toc37754342" w:history="1">
        <w:r w:rsidRPr="00C6202C">
          <w:rPr>
            <w:rStyle w:val="Hyperlink"/>
            <w:noProof/>
          </w:rPr>
          <w:t>234.005-1  Competition.</w:t>
        </w:r>
      </w:hyperlink>
    </w:p>
    <w:p w14:paraId="581D5DBA" w14:textId="6F6D4AE3" w:rsidR="00C8402D" w:rsidRDefault="00C8402D" w:rsidP="00C8402D">
      <w:pPr>
        <w:pStyle w:val="TOC4"/>
        <w:tabs>
          <w:tab w:val="right" w:leader="dot" w:pos="9350"/>
        </w:tabs>
        <w:rPr>
          <w:rFonts w:asciiTheme="minorHAnsi" w:eastAsiaTheme="minorEastAsia" w:hAnsiTheme="minorHAnsi"/>
          <w:noProof/>
        </w:rPr>
      </w:pPr>
      <w:hyperlink w:anchor="_Toc37754343" w:history="1">
        <w:r w:rsidRPr="00C6202C">
          <w:rPr>
            <w:rStyle w:val="Hyperlink"/>
            <w:rFonts w:cs="Courier New"/>
            <w:noProof/>
          </w:rPr>
          <w:t>234.005-2  Mission-oriented solicitation.</w:t>
        </w:r>
      </w:hyperlink>
    </w:p>
    <w:p w14:paraId="79A19537" w14:textId="58CB30CB" w:rsidR="00C8402D" w:rsidRDefault="00C8402D" w:rsidP="00C8402D">
      <w:pPr>
        <w:pStyle w:val="TOC2"/>
        <w:tabs>
          <w:tab w:val="right" w:leader="dot" w:pos="9350"/>
        </w:tabs>
        <w:rPr>
          <w:rFonts w:asciiTheme="minorHAnsi" w:eastAsiaTheme="minorEastAsia" w:hAnsiTheme="minorHAnsi"/>
          <w:noProof/>
        </w:rPr>
      </w:pPr>
      <w:hyperlink w:anchor="_Toc37754344" w:history="1">
        <w:r w:rsidRPr="00C6202C">
          <w:rPr>
            <w:rStyle w:val="Hyperlink"/>
            <w:caps/>
            <w:noProof/>
          </w:rPr>
          <w:t>SUBPART 234.2—EARNED VALUE MANAGEMENT SYSTEM</w:t>
        </w:r>
      </w:hyperlink>
    </w:p>
    <w:p w14:paraId="46E6475B" w14:textId="6F6874CB" w:rsidR="00C8402D" w:rsidRDefault="00C8402D" w:rsidP="00C8402D">
      <w:pPr>
        <w:pStyle w:val="TOC3"/>
        <w:tabs>
          <w:tab w:val="right" w:leader="dot" w:pos="9350"/>
        </w:tabs>
        <w:rPr>
          <w:rFonts w:asciiTheme="minorHAnsi" w:eastAsiaTheme="minorEastAsia" w:hAnsiTheme="minorHAnsi"/>
          <w:noProof/>
        </w:rPr>
      </w:pPr>
      <w:hyperlink w:anchor="_Toc37754345" w:history="1">
        <w:r w:rsidRPr="00C6202C">
          <w:rPr>
            <w:rStyle w:val="Hyperlink"/>
            <w:rFonts w:cs="Courier New"/>
            <w:noProof/>
          </w:rPr>
          <w:t>234.201  Policy.</w:t>
        </w:r>
      </w:hyperlink>
    </w:p>
    <w:p w14:paraId="0B4C48F3" w14:textId="0AA07BB8" w:rsidR="00C8402D" w:rsidRDefault="00C8402D" w:rsidP="00C8402D">
      <w:pPr>
        <w:pStyle w:val="TOC3"/>
        <w:tabs>
          <w:tab w:val="right" w:leader="dot" w:pos="9350"/>
        </w:tabs>
        <w:rPr>
          <w:rFonts w:asciiTheme="minorHAnsi" w:eastAsiaTheme="minorEastAsia" w:hAnsiTheme="minorHAnsi"/>
          <w:noProof/>
        </w:rPr>
      </w:pPr>
      <w:hyperlink w:anchor="_Toc37754346" w:history="1">
        <w:r w:rsidRPr="00C6202C">
          <w:rPr>
            <w:rStyle w:val="Hyperlink"/>
            <w:rFonts w:cs="Courier New"/>
            <w:noProof/>
          </w:rPr>
          <w:t>234.203  Solicitation provisions and contract clause.</w:t>
        </w:r>
      </w:hyperlink>
    </w:p>
    <w:p w14:paraId="0897526B" w14:textId="0D4CA12D" w:rsidR="00C8402D" w:rsidRDefault="00C8402D" w:rsidP="00C8402D">
      <w:pPr>
        <w:pStyle w:val="TOC2"/>
        <w:tabs>
          <w:tab w:val="right" w:leader="dot" w:pos="9350"/>
        </w:tabs>
        <w:rPr>
          <w:rFonts w:asciiTheme="minorHAnsi" w:eastAsiaTheme="minorEastAsia" w:hAnsiTheme="minorHAnsi"/>
          <w:noProof/>
        </w:rPr>
      </w:pPr>
      <w:hyperlink w:anchor="_Toc37754347" w:history="1">
        <w:r w:rsidRPr="00C6202C">
          <w:rPr>
            <w:rStyle w:val="Hyperlink"/>
            <w:caps/>
            <w:noProof/>
          </w:rPr>
          <w:t>SUBPART 234.70—ACQUISITION OF MAJOR WEAPON SYSTEMS AS COMMERCIAL ITEMS</w:t>
        </w:r>
      </w:hyperlink>
    </w:p>
    <w:p w14:paraId="304198EE" w14:textId="78E430FB" w:rsidR="00C8402D" w:rsidRDefault="00C8402D" w:rsidP="00C8402D">
      <w:pPr>
        <w:pStyle w:val="TOC3"/>
        <w:tabs>
          <w:tab w:val="right" w:leader="dot" w:pos="9350"/>
        </w:tabs>
        <w:rPr>
          <w:rFonts w:asciiTheme="minorHAnsi" w:eastAsiaTheme="minorEastAsia" w:hAnsiTheme="minorHAnsi"/>
          <w:noProof/>
        </w:rPr>
      </w:pPr>
      <w:hyperlink w:anchor="_Toc37754348" w:history="1">
        <w:r w:rsidRPr="00C6202C">
          <w:rPr>
            <w:rStyle w:val="Hyperlink"/>
            <w:noProof/>
          </w:rPr>
          <w:t>234.7000  Scope of subpart.</w:t>
        </w:r>
      </w:hyperlink>
    </w:p>
    <w:p w14:paraId="5F94B5EE" w14:textId="33EA6F54" w:rsidR="00C8402D" w:rsidRDefault="00C8402D" w:rsidP="00C8402D">
      <w:pPr>
        <w:pStyle w:val="TOC3"/>
        <w:tabs>
          <w:tab w:val="right" w:leader="dot" w:pos="9350"/>
        </w:tabs>
        <w:rPr>
          <w:rFonts w:asciiTheme="minorHAnsi" w:eastAsiaTheme="minorEastAsia" w:hAnsiTheme="minorHAnsi"/>
          <w:noProof/>
        </w:rPr>
      </w:pPr>
      <w:hyperlink w:anchor="_Toc37754349" w:history="1">
        <w:r w:rsidRPr="00C6202C">
          <w:rPr>
            <w:rStyle w:val="Hyperlink"/>
            <w:noProof/>
          </w:rPr>
          <w:t>234.7001  Definition.</w:t>
        </w:r>
      </w:hyperlink>
    </w:p>
    <w:p w14:paraId="671452A3" w14:textId="611EF5B0" w:rsidR="00C8402D" w:rsidRDefault="00C8402D" w:rsidP="00C8402D">
      <w:pPr>
        <w:pStyle w:val="TOC3"/>
        <w:tabs>
          <w:tab w:val="right" w:leader="dot" w:pos="9350"/>
        </w:tabs>
        <w:rPr>
          <w:rFonts w:asciiTheme="minorHAnsi" w:eastAsiaTheme="minorEastAsia" w:hAnsiTheme="minorHAnsi"/>
          <w:noProof/>
        </w:rPr>
      </w:pPr>
      <w:hyperlink w:anchor="_Toc37754350" w:history="1">
        <w:r w:rsidRPr="00C6202C">
          <w:rPr>
            <w:rStyle w:val="Hyperlink"/>
            <w:noProof/>
          </w:rPr>
          <w:t>234.7002  Policy.</w:t>
        </w:r>
      </w:hyperlink>
    </w:p>
    <w:p w14:paraId="11B315A1" w14:textId="338E04C4" w:rsidR="00C8402D" w:rsidRDefault="00C8402D" w:rsidP="00C8402D">
      <w:pPr>
        <w:pStyle w:val="TOC2"/>
        <w:tabs>
          <w:tab w:val="right" w:leader="dot" w:pos="9350"/>
        </w:tabs>
        <w:rPr>
          <w:rFonts w:asciiTheme="minorHAnsi" w:eastAsiaTheme="minorEastAsia" w:hAnsiTheme="minorHAnsi"/>
          <w:noProof/>
        </w:rPr>
      </w:pPr>
      <w:hyperlink w:anchor="_Toc37754351" w:history="1">
        <w:r w:rsidRPr="00C6202C">
          <w:rPr>
            <w:rStyle w:val="Hyperlink"/>
            <w:caps/>
            <w:noProof/>
          </w:rPr>
          <w:t>SUBPART 234.71—COST AND SOFTWARE DATA REPORTING</w:t>
        </w:r>
      </w:hyperlink>
    </w:p>
    <w:p w14:paraId="1E516FDF" w14:textId="0B9B6454" w:rsidR="00C8402D" w:rsidRDefault="00C8402D" w:rsidP="00C8402D">
      <w:pPr>
        <w:pStyle w:val="TOC3"/>
        <w:tabs>
          <w:tab w:val="right" w:leader="dot" w:pos="9350"/>
        </w:tabs>
        <w:rPr>
          <w:rFonts w:asciiTheme="minorHAnsi" w:eastAsiaTheme="minorEastAsia" w:hAnsiTheme="minorHAnsi"/>
          <w:noProof/>
        </w:rPr>
      </w:pPr>
      <w:hyperlink w:anchor="_Toc37754352" w:history="1">
        <w:r w:rsidRPr="00C6202C">
          <w:rPr>
            <w:rStyle w:val="Hyperlink"/>
            <w:noProof/>
          </w:rPr>
          <w:t>234.7100  Policy.</w:t>
        </w:r>
      </w:hyperlink>
    </w:p>
    <w:p w14:paraId="353D8233" w14:textId="27DF95FF" w:rsidR="00C8402D" w:rsidRDefault="00C8402D" w:rsidP="00C8402D">
      <w:pPr>
        <w:pStyle w:val="TOC3"/>
        <w:tabs>
          <w:tab w:val="right" w:leader="dot" w:pos="9350"/>
        </w:tabs>
        <w:rPr>
          <w:rFonts w:asciiTheme="minorHAnsi" w:eastAsiaTheme="minorEastAsia" w:hAnsiTheme="minorHAnsi"/>
          <w:noProof/>
        </w:rPr>
      </w:pPr>
      <w:hyperlink w:anchor="_Toc37754353" w:history="1">
        <w:r w:rsidRPr="00C6202C">
          <w:rPr>
            <w:rStyle w:val="Hyperlink"/>
            <w:noProof/>
          </w:rPr>
          <w:t xml:space="preserve">234.7101  </w:t>
        </w:r>
        <w:r w:rsidRPr="00C6202C">
          <w:rPr>
            <w:rStyle w:val="Hyperlink"/>
            <w:rFonts w:cs="Courier New"/>
            <w:bCs/>
            <w:noProof/>
          </w:rPr>
          <w:t>Solicitation provision and contract clause.</w:t>
        </w:r>
      </w:hyperlink>
    </w:p>
    <w:p w14:paraId="1C0DBCE0" w14:textId="13B89D3F" w:rsidR="00B62036" w:rsidRPr="00B62036" w:rsidRDefault="00C8402D" w:rsidP="00B62036">
      <w:pPr>
        <w:jc w:val="center"/>
        <w:rPr>
          <w:rFonts w:ascii="Arial" w:hAnsi="Arial" w:cs="Arial"/>
          <w:b/>
        </w:rPr>
      </w:pPr>
      <w:r>
        <w:rPr>
          <w:rStyle w:val="Hyperlink"/>
          <w:noProof/>
        </w:rPr>
        <w:fldChar w:fldCharType="end"/>
      </w:r>
    </w:p>
    <w:p w14:paraId="56138FE0" w14:textId="77777777" w:rsidR="00B62036" w:rsidRPr="00A837E1" w:rsidRDefault="00B62036" w:rsidP="006823C8">
      <w:pPr>
        <w:jc w:val="center"/>
      </w:pPr>
      <w:bookmarkStart w:id="2" w:name="BM234_0"/>
      <w:r w:rsidRPr="00A837E1">
        <w:rPr>
          <w:i/>
        </w:rPr>
        <w:t>(Revised November 27, 2019)</w:t>
      </w:r>
    </w:p>
    <w:p w14:paraId="47836E8C" w14:textId="77777777" w:rsidR="00B62036" w:rsidRPr="00BF53AD" w:rsidRDefault="00B62036" w:rsidP="00A837E1">
      <w:pPr>
        <w:pStyle w:val="Heading3"/>
      </w:pPr>
      <w:r>
        <w:rPr>
          <w:i/>
        </w:rPr>
        <w:br/>
      </w:r>
      <w:bookmarkStart w:id="3" w:name="_Toc37345910"/>
      <w:bookmarkStart w:id="4" w:name="_Toc37677474"/>
      <w:bookmarkStart w:id="5" w:name="_Toc37754338"/>
      <w:proofErr w:type="gramStart"/>
      <w:r w:rsidRPr="009A084C">
        <w:t>234</w:t>
      </w:r>
      <w:r>
        <w:t>.</w:t>
      </w:r>
      <w:r w:rsidRPr="009A084C">
        <w:t>001</w:t>
      </w:r>
      <w:r>
        <w:t xml:space="preserve">  </w:t>
      </w:r>
      <w:r w:rsidRPr="009A084C">
        <w:t>Definition</w:t>
      </w:r>
      <w:proofErr w:type="gramEnd"/>
      <w:r>
        <w:t>.</w:t>
      </w:r>
      <w:bookmarkEnd w:id="3"/>
      <w:bookmarkEnd w:id="4"/>
      <w:bookmarkEnd w:id="5"/>
    </w:p>
    <w:p w14:paraId="1834D976" w14:textId="77777777" w:rsidR="00B62036" w:rsidRPr="00A837E1" w:rsidRDefault="00B62036" w:rsidP="00A837E1">
      <w:r w:rsidRPr="00A837E1">
        <w:t>As used in this subpart—</w:t>
      </w:r>
    </w:p>
    <w:p w14:paraId="3E874D39" w14:textId="77777777" w:rsidR="00B62036" w:rsidRPr="00A837E1" w:rsidRDefault="00B62036" w:rsidP="00A837E1">
      <w:r w:rsidRPr="00A837E1">
        <w:br/>
        <w:t xml:space="preserve">“Acceptable earned value management system” and “earned value management system” are defined in the clause at </w:t>
      </w:r>
      <w:hyperlink r:id="rId6" w:anchor="252.234-7002" w:history="1">
        <w:r w:rsidRPr="00A837E1">
          <w:rPr>
            <w:rStyle w:val="Hyperlink"/>
          </w:rPr>
          <w:t>252.234-7002</w:t>
        </w:r>
      </w:hyperlink>
      <w:r w:rsidRPr="00A837E1">
        <w:t>, Earned Value Management System.</w:t>
      </w:r>
    </w:p>
    <w:p w14:paraId="67AA56E0" w14:textId="77777777" w:rsidR="00B62036" w:rsidRPr="00A837E1" w:rsidRDefault="00B62036" w:rsidP="00A837E1">
      <w:r w:rsidRPr="00A837E1">
        <w:br/>
        <w:t xml:space="preserve">“Production of major defense acquisition program” means the production and deployment of a major system that is intended to achieve an operational capability that satisfies mission </w:t>
      </w:r>
      <w:r w:rsidRPr="00A837E1">
        <w:lastRenderedPageBreak/>
        <w:t>needs, or an activity otherwise defined as Milestone C under Department of Defense Instruction 5000.02 or related authorities.</w:t>
      </w:r>
    </w:p>
    <w:p w14:paraId="0CD3C10B" w14:textId="77777777" w:rsidR="00B62036" w:rsidRPr="00A837E1" w:rsidRDefault="00B62036" w:rsidP="00A837E1">
      <w:r w:rsidRPr="00A837E1">
        <w:br/>
        <w:t xml:space="preserve">“Significant deficiency” is defined in the clause at </w:t>
      </w:r>
      <w:hyperlink r:id="rId7" w:anchor="252.234-7002" w:history="1">
        <w:r w:rsidRPr="00A837E1">
          <w:rPr>
            <w:rStyle w:val="Hyperlink"/>
          </w:rPr>
          <w:t>252.234-7002</w:t>
        </w:r>
      </w:hyperlink>
      <w:r w:rsidRPr="00A837E1">
        <w:t>, Earned Value Management System, and is synonymous with “noncompliance.”</w:t>
      </w:r>
    </w:p>
    <w:p w14:paraId="32A18B87" w14:textId="77777777" w:rsidR="00B62036" w:rsidRPr="00567253" w:rsidRDefault="00B62036" w:rsidP="00A837E1">
      <w:pPr>
        <w:pStyle w:val="Heading3"/>
      </w:pPr>
      <w:r>
        <w:br/>
      </w:r>
      <w:bookmarkStart w:id="6" w:name="_Toc37345911"/>
      <w:bookmarkStart w:id="7" w:name="_Toc37677475"/>
      <w:bookmarkStart w:id="8" w:name="_Toc37754339"/>
      <w:proofErr w:type="gramStart"/>
      <w:r w:rsidRPr="009A084C">
        <w:t>234</w:t>
      </w:r>
      <w:r w:rsidRPr="00567253">
        <w:t>.</w:t>
      </w:r>
      <w:r w:rsidRPr="009A084C">
        <w:t>003</w:t>
      </w:r>
      <w:r w:rsidRPr="00567253">
        <w:t xml:space="preserve">  </w:t>
      </w:r>
      <w:r w:rsidRPr="009A084C">
        <w:t>Responsibilities</w:t>
      </w:r>
      <w:proofErr w:type="gramEnd"/>
      <w:r w:rsidRPr="00567253">
        <w:t>.</w:t>
      </w:r>
      <w:bookmarkEnd w:id="6"/>
      <w:bookmarkEnd w:id="7"/>
      <w:bookmarkEnd w:id="8"/>
    </w:p>
    <w:p w14:paraId="7A728D49" w14:textId="77777777" w:rsidR="00B62036" w:rsidRPr="00A837E1" w:rsidRDefault="00B62036" w:rsidP="00A837E1">
      <w:proofErr w:type="spellStart"/>
      <w:r w:rsidRPr="00A837E1">
        <w:t>DoDD</w:t>
      </w:r>
      <w:proofErr w:type="spellEnd"/>
      <w:r w:rsidRPr="00A837E1">
        <w:t xml:space="preserve"> 5000.01, The Defense Acquisition System, and </w:t>
      </w:r>
      <w:proofErr w:type="spellStart"/>
      <w:r w:rsidRPr="00A837E1">
        <w:t>DoDI</w:t>
      </w:r>
      <w:proofErr w:type="spellEnd"/>
      <w:r w:rsidRPr="00A837E1">
        <w:t xml:space="preserve"> 5000.02, Operation of the Defense Acquisition System, contain the DoD implementation of OMB Circular A-109 and OMB Circular A-11.</w:t>
      </w:r>
    </w:p>
    <w:p w14:paraId="17A32228" w14:textId="77777777" w:rsidR="00B62036" w:rsidRDefault="00B62036" w:rsidP="00A837E1">
      <w:pPr>
        <w:pStyle w:val="Heading3"/>
      </w:pPr>
      <w:r>
        <w:br/>
      </w:r>
      <w:bookmarkStart w:id="9" w:name="_Toc37345912"/>
      <w:bookmarkStart w:id="10" w:name="_Toc37677476"/>
      <w:bookmarkStart w:id="11" w:name="_Toc37754340"/>
      <w:proofErr w:type="gramStart"/>
      <w:r w:rsidRPr="009A084C">
        <w:rPr>
          <w:rFonts w:cs="Courier New"/>
        </w:rPr>
        <w:t>234</w:t>
      </w:r>
      <w:r w:rsidRPr="00567253">
        <w:rPr>
          <w:rFonts w:cs="Courier New"/>
        </w:rPr>
        <w:t>.</w:t>
      </w:r>
      <w:r w:rsidRPr="009A084C">
        <w:rPr>
          <w:rFonts w:cs="Courier New"/>
        </w:rPr>
        <w:t>004</w:t>
      </w:r>
      <w:r w:rsidRPr="00567253">
        <w:rPr>
          <w:rFonts w:cs="Courier New"/>
        </w:rPr>
        <w:t xml:space="preserve">  </w:t>
      </w:r>
      <w:r w:rsidRPr="009A084C">
        <w:rPr>
          <w:rFonts w:cs="Courier New"/>
        </w:rPr>
        <w:t>Acquisition</w:t>
      </w:r>
      <w:proofErr w:type="gramEnd"/>
      <w:r w:rsidRPr="00567253">
        <w:rPr>
          <w:rFonts w:cs="Courier New"/>
        </w:rPr>
        <w:t xml:space="preserve"> </w:t>
      </w:r>
      <w:r w:rsidRPr="009A084C">
        <w:rPr>
          <w:rFonts w:cs="Courier New"/>
        </w:rPr>
        <w:t>strategy</w:t>
      </w:r>
      <w:r w:rsidRPr="00567253">
        <w:rPr>
          <w:rFonts w:cs="Courier New"/>
        </w:rPr>
        <w:t>.</w:t>
      </w:r>
      <w:bookmarkEnd w:id="9"/>
      <w:bookmarkEnd w:id="10"/>
      <w:bookmarkEnd w:id="11"/>
    </w:p>
    <w:p w14:paraId="68621D17" w14:textId="77777777" w:rsidR="00B62036" w:rsidRDefault="00B62036" w:rsidP="00A837E1">
      <w:pPr>
        <w:pStyle w:val="List2"/>
      </w:pPr>
      <w:r>
        <w:rPr>
          <w:rFonts w:cs="Courier New"/>
          <w:b/>
        </w:rPr>
        <w:br/>
      </w:r>
      <w:r w:rsidRPr="00567253">
        <w:rPr>
          <w:rFonts w:cs="Courier New"/>
        </w:rPr>
        <w:t xml:space="preserve">(1)  See </w:t>
      </w:r>
      <w:hyperlink r:id="rId8" w:anchor="209.570" w:history="1">
        <w:r w:rsidRPr="00473AC1">
          <w:rPr>
            <w:rStyle w:val="Hyperlink"/>
            <w:rFonts w:cs="Courier New"/>
          </w:rPr>
          <w:t>209.570</w:t>
        </w:r>
      </w:hyperlink>
      <w:r w:rsidRPr="00567253">
        <w:rPr>
          <w:rFonts w:cs="Courier New"/>
        </w:rPr>
        <w:t xml:space="preserve"> for policy applicable to acquisition strategies that consider the use of lead system integrators.</w:t>
      </w:r>
    </w:p>
    <w:p w14:paraId="1702DCEA" w14:textId="77777777" w:rsidR="00B62036" w:rsidRDefault="00B62036" w:rsidP="00A837E1">
      <w:pPr>
        <w:pStyle w:val="List2"/>
      </w:pPr>
      <w:r>
        <w:rPr>
          <w:rFonts w:cs="Courier New"/>
        </w:rPr>
        <w:br/>
      </w:r>
      <w:r w:rsidRPr="00567253">
        <w:rPr>
          <w:rFonts w:cs="Courier New"/>
        </w:rPr>
        <w:t xml:space="preserve">(2)  </w:t>
      </w:r>
      <w:r w:rsidRPr="000A19C5">
        <w:rPr>
          <w:rFonts w:cs="Courier New"/>
          <w:i/>
        </w:rPr>
        <w:t>Contract type</w:t>
      </w:r>
      <w:r>
        <w:rPr>
          <w:rFonts w:cs="Courier New"/>
        </w:rPr>
        <w:t>.</w:t>
      </w:r>
    </w:p>
    <w:p w14:paraId="63E1C383" w14:textId="77777777" w:rsidR="00B62036" w:rsidRDefault="00B62036" w:rsidP="00A837E1">
      <w:pPr>
        <w:pStyle w:val="List3"/>
      </w:pPr>
      <w:r>
        <w:rPr>
          <w:rFonts w:cs="Courier New"/>
          <w:szCs w:val="24"/>
        </w:rPr>
        <w:br/>
        <w:t>(</w:t>
      </w:r>
      <w:proofErr w:type="spellStart"/>
      <w:r>
        <w:rPr>
          <w:rFonts w:cs="Courier New"/>
          <w:szCs w:val="24"/>
        </w:rPr>
        <w:t>i</w:t>
      </w:r>
      <w:proofErr w:type="spellEnd"/>
      <w:r>
        <w:rPr>
          <w:rFonts w:cs="Courier New"/>
          <w:szCs w:val="24"/>
        </w:rPr>
        <w:t xml:space="preserve">)  </w:t>
      </w:r>
      <w:r w:rsidRPr="00567253">
        <w:rPr>
          <w:rFonts w:cs="Courier New"/>
          <w:szCs w:val="24"/>
        </w:rPr>
        <w:t xml:space="preserve">In accordance with </w:t>
      </w:r>
      <w:r>
        <w:rPr>
          <w:rFonts w:cs="Courier New"/>
          <w:szCs w:val="24"/>
        </w:rPr>
        <w:t>s</w:t>
      </w:r>
      <w:r w:rsidRPr="00567253">
        <w:rPr>
          <w:rFonts w:cs="Courier New"/>
          <w:szCs w:val="24"/>
        </w:rPr>
        <w:t>ection 818 of the National Defense Authorization Act for Fiscal Year 2007 (Pub. L. 109-364), for major defense acquisition programs</w:t>
      </w:r>
      <w:r>
        <w:rPr>
          <w:rFonts w:cs="Courier New"/>
          <w:szCs w:val="24"/>
        </w:rPr>
        <w:t xml:space="preserve"> at Milestone B</w:t>
      </w:r>
      <w:r w:rsidRPr="00567253">
        <w:rPr>
          <w:rFonts w:cs="Courier New"/>
          <w:szCs w:val="24"/>
        </w:rPr>
        <w:t>—</w:t>
      </w:r>
    </w:p>
    <w:p w14:paraId="671675DE" w14:textId="77777777" w:rsidR="00B62036" w:rsidRPr="00A837E1" w:rsidRDefault="00B62036" w:rsidP="00CE216A">
      <w:pPr>
        <w:pStyle w:val="List4"/>
      </w:pPr>
      <w:r>
        <w:rPr>
          <w:rFonts w:cs="Courier New"/>
          <w:szCs w:val="24"/>
        </w:rPr>
        <w:br/>
      </w:r>
      <w:r w:rsidRPr="00567253">
        <w:rPr>
          <w:rFonts w:cs="Courier New"/>
          <w:szCs w:val="24"/>
        </w:rPr>
        <w:t>(</w:t>
      </w:r>
      <w:r>
        <w:rPr>
          <w:rFonts w:cs="Courier New"/>
          <w:szCs w:val="24"/>
        </w:rPr>
        <w:t>A</w:t>
      </w:r>
      <w:r w:rsidRPr="00567253">
        <w:rPr>
          <w:rFonts w:cs="Courier New"/>
          <w:szCs w:val="24"/>
        </w:rPr>
        <w:t xml:space="preserve">)  The </w:t>
      </w:r>
      <w:r>
        <w:rPr>
          <w:rFonts w:cs="Courier New"/>
          <w:szCs w:val="24"/>
        </w:rPr>
        <w:t>m</w:t>
      </w:r>
      <w:r w:rsidRPr="00567253">
        <w:rPr>
          <w:rFonts w:cs="Courier New"/>
          <w:szCs w:val="24"/>
        </w:rPr>
        <w:t xml:space="preserve">ilestone </w:t>
      </w:r>
      <w:r>
        <w:rPr>
          <w:rFonts w:cs="Courier New"/>
          <w:szCs w:val="24"/>
        </w:rPr>
        <w:t>d</w:t>
      </w:r>
      <w:r w:rsidRPr="00567253">
        <w:rPr>
          <w:rFonts w:cs="Courier New"/>
          <w:szCs w:val="24"/>
        </w:rPr>
        <w:t xml:space="preserve">ecision </w:t>
      </w:r>
      <w:r>
        <w:rPr>
          <w:rFonts w:cs="Courier New"/>
          <w:szCs w:val="24"/>
        </w:rPr>
        <w:t>a</w:t>
      </w:r>
      <w:r w:rsidRPr="00567253">
        <w:rPr>
          <w:rFonts w:cs="Courier New"/>
          <w:szCs w:val="24"/>
        </w:rPr>
        <w:t xml:space="preserve">uthority shall select, with the advice of the contracting officer, the contract type for a development program at the time of Milestone </w:t>
      </w:r>
      <w:r w:rsidRPr="00A837E1">
        <w:rPr>
          <w:rFonts w:cs="Courier New"/>
          <w:szCs w:val="24"/>
        </w:rPr>
        <w:t xml:space="preserve">B approval or, in the case of a space program, Key Decision Point B </w:t>
      </w:r>
      <w:proofErr w:type="gramStart"/>
      <w:r w:rsidRPr="00A837E1">
        <w:rPr>
          <w:rFonts w:cs="Courier New"/>
          <w:szCs w:val="24"/>
        </w:rPr>
        <w:t>approval;</w:t>
      </w:r>
      <w:proofErr w:type="gramEnd"/>
    </w:p>
    <w:p w14:paraId="63B4BA76" w14:textId="77777777" w:rsidR="00B62036" w:rsidRDefault="00B62036" w:rsidP="00A837E1">
      <w:pPr>
        <w:pStyle w:val="List4"/>
      </w:pPr>
      <w:r>
        <w:rPr>
          <w:rFonts w:cs="Courier New"/>
          <w:szCs w:val="24"/>
        </w:rPr>
        <w:br/>
      </w:r>
      <w:r w:rsidRPr="00567253">
        <w:rPr>
          <w:rFonts w:cs="Courier New"/>
          <w:szCs w:val="24"/>
        </w:rPr>
        <w:t>(</w:t>
      </w:r>
      <w:r>
        <w:rPr>
          <w:rFonts w:cs="Courier New"/>
          <w:szCs w:val="24"/>
        </w:rPr>
        <w:t>B</w:t>
      </w:r>
      <w:r w:rsidRPr="00567253">
        <w:rPr>
          <w:rFonts w:cs="Courier New"/>
          <w:szCs w:val="24"/>
        </w:rPr>
        <w:t>)  The basis for the contract type selection shall be documented in the acquisition strategy.  The documentation—</w:t>
      </w:r>
    </w:p>
    <w:p w14:paraId="27622187" w14:textId="77777777" w:rsidR="00B62036" w:rsidRDefault="00B62036" w:rsidP="00A837E1">
      <w:pPr>
        <w:pStyle w:val="List2"/>
      </w:pPr>
      <w:r>
        <w:rPr>
          <w:szCs w:val="24"/>
        </w:rPr>
        <w:br/>
      </w:r>
      <w:r w:rsidRPr="00567253">
        <w:rPr>
          <w:szCs w:val="24"/>
        </w:rPr>
        <w:t>(</w:t>
      </w:r>
      <w:r w:rsidRPr="000A19C5">
        <w:rPr>
          <w:i/>
          <w:szCs w:val="24"/>
        </w:rPr>
        <w:t>1</w:t>
      </w:r>
      <w:r w:rsidRPr="00567253">
        <w:rPr>
          <w:szCs w:val="24"/>
        </w:rPr>
        <w:t>)  Shall include an explanation of the level of program risk; and</w:t>
      </w:r>
    </w:p>
    <w:p w14:paraId="7AACF7A7" w14:textId="77777777" w:rsidR="00B62036" w:rsidRDefault="00B62036" w:rsidP="00A837E1">
      <w:pPr>
        <w:pStyle w:val="List2"/>
      </w:pPr>
      <w:r>
        <w:rPr>
          <w:szCs w:val="24"/>
        </w:rPr>
        <w:br/>
      </w:r>
      <w:r w:rsidRPr="00567253">
        <w:rPr>
          <w:szCs w:val="24"/>
        </w:rPr>
        <w:t>(</w:t>
      </w:r>
      <w:r w:rsidRPr="000A19C5">
        <w:rPr>
          <w:i/>
          <w:szCs w:val="24"/>
        </w:rPr>
        <w:t>2</w:t>
      </w:r>
      <w:r w:rsidRPr="00567253">
        <w:rPr>
          <w:szCs w:val="24"/>
        </w:rPr>
        <w:t>)  If program risk is determined to be high, shall outline the steps taken to reduce program risk and the reasons for proceeding with Milestone B approval despite the high level of program risk; and</w:t>
      </w:r>
    </w:p>
    <w:p w14:paraId="58A5CA09" w14:textId="77777777" w:rsidR="00B62036" w:rsidRDefault="00B62036" w:rsidP="00A837E1">
      <w:pPr>
        <w:pStyle w:val="List4"/>
      </w:pPr>
      <w:r>
        <w:rPr>
          <w:rFonts w:cs="Courier New"/>
          <w:szCs w:val="24"/>
        </w:rPr>
        <w:br/>
      </w:r>
      <w:r w:rsidRPr="00567253">
        <w:rPr>
          <w:rFonts w:cs="Courier New"/>
          <w:szCs w:val="24"/>
        </w:rPr>
        <w:t>(</w:t>
      </w:r>
      <w:r>
        <w:rPr>
          <w:rFonts w:cs="Courier New"/>
          <w:szCs w:val="24"/>
        </w:rPr>
        <w:t>C</w:t>
      </w:r>
      <w:r w:rsidRPr="00567253">
        <w:rPr>
          <w:rFonts w:cs="Courier New"/>
          <w:szCs w:val="24"/>
        </w:rPr>
        <w:t>)  If a cost-</w:t>
      </w:r>
      <w:r>
        <w:rPr>
          <w:rFonts w:cs="Courier New"/>
          <w:szCs w:val="24"/>
        </w:rPr>
        <w:t xml:space="preserve">reimbursement type </w:t>
      </w:r>
      <w:r w:rsidRPr="00567253">
        <w:rPr>
          <w:rFonts w:cs="Courier New"/>
          <w:szCs w:val="24"/>
        </w:rPr>
        <w:t xml:space="preserve">contract is selected, the contract file shall include the </w:t>
      </w:r>
      <w:r>
        <w:rPr>
          <w:rFonts w:cs="Courier New"/>
          <w:szCs w:val="24"/>
        </w:rPr>
        <w:t>m</w:t>
      </w:r>
      <w:r w:rsidRPr="00567253">
        <w:rPr>
          <w:rFonts w:cs="Courier New"/>
          <w:szCs w:val="24"/>
        </w:rPr>
        <w:t xml:space="preserve">ilestone </w:t>
      </w:r>
      <w:r>
        <w:rPr>
          <w:rFonts w:cs="Courier New"/>
          <w:szCs w:val="24"/>
        </w:rPr>
        <w:t>d</w:t>
      </w:r>
      <w:r w:rsidRPr="00567253">
        <w:rPr>
          <w:rFonts w:cs="Courier New"/>
          <w:szCs w:val="24"/>
        </w:rPr>
        <w:t xml:space="preserve">ecision </w:t>
      </w:r>
      <w:r>
        <w:rPr>
          <w:rFonts w:cs="Courier New"/>
          <w:szCs w:val="24"/>
        </w:rPr>
        <w:t>a</w:t>
      </w:r>
      <w:r w:rsidRPr="00567253">
        <w:rPr>
          <w:rFonts w:cs="Courier New"/>
          <w:szCs w:val="24"/>
        </w:rPr>
        <w:t>uthority’s written determination that—</w:t>
      </w:r>
    </w:p>
    <w:p w14:paraId="6B44AB96" w14:textId="77777777" w:rsidR="00B62036" w:rsidRDefault="00B62036" w:rsidP="00A837E1">
      <w:pPr>
        <w:pStyle w:val="List2"/>
      </w:pPr>
      <w:r>
        <w:rPr>
          <w:szCs w:val="24"/>
        </w:rPr>
        <w:br/>
      </w:r>
      <w:r w:rsidRPr="00567253">
        <w:rPr>
          <w:szCs w:val="24"/>
        </w:rPr>
        <w:t>(</w:t>
      </w:r>
      <w:r w:rsidRPr="00CF6B42">
        <w:rPr>
          <w:i/>
          <w:szCs w:val="24"/>
        </w:rPr>
        <w:t>1</w:t>
      </w:r>
      <w:r w:rsidRPr="00567253">
        <w:rPr>
          <w:szCs w:val="24"/>
        </w:rPr>
        <w:t>)  The program is so complex and technically challenging that it would not be practicable to reduce program risk to a level that would permit the use of a fixed-price type contract; and</w:t>
      </w:r>
    </w:p>
    <w:p w14:paraId="44777E0C" w14:textId="77777777" w:rsidR="00B62036" w:rsidRDefault="00B62036" w:rsidP="00A837E1">
      <w:pPr>
        <w:pStyle w:val="List2"/>
      </w:pPr>
      <w:r>
        <w:rPr>
          <w:szCs w:val="24"/>
        </w:rPr>
        <w:lastRenderedPageBreak/>
        <w:br/>
      </w:r>
      <w:r w:rsidRPr="00567253">
        <w:rPr>
          <w:szCs w:val="24"/>
        </w:rPr>
        <w:t>(</w:t>
      </w:r>
      <w:r w:rsidRPr="00CF6B42">
        <w:rPr>
          <w:i/>
          <w:szCs w:val="24"/>
        </w:rPr>
        <w:t>2</w:t>
      </w:r>
      <w:r w:rsidRPr="00567253">
        <w:rPr>
          <w:szCs w:val="24"/>
        </w:rPr>
        <w:t>)  The complexity and technical challenge of the program is not the result of a failure to meet the requirements of 10 U.S.C. 2366a.</w:t>
      </w:r>
    </w:p>
    <w:p w14:paraId="372B6335" w14:textId="77777777" w:rsidR="00B62036" w:rsidRPr="00A837E1" w:rsidRDefault="00B62036" w:rsidP="005B3493">
      <w:pPr>
        <w:pStyle w:val="List3"/>
      </w:pPr>
      <w:r>
        <w:rPr>
          <w:rFonts w:cs="Courier New"/>
          <w:szCs w:val="24"/>
        </w:rPr>
        <w:br/>
      </w:r>
      <w:r w:rsidRPr="00CF6B42">
        <w:rPr>
          <w:rFonts w:cs="Courier New"/>
        </w:rPr>
        <w:t xml:space="preserve">(ii)  In accordance with section 811 of the National Defense Authorization Act for </w:t>
      </w:r>
      <w:r w:rsidRPr="00A837E1">
        <w:rPr>
          <w:rFonts w:cs="Courier New"/>
        </w:rPr>
        <w:t>Fiscal Year 2013 (Pub. L. 112-239), the contracting officer shall—</w:t>
      </w:r>
    </w:p>
    <w:p w14:paraId="1689C1B9" w14:textId="77777777" w:rsidR="00B62036" w:rsidRDefault="00B62036" w:rsidP="00A837E1">
      <w:pPr>
        <w:pStyle w:val="List4"/>
      </w:pPr>
      <w:r>
        <w:rPr>
          <w:rFonts w:cs="Courier New"/>
        </w:rPr>
        <w:br/>
      </w:r>
      <w:r w:rsidRPr="00CF6B42">
        <w:rPr>
          <w:rFonts w:cs="Courier New"/>
        </w:rPr>
        <w:t xml:space="preserve">(A)  </w:t>
      </w:r>
      <w:r w:rsidRPr="00B35EB4">
        <w:rPr>
          <w:rFonts w:cs="Courier New"/>
          <w:szCs w:val="24"/>
        </w:rPr>
        <w:t xml:space="preserve">Not use cost-reimbursement line items for the acquisition of production </w:t>
      </w:r>
      <w:r w:rsidRPr="008B4EAC">
        <w:rPr>
          <w:rFonts w:cs="Courier New"/>
          <w:szCs w:val="24"/>
        </w:rPr>
        <w:t>of major defense acquisition programs, unless the Under Secretary of Defense for Acquisition and Sustainment (USDA&amp;S)), or the milestone decision authority when the milestone decision authority is the service acquisition executive of the military department that is managing the program, submits to the</w:t>
      </w:r>
      <w:r w:rsidRPr="00B35EB4">
        <w:rPr>
          <w:rFonts w:cs="Courier New"/>
          <w:szCs w:val="24"/>
        </w:rPr>
        <w:t xml:space="preserve"> congressional defense committees—</w:t>
      </w:r>
    </w:p>
    <w:p w14:paraId="3DD9850A" w14:textId="77777777" w:rsidR="00B62036" w:rsidRDefault="00B62036" w:rsidP="00A837E1">
      <w:pPr>
        <w:pStyle w:val="List2"/>
      </w:pPr>
      <w:r>
        <w:rPr>
          <w:szCs w:val="24"/>
        </w:rPr>
        <w:br/>
      </w:r>
      <w:r w:rsidRPr="00CF6B42">
        <w:t>(</w:t>
      </w:r>
      <w:r w:rsidRPr="00CF6B42">
        <w:rPr>
          <w:i/>
        </w:rPr>
        <w:t>1</w:t>
      </w:r>
      <w:r w:rsidRPr="00CF6B42">
        <w:t xml:space="preserve">)  A written certification that the particular cost-reimbursement line </w:t>
      </w:r>
      <w:r>
        <w:t>items</w:t>
      </w:r>
      <w:r w:rsidRPr="00CF6B42">
        <w:t xml:space="preserve"> are needed to provide a required capability in a timely and </w:t>
      </w:r>
      <w:proofErr w:type="gramStart"/>
      <w:r w:rsidRPr="00CF6B42">
        <w:t>cost effective</w:t>
      </w:r>
      <w:proofErr w:type="gramEnd"/>
      <w:r w:rsidRPr="00CF6B42">
        <w:t xml:space="preserve"> manner; and</w:t>
      </w:r>
    </w:p>
    <w:p w14:paraId="5CD19843" w14:textId="77777777" w:rsidR="00B62036" w:rsidRDefault="00B62036" w:rsidP="00A837E1">
      <w:pPr>
        <w:pStyle w:val="List2"/>
      </w:pPr>
      <w:r>
        <w:br/>
      </w:r>
      <w:r w:rsidRPr="00CF6B42">
        <w:t>(</w:t>
      </w:r>
      <w:r w:rsidRPr="00CF6B42">
        <w:rPr>
          <w:i/>
        </w:rPr>
        <w:t>2</w:t>
      </w:r>
      <w:r w:rsidRPr="00CF6B42">
        <w:t>)  An explanation of the steps taken to ensure that cost-</w:t>
      </w:r>
      <w:r w:rsidRPr="00CF6B42">
        <w:rPr>
          <w:rFonts w:cs="Courier New"/>
        </w:rPr>
        <w:t xml:space="preserve">reimbursement line </w:t>
      </w:r>
      <w:r>
        <w:rPr>
          <w:rFonts w:cs="Courier New"/>
        </w:rPr>
        <w:t>items</w:t>
      </w:r>
      <w:r w:rsidRPr="00CF6B42">
        <w:rPr>
          <w:rFonts w:cs="Courier New"/>
        </w:rPr>
        <w:t xml:space="preserve"> are used only to achieve the purposes of the exception; and</w:t>
      </w:r>
    </w:p>
    <w:p w14:paraId="6FCB350D" w14:textId="77777777" w:rsidR="00B62036" w:rsidRDefault="00B62036" w:rsidP="00A837E1">
      <w:pPr>
        <w:pStyle w:val="List4"/>
      </w:pPr>
      <w:r>
        <w:rPr>
          <w:rFonts w:cs="Courier New"/>
        </w:rPr>
        <w:br/>
      </w:r>
      <w:r w:rsidRPr="00CF6B42">
        <w:rPr>
          <w:rFonts w:cs="Courier New"/>
        </w:rPr>
        <w:t>(B)  Include a copy of such congressional certification in the contract file.</w:t>
      </w:r>
    </w:p>
    <w:p w14:paraId="61BF3772" w14:textId="77777777" w:rsidR="00B62036" w:rsidRDefault="00B62036" w:rsidP="00A837E1">
      <w:pPr>
        <w:pStyle w:val="List3"/>
      </w:pPr>
      <w:r>
        <w:rPr>
          <w:rFonts w:cs="Courier New"/>
        </w:rPr>
        <w:br/>
      </w:r>
      <w:r w:rsidRPr="008B4EAC">
        <w:rPr>
          <w:rFonts w:cs="Courier New"/>
          <w:bCs/>
          <w:szCs w:val="24"/>
        </w:rPr>
        <w:t xml:space="preserve">(iii)  </w:t>
      </w:r>
      <w:r w:rsidRPr="008B4EAC">
        <w:rPr>
          <w:bCs/>
          <w:szCs w:val="24"/>
        </w:rPr>
        <w:t>See 216.301-3 for additional contract type approval requirements for cost-reimbursement contracts.</w:t>
      </w:r>
    </w:p>
    <w:p w14:paraId="7FBEF6D6" w14:textId="77777777" w:rsidR="00B62036" w:rsidRDefault="00B62036" w:rsidP="00A837E1">
      <w:pPr>
        <w:pStyle w:val="List3"/>
      </w:pPr>
      <w:r>
        <w:rPr>
          <w:bCs/>
          <w:szCs w:val="24"/>
        </w:rPr>
        <w:br/>
      </w:r>
      <w:r w:rsidRPr="008B4EAC">
        <w:rPr>
          <w:rFonts w:cs="Courier New"/>
          <w:bCs/>
          <w:szCs w:val="24"/>
        </w:rPr>
        <w:t xml:space="preserve">(iv)  For fixed-price incentive (firm target) contracts, contracting officers shall comply with </w:t>
      </w:r>
      <w:r w:rsidRPr="008B4EAC">
        <w:rPr>
          <w:bCs/>
          <w:szCs w:val="24"/>
        </w:rPr>
        <w:t xml:space="preserve">the guidance provided at </w:t>
      </w:r>
      <w:hyperlink r:id="rId9" w:anchor="216.403-1" w:history="1">
        <w:r w:rsidRPr="003C5FCC">
          <w:rPr>
            <w:rStyle w:val="Hyperlink"/>
            <w:bCs/>
            <w:szCs w:val="24"/>
          </w:rPr>
          <w:t>PGI 216.403-1</w:t>
        </w:r>
      </w:hyperlink>
      <w:r w:rsidRPr="008B4EAC">
        <w:rPr>
          <w:bCs/>
          <w:szCs w:val="24"/>
        </w:rPr>
        <w:t>(1)(ii)(B) and (C).</w:t>
      </w:r>
    </w:p>
    <w:p w14:paraId="5C107B8F" w14:textId="77777777" w:rsidR="00B62036" w:rsidRDefault="00B62036" w:rsidP="00A837E1">
      <w:pPr>
        <w:pStyle w:val="List2"/>
        <w:rPr>
          <w:rFonts w:eastAsia="Calibri"/>
        </w:rPr>
      </w:pPr>
      <w:r>
        <w:rPr>
          <w:bCs/>
          <w:szCs w:val="24"/>
        </w:rPr>
        <w:br/>
      </w:r>
      <w:r w:rsidRPr="005B1390">
        <w:rPr>
          <w:rFonts w:eastAsia="Calibri" w:cs="Courier New"/>
          <w:bCs/>
          <w:szCs w:val="24"/>
        </w:rPr>
        <w:t>(3)  The contracting officer shall include in solicitations for contracts for the technical maturation and risk reduction phase, engineering and manufacturing development phase or production phase of a weapon system, including embedded software—</w:t>
      </w:r>
    </w:p>
    <w:p w14:paraId="7F60F4B0" w14:textId="77777777" w:rsidR="00B62036" w:rsidRDefault="00B62036" w:rsidP="00A837E1">
      <w:pPr>
        <w:pStyle w:val="List3"/>
        <w:rPr>
          <w:rFonts w:eastAsia="Calibri"/>
        </w:rPr>
      </w:pPr>
      <w:r>
        <w:rPr>
          <w:rFonts w:eastAsia="Calibri" w:cs="Courier New"/>
          <w:b/>
          <w:bCs/>
          <w:szCs w:val="24"/>
        </w:rPr>
        <w:br/>
      </w:r>
      <w:r w:rsidRPr="005B1390">
        <w:rPr>
          <w:rFonts w:eastAsia="Calibri" w:cs="Courier New"/>
          <w:bCs/>
          <w:szCs w:val="24"/>
        </w:rPr>
        <w:t>(</w:t>
      </w:r>
      <w:proofErr w:type="spellStart"/>
      <w:r w:rsidRPr="005B1390">
        <w:rPr>
          <w:rFonts w:eastAsia="Calibri" w:cs="Courier New"/>
          <w:bCs/>
          <w:szCs w:val="24"/>
        </w:rPr>
        <w:t>i</w:t>
      </w:r>
      <w:proofErr w:type="spellEnd"/>
      <w:r w:rsidRPr="005B1390">
        <w:rPr>
          <w:rFonts w:eastAsia="Calibri" w:cs="Courier New"/>
          <w:bCs/>
          <w:szCs w:val="24"/>
        </w:rPr>
        <w:t xml:space="preserve">)  Clearly defined measurable criteria for engineering activities and design specifications for reliability and maintainability provided by the program manager, or the comparable requiring activity official performing program management responsibilities; or </w:t>
      </w:r>
    </w:p>
    <w:p w14:paraId="4597F8AD" w14:textId="77777777" w:rsidR="00B62036" w:rsidRDefault="00B62036" w:rsidP="00A837E1">
      <w:pPr>
        <w:pStyle w:val="List3"/>
        <w:rPr>
          <w:rFonts w:eastAsia="Calibri"/>
        </w:rPr>
      </w:pPr>
      <w:r>
        <w:rPr>
          <w:rFonts w:eastAsia="Calibri" w:cs="Courier New"/>
          <w:b/>
          <w:bCs/>
          <w:szCs w:val="24"/>
        </w:rPr>
        <w:br/>
      </w:r>
      <w:r w:rsidRPr="005B1390">
        <w:rPr>
          <w:rFonts w:eastAsia="Calibri" w:cs="Courier New"/>
          <w:bCs/>
          <w:szCs w:val="24"/>
        </w:rPr>
        <w:t xml:space="preserve">(ii)  Ensure a copy of the justification, executed by the program manager or the comparable requiring activity official performing program management responsibilities for the decision that engineering activities and design specifications for reliability and maintainability should not be a requirement, is included in the contract file (10 U.S.C. 2443). </w:t>
      </w:r>
    </w:p>
    <w:p w14:paraId="722BDEAF" w14:textId="77777777" w:rsidR="00B62036" w:rsidRDefault="00B62036" w:rsidP="00A837E1">
      <w:pPr>
        <w:pStyle w:val="Heading3"/>
      </w:pPr>
      <w:r>
        <w:rPr>
          <w:rFonts w:eastAsia="Calibri" w:cs="Courier New"/>
          <w:b w:val="0"/>
          <w:bCs/>
          <w:szCs w:val="24"/>
        </w:rPr>
        <w:lastRenderedPageBreak/>
        <w:br/>
      </w:r>
      <w:bookmarkStart w:id="12" w:name="_Toc37345913"/>
      <w:bookmarkStart w:id="13" w:name="_Toc37677477"/>
      <w:bookmarkStart w:id="14" w:name="_Toc37754341"/>
      <w:proofErr w:type="gramStart"/>
      <w:r w:rsidRPr="009A084C">
        <w:rPr>
          <w:rFonts w:cs="Courier New"/>
        </w:rPr>
        <w:t>234</w:t>
      </w:r>
      <w:r w:rsidRPr="00CF6B42">
        <w:rPr>
          <w:rFonts w:cs="Courier New"/>
        </w:rPr>
        <w:t>.</w:t>
      </w:r>
      <w:r w:rsidRPr="009A084C">
        <w:rPr>
          <w:rFonts w:cs="Courier New"/>
        </w:rPr>
        <w:t>005</w:t>
      </w:r>
      <w:r w:rsidRPr="00CF6B42">
        <w:rPr>
          <w:rFonts w:cs="Courier New"/>
        </w:rPr>
        <w:t xml:space="preserve">  </w:t>
      </w:r>
      <w:r w:rsidRPr="009A084C">
        <w:rPr>
          <w:rFonts w:cs="Courier New"/>
        </w:rPr>
        <w:t>General</w:t>
      </w:r>
      <w:proofErr w:type="gramEnd"/>
      <w:r>
        <w:rPr>
          <w:rFonts w:cs="Courier New"/>
        </w:rPr>
        <w:t xml:space="preserve"> </w:t>
      </w:r>
      <w:r w:rsidRPr="009A084C">
        <w:rPr>
          <w:rFonts w:cs="Courier New"/>
        </w:rPr>
        <w:t>requirements</w:t>
      </w:r>
      <w:r>
        <w:rPr>
          <w:rFonts w:cs="Courier New"/>
        </w:rPr>
        <w:t>.</w:t>
      </w:r>
      <w:bookmarkEnd w:id="12"/>
      <w:bookmarkEnd w:id="13"/>
      <w:bookmarkEnd w:id="14"/>
    </w:p>
    <w:p w14:paraId="180AD79D" w14:textId="77777777" w:rsidR="00B62036" w:rsidRPr="00FB19BD" w:rsidRDefault="00B62036" w:rsidP="00A837E1">
      <w:pPr>
        <w:pStyle w:val="Heading4"/>
      </w:pPr>
      <w:r>
        <w:rPr>
          <w:rFonts w:cs="Courier New"/>
        </w:rPr>
        <w:br/>
      </w:r>
      <w:bookmarkStart w:id="15" w:name="_Toc37677478"/>
      <w:bookmarkStart w:id="16" w:name="_Toc37754342"/>
      <w:r w:rsidRPr="002C7DF6">
        <w:t>234</w:t>
      </w:r>
      <w:r w:rsidRPr="00FB19BD">
        <w:t>.</w:t>
      </w:r>
      <w:r w:rsidRPr="002C7DF6">
        <w:t>005</w:t>
      </w:r>
      <w:r w:rsidRPr="00FB19BD">
        <w:t>-</w:t>
      </w:r>
      <w:proofErr w:type="gramStart"/>
      <w:r w:rsidRPr="002C7DF6">
        <w:t>1</w:t>
      </w:r>
      <w:r w:rsidRPr="00FB19BD">
        <w:t xml:space="preserve">  </w:t>
      </w:r>
      <w:r w:rsidRPr="002C7DF6">
        <w:t>Competition</w:t>
      </w:r>
      <w:proofErr w:type="gramEnd"/>
      <w:r w:rsidRPr="00FB19BD">
        <w:t>.</w:t>
      </w:r>
      <w:bookmarkEnd w:id="15"/>
      <w:bookmarkEnd w:id="16"/>
    </w:p>
    <w:p w14:paraId="72FE5535" w14:textId="77777777" w:rsidR="00B62036" w:rsidRPr="00A837E1" w:rsidRDefault="00B62036" w:rsidP="00A837E1">
      <w:r w:rsidRPr="00A837E1">
        <w:rPr>
          <w:szCs w:val="24"/>
        </w:rPr>
        <w:t>A contract that is initially awarded from the competitive selection of a proposal resulting from a broad agency announcement may contain a contract line item or contract option for the provision of advanced component development, prototype, or initial production of technology developed under the contract or the delivery of initial or additional items if the item or a prototype thereof is created as the result of work performed under the contract only when it adheres to the following limitations:</w:t>
      </w:r>
    </w:p>
    <w:p w14:paraId="2217D4C8" w14:textId="77777777" w:rsidR="00B62036" w:rsidRDefault="00B62036" w:rsidP="00A837E1">
      <w:pPr>
        <w:pStyle w:val="List2"/>
      </w:pPr>
      <w:r>
        <w:rPr>
          <w:szCs w:val="24"/>
        </w:rPr>
        <w:br/>
      </w:r>
      <w:r w:rsidRPr="00F44BEE">
        <w:rPr>
          <w:szCs w:val="24"/>
        </w:rPr>
        <w:t>(</w:t>
      </w:r>
      <w:r>
        <w:rPr>
          <w:szCs w:val="24"/>
        </w:rPr>
        <w:t>1</w:t>
      </w:r>
      <w:r w:rsidRPr="00F44BEE">
        <w:rPr>
          <w:szCs w:val="24"/>
        </w:rPr>
        <w:t xml:space="preserve">) </w:t>
      </w:r>
      <w:r>
        <w:rPr>
          <w:szCs w:val="24"/>
        </w:rPr>
        <w:t xml:space="preserve"> </w:t>
      </w:r>
      <w:r w:rsidRPr="00F44BEE">
        <w:rPr>
          <w:szCs w:val="24"/>
        </w:rPr>
        <w:t>The contract line item or contract option shall be limited to the minimal amount of initial or additional prototype items that will allow for timely competitive solicitation and award of a follow-on development or production contract for those items.</w:t>
      </w:r>
    </w:p>
    <w:p w14:paraId="074AC052" w14:textId="77777777" w:rsidR="00B62036" w:rsidRDefault="00B62036" w:rsidP="00A837E1">
      <w:pPr>
        <w:pStyle w:val="List2"/>
      </w:pPr>
      <w:r>
        <w:rPr>
          <w:szCs w:val="24"/>
        </w:rPr>
        <w:br/>
      </w:r>
      <w:r w:rsidRPr="00F44BEE">
        <w:rPr>
          <w:szCs w:val="24"/>
        </w:rPr>
        <w:t>(</w:t>
      </w:r>
      <w:r>
        <w:rPr>
          <w:szCs w:val="24"/>
        </w:rPr>
        <w:t>2</w:t>
      </w:r>
      <w:r w:rsidRPr="00F44BEE">
        <w:rPr>
          <w:szCs w:val="24"/>
        </w:rPr>
        <w:t xml:space="preserve">)  The term of the contract line item or contract option shall be for not more than </w:t>
      </w:r>
      <w:r>
        <w:rPr>
          <w:szCs w:val="24"/>
        </w:rPr>
        <w:t>2 years</w:t>
      </w:r>
      <w:r w:rsidRPr="00F44BEE">
        <w:rPr>
          <w:szCs w:val="24"/>
        </w:rPr>
        <w:t xml:space="preserve">. </w:t>
      </w:r>
    </w:p>
    <w:p w14:paraId="59C0BE16" w14:textId="77777777" w:rsidR="00B62036" w:rsidRDefault="00B62036" w:rsidP="00A837E1">
      <w:pPr>
        <w:pStyle w:val="List2"/>
      </w:pPr>
      <w:r>
        <w:rPr>
          <w:szCs w:val="24"/>
        </w:rPr>
        <w:br/>
      </w:r>
      <w:r w:rsidRPr="00F44BEE">
        <w:rPr>
          <w:szCs w:val="24"/>
        </w:rPr>
        <w:t>(</w:t>
      </w:r>
      <w:r>
        <w:rPr>
          <w:szCs w:val="24"/>
        </w:rPr>
        <w:t>3</w:t>
      </w:r>
      <w:r w:rsidRPr="00F44BEE">
        <w:rPr>
          <w:szCs w:val="24"/>
        </w:rPr>
        <w:t xml:space="preserve">)  The dollar value of the work to be performed pursuant to the contract line item or contract option shall not exceed </w:t>
      </w:r>
      <w:r>
        <w:rPr>
          <w:szCs w:val="24"/>
        </w:rPr>
        <w:t xml:space="preserve">$100 million in fiscal year 2017 constant dollars.  (10 U.S.C. 2302e) </w:t>
      </w:r>
    </w:p>
    <w:p w14:paraId="524949F4" w14:textId="77777777" w:rsidR="00B62036" w:rsidRPr="00CB6E47" w:rsidRDefault="00B62036" w:rsidP="00A837E1">
      <w:pPr>
        <w:pStyle w:val="Heading4"/>
      </w:pPr>
      <w:r>
        <w:rPr>
          <w:szCs w:val="24"/>
        </w:rPr>
        <w:br/>
      </w:r>
      <w:bookmarkStart w:id="17" w:name="_Toc37677479"/>
      <w:bookmarkStart w:id="18" w:name="_Toc37754343"/>
      <w:bookmarkEnd w:id="2"/>
      <w:r w:rsidRPr="002C7DF6">
        <w:rPr>
          <w:rFonts w:cs="Courier New"/>
        </w:rPr>
        <w:t>234</w:t>
      </w:r>
      <w:r w:rsidRPr="00CB6E47">
        <w:rPr>
          <w:rFonts w:cs="Courier New"/>
        </w:rPr>
        <w:t>.</w:t>
      </w:r>
      <w:r w:rsidRPr="002C7DF6">
        <w:rPr>
          <w:rFonts w:cs="Courier New"/>
        </w:rPr>
        <w:t>005</w:t>
      </w:r>
      <w:r w:rsidRPr="00CB6E47">
        <w:rPr>
          <w:rFonts w:cs="Courier New"/>
        </w:rPr>
        <w:t>-</w:t>
      </w:r>
      <w:proofErr w:type="gramStart"/>
      <w:r w:rsidRPr="002C7DF6">
        <w:rPr>
          <w:rFonts w:cs="Courier New"/>
        </w:rPr>
        <w:t>2</w:t>
      </w:r>
      <w:r w:rsidRPr="00CB6E47">
        <w:rPr>
          <w:rFonts w:cs="Courier New"/>
        </w:rPr>
        <w:t xml:space="preserve">  </w:t>
      </w:r>
      <w:r w:rsidRPr="002C7DF6">
        <w:rPr>
          <w:rFonts w:cs="Courier New"/>
        </w:rPr>
        <w:t>Mission</w:t>
      </w:r>
      <w:proofErr w:type="gramEnd"/>
      <w:r w:rsidRPr="00CB6E47">
        <w:rPr>
          <w:rFonts w:cs="Courier New"/>
        </w:rPr>
        <w:t>-</w:t>
      </w:r>
      <w:r w:rsidRPr="002C7DF6">
        <w:rPr>
          <w:rFonts w:cs="Courier New"/>
        </w:rPr>
        <w:t>oriented</w:t>
      </w:r>
      <w:r w:rsidRPr="00CB6E47">
        <w:rPr>
          <w:rFonts w:cs="Courier New"/>
        </w:rPr>
        <w:t xml:space="preserve"> </w:t>
      </w:r>
      <w:r w:rsidRPr="002C7DF6">
        <w:rPr>
          <w:rFonts w:cs="Courier New"/>
        </w:rPr>
        <w:t>solicitation</w:t>
      </w:r>
      <w:r w:rsidRPr="00CB6E47">
        <w:rPr>
          <w:rFonts w:cs="Courier New"/>
        </w:rPr>
        <w:t>.</w:t>
      </w:r>
      <w:bookmarkEnd w:id="17"/>
      <w:bookmarkEnd w:id="18"/>
    </w:p>
    <w:p w14:paraId="60A6E80F" w14:textId="77777777" w:rsidR="00B62036" w:rsidRDefault="00B62036" w:rsidP="00A837E1">
      <w:pPr>
        <w:rPr>
          <w:b/>
        </w:rPr>
      </w:pPr>
      <w:r w:rsidRPr="00CB6E47">
        <w:t xml:space="preserve">See </w:t>
      </w:r>
      <w:hyperlink r:id="rId10" w:anchor="215.101-2-70" w:history="1">
        <w:r w:rsidRPr="00005D2B">
          <w:rPr>
            <w:rStyle w:val="Hyperlink"/>
            <w:rFonts w:cs="Courier New"/>
            <w:bCs/>
          </w:rPr>
          <w:t>215.101-2-70</w:t>
        </w:r>
      </w:hyperlink>
      <w:r w:rsidRPr="00CB6E47">
        <w:t>(b)(2) for the prohibition on the use of the lowest price technically acceptable source selection process for engineering and manufacturing development of a major defense acquisition program for which budgetary authority is requested beginning in fiscal year 2019.</w:t>
      </w:r>
    </w:p>
    <w:p w14:paraId="7E218028" w14:textId="77777777" w:rsidR="00B62036" w:rsidRPr="00CB6E47" w:rsidRDefault="00B62036">
      <w:pPr>
        <w:tabs>
          <w:tab w:val="left" w:pos="360"/>
        </w:tabs>
        <w:spacing w:line="240" w:lineRule="exact"/>
        <w:rPr>
          <w:rFonts w:cs="Courier New"/>
          <w:b/>
          <w:bCs/>
        </w:rPr>
      </w:pPr>
      <w:r>
        <w:rPr>
          <w:rFonts w:cs="Courier New"/>
          <w:bCs/>
        </w:rPr>
        <w:br/>
      </w:r>
    </w:p>
    <w:p w14:paraId="663E7045" w14:textId="77777777" w:rsidR="00B62036" w:rsidRDefault="00B62036">
      <w:pPr>
        <w:sectPr w:rsidR="00B62036" w:rsidSect="00CC46A5">
          <w:headerReference w:type="default" r:id="rId11"/>
          <w:footerReference w:type="default" r:id="rId12"/>
          <w:pgSz w:w="12240" w:h="15840"/>
          <w:pgMar w:top="1440" w:right="1440" w:bottom="1440" w:left="1440" w:header="720" w:footer="720" w:gutter="0"/>
          <w:cols w:space="720"/>
          <w:docGrid w:linePitch="360"/>
        </w:sectPr>
      </w:pPr>
    </w:p>
    <w:p w14:paraId="0465FD15" w14:textId="77777777" w:rsidR="00B62036" w:rsidRPr="00C32478" w:rsidRDefault="00B62036" w:rsidP="00C32478">
      <w:pPr>
        <w:pStyle w:val="Heading2"/>
      </w:pPr>
      <w:bookmarkStart w:id="19" w:name="_Toc37345914"/>
      <w:bookmarkStart w:id="20" w:name="_Toc37677480"/>
      <w:bookmarkStart w:id="21" w:name="_Toc37754344"/>
      <w:r w:rsidRPr="00C32478">
        <w:rPr>
          <w:caps/>
        </w:rPr>
        <w:lastRenderedPageBreak/>
        <w:t>SUBPART 234.2—EARNED VALUE MANAGEMENT SYSTEM</w:t>
      </w:r>
      <w:bookmarkEnd w:id="19"/>
      <w:bookmarkEnd w:id="20"/>
      <w:bookmarkEnd w:id="21"/>
    </w:p>
    <w:p w14:paraId="57AAC553" w14:textId="77777777" w:rsidR="00B62036" w:rsidRPr="007A0CDC" w:rsidRDefault="00B62036" w:rsidP="00C32478">
      <w:pPr>
        <w:jc w:val="center"/>
      </w:pPr>
      <w:r w:rsidRPr="007A0CDC">
        <w:rPr>
          <w:i/>
        </w:rPr>
        <w:t>(Revised December 7, 2011)</w:t>
      </w:r>
    </w:p>
    <w:p w14:paraId="4D60F1EB" w14:textId="77777777" w:rsidR="00B62036" w:rsidRDefault="00B62036" w:rsidP="007A0CDC">
      <w:pPr>
        <w:pStyle w:val="Heading3"/>
      </w:pPr>
      <w:r>
        <w:rPr>
          <w:i/>
        </w:rPr>
        <w:br/>
      </w:r>
      <w:bookmarkStart w:id="22" w:name="_Toc37345915"/>
      <w:bookmarkStart w:id="23" w:name="_Toc37677481"/>
      <w:bookmarkStart w:id="24" w:name="_Toc37754345"/>
      <w:proofErr w:type="gramStart"/>
      <w:r w:rsidRPr="00F64C35">
        <w:rPr>
          <w:rFonts w:cs="Courier New"/>
          <w:szCs w:val="24"/>
        </w:rPr>
        <w:t>234</w:t>
      </w:r>
      <w:r w:rsidRPr="00737355">
        <w:rPr>
          <w:rFonts w:cs="Courier New"/>
          <w:szCs w:val="24"/>
        </w:rPr>
        <w:t>.</w:t>
      </w:r>
      <w:r w:rsidRPr="00F64C35">
        <w:rPr>
          <w:rFonts w:cs="Courier New"/>
          <w:szCs w:val="24"/>
        </w:rPr>
        <w:t>201</w:t>
      </w:r>
      <w:r w:rsidRPr="00737355">
        <w:rPr>
          <w:rFonts w:cs="Courier New"/>
          <w:szCs w:val="24"/>
        </w:rPr>
        <w:t xml:space="preserve">  </w:t>
      </w:r>
      <w:r w:rsidRPr="00F64C35">
        <w:rPr>
          <w:rFonts w:cs="Courier New"/>
          <w:szCs w:val="24"/>
        </w:rPr>
        <w:t>Policy</w:t>
      </w:r>
      <w:proofErr w:type="gramEnd"/>
      <w:r w:rsidRPr="00737355">
        <w:rPr>
          <w:rFonts w:cs="Courier New"/>
          <w:szCs w:val="24"/>
        </w:rPr>
        <w:t>.</w:t>
      </w:r>
      <w:bookmarkEnd w:id="22"/>
      <w:bookmarkEnd w:id="23"/>
      <w:bookmarkEnd w:id="24"/>
    </w:p>
    <w:p w14:paraId="1B2DAC60" w14:textId="77777777" w:rsidR="00B62036" w:rsidRDefault="00B62036" w:rsidP="007A0CDC">
      <w:pPr>
        <w:pStyle w:val="List2"/>
      </w:pPr>
      <w:r>
        <w:rPr>
          <w:rFonts w:cs="Courier New"/>
          <w:b/>
          <w:szCs w:val="24"/>
        </w:rPr>
        <w:br/>
      </w:r>
      <w:r w:rsidRPr="00737355">
        <w:rPr>
          <w:rFonts w:cs="Courier New"/>
          <w:szCs w:val="24"/>
        </w:rPr>
        <w:t xml:space="preserve">(1)  DoD applies the earned value management system requirement as follows:  </w:t>
      </w:r>
    </w:p>
    <w:p w14:paraId="423A96D9" w14:textId="77777777" w:rsidR="00B62036" w:rsidRDefault="00B62036" w:rsidP="007A0CDC">
      <w:pPr>
        <w:pStyle w:val="List3"/>
      </w:pPr>
      <w:r>
        <w:rPr>
          <w:rFonts w:cs="Courier New"/>
          <w:szCs w:val="24"/>
        </w:rPr>
        <w:br/>
      </w:r>
      <w:r w:rsidRPr="00737355">
        <w:rPr>
          <w:rFonts w:cs="Courier New"/>
          <w:szCs w:val="24"/>
        </w:rPr>
        <w:t>(</w:t>
      </w:r>
      <w:proofErr w:type="spellStart"/>
      <w:r w:rsidRPr="00737355">
        <w:rPr>
          <w:rFonts w:cs="Courier New"/>
          <w:szCs w:val="24"/>
        </w:rPr>
        <w:t>i</w:t>
      </w:r>
      <w:proofErr w:type="spellEnd"/>
      <w:r w:rsidRPr="00737355">
        <w:rPr>
          <w:rFonts w:cs="Courier New"/>
          <w:szCs w:val="24"/>
        </w:rPr>
        <w:t>)  For cost or incentive contracts and subcontracts valued at $20,000,000 or more, the earned value management system shall comply with the guidelines in the American National Standards Institute/Electronic Industries Alliance Standard 748, Earned Value Management Systems (ANSI/EIA-748).</w:t>
      </w:r>
    </w:p>
    <w:p w14:paraId="5CB9D09B" w14:textId="77777777" w:rsidR="00B62036" w:rsidRDefault="00B62036" w:rsidP="007A0CDC">
      <w:pPr>
        <w:pStyle w:val="List3"/>
      </w:pPr>
      <w:r>
        <w:rPr>
          <w:rFonts w:cs="Courier New"/>
          <w:szCs w:val="24"/>
        </w:rPr>
        <w:br/>
      </w:r>
      <w:r w:rsidRPr="00737355">
        <w:rPr>
          <w:rFonts w:cs="Courier New"/>
          <w:szCs w:val="24"/>
        </w:rPr>
        <w:t xml:space="preserve">(ii)  For cost or incentive contracts and subcontracts valued at $50,000,000 or more, the contractor shall have an earned value management system that has been determined by the cognizant Federal agency to </w:t>
      </w:r>
      <w:proofErr w:type="gramStart"/>
      <w:r w:rsidRPr="00737355">
        <w:rPr>
          <w:rFonts w:cs="Courier New"/>
          <w:szCs w:val="24"/>
        </w:rPr>
        <w:t>be in compliance with</w:t>
      </w:r>
      <w:proofErr w:type="gramEnd"/>
      <w:r w:rsidRPr="00737355">
        <w:rPr>
          <w:rFonts w:cs="Courier New"/>
          <w:szCs w:val="24"/>
        </w:rPr>
        <w:t xml:space="preserve"> the guidelines in ANSI/EIA-748.</w:t>
      </w:r>
    </w:p>
    <w:p w14:paraId="5F84B8FA" w14:textId="77777777" w:rsidR="00B62036" w:rsidRDefault="00B62036" w:rsidP="007A0CDC">
      <w:pPr>
        <w:pStyle w:val="List3"/>
      </w:pPr>
      <w:r>
        <w:rPr>
          <w:rFonts w:cs="Courier New"/>
          <w:szCs w:val="24"/>
        </w:rPr>
        <w:br/>
      </w:r>
      <w:r w:rsidRPr="00737355">
        <w:rPr>
          <w:rFonts w:cs="Courier New"/>
          <w:szCs w:val="24"/>
        </w:rPr>
        <w:t>(iii)  For cost or incentive contracts and subcontracts valued at less than $20,000,000—</w:t>
      </w:r>
    </w:p>
    <w:p w14:paraId="01B93387" w14:textId="77777777" w:rsidR="00B62036" w:rsidRDefault="00B62036" w:rsidP="007A0CDC">
      <w:pPr>
        <w:pStyle w:val="List4"/>
      </w:pPr>
      <w:r>
        <w:rPr>
          <w:rFonts w:cs="Courier New"/>
          <w:szCs w:val="24"/>
        </w:rPr>
        <w:br/>
      </w:r>
      <w:r w:rsidRPr="00737355">
        <w:rPr>
          <w:rFonts w:cs="Courier New"/>
          <w:szCs w:val="24"/>
        </w:rPr>
        <w:t xml:space="preserve">(A)  The application of earned value management is optional and is a risk-based </w:t>
      </w:r>
      <w:proofErr w:type="gramStart"/>
      <w:r w:rsidRPr="00737355">
        <w:rPr>
          <w:rFonts w:cs="Courier New"/>
          <w:szCs w:val="24"/>
        </w:rPr>
        <w:t>decision;</w:t>
      </w:r>
      <w:proofErr w:type="gramEnd"/>
    </w:p>
    <w:p w14:paraId="38FA7A51" w14:textId="77777777" w:rsidR="00B62036" w:rsidRDefault="00B62036" w:rsidP="007A0CDC">
      <w:pPr>
        <w:pStyle w:val="List4"/>
      </w:pPr>
      <w:r>
        <w:rPr>
          <w:rFonts w:cs="Courier New"/>
          <w:szCs w:val="24"/>
        </w:rPr>
        <w:br/>
      </w:r>
      <w:r w:rsidRPr="00737355">
        <w:rPr>
          <w:rFonts w:cs="Courier New"/>
          <w:szCs w:val="24"/>
        </w:rPr>
        <w:t>(B)  A decision to apply earned value management shall be documented in the contract file; and</w:t>
      </w:r>
    </w:p>
    <w:p w14:paraId="7C3338B6" w14:textId="77777777" w:rsidR="00B62036" w:rsidRDefault="00B62036" w:rsidP="007A0CDC">
      <w:pPr>
        <w:pStyle w:val="List4"/>
      </w:pPr>
      <w:r>
        <w:rPr>
          <w:rFonts w:cs="Courier New"/>
          <w:szCs w:val="24"/>
        </w:rPr>
        <w:br/>
      </w:r>
      <w:r w:rsidRPr="00737355">
        <w:rPr>
          <w:rFonts w:cs="Courier New"/>
          <w:szCs w:val="24"/>
        </w:rPr>
        <w:t xml:space="preserve">(C)  Follow the procedures at </w:t>
      </w:r>
      <w:hyperlink r:id="rId13" w:anchor="234.201" w:history="1">
        <w:r w:rsidRPr="00F63C88">
          <w:rPr>
            <w:rStyle w:val="Hyperlink"/>
            <w:rFonts w:cs="Courier New"/>
            <w:szCs w:val="24"/>
          </w:rPr>
          <w:t>PGI 234.201</w:t>
        </w:r>
      </w:hyperlink>
      <w:r w:rsidRPr="00737355">
        <w:rPr>
          <w:rFonts w:cs="Courier New"/>
          <w:szCs w:val="24"/>
        </w:rPr>
        <w:t>(1)(iii) for conducting a cost-benefit analysis.</w:t>
      </w:r>
    </w:p>
    <w:p w14:paraId="5413934E" w14:textId="77777777" w:rsidR="00B62036" w:rsidRDefault="00B62036" w:rsidP="007A0CDC">
      <w:pPr>
        <w:pStyle w:val="List3"/>
      </w:pPr>
      <w:r>
        <w:rPr>
          <w:rFonts w:cs="Courier New"/>
          <w:szCs w:val="24"/>
        </w:rPr>
        <w:br/>
      </w:r>
      <w:r w:rsidRPr="00737355">
        <w:rPr>
          <w:rFonts w:cs="Courier New"/>
          <w:szCs w:val="24"/>
        </w:rPr>
        <w:t>(iv)  For firm-fixed-price contracts and subcontracts of any dollar value—</w:t>
      </w:r>
    </w:p>
    <w:p w14:paraId="0E06F47A" w14:textId="77777777" w:rsidR="00B62036" w:rsidRDefault="00B62036" w:rsidP="007A0CDC">
      <w:pPr>
        <w:pStyle w:val="List4"/>
      </w:pPr>
      <w:r>
        <w:rPr>
          <w:rFonts w:cs="Courier New"/>
          <w:szCs w:val="24"/>
        </w:rPr>
        <w:br/>
      </w:r>
      <w:r w:rsidRPr="00737355">
        <w:rPr>
          <w:rFonts w:cs="Courier New"/>
          <w:szCs w:val="24"/>
        </w:rPr>
        <w:t>(A)  The application of earned value management is discouraged; and</w:t>
      </w:r>
    </w:p>
    <w:p w14:paraId="3BDD9754" w14:textId="77777777" w:rsidR="00B62036" w:rsidRDefault="00B62036" w:rsidP="007A0CDC">
      <w:pPr>
        <w:pStyle w:val="List4"/>
      </w:pPr>
      <w:r>
        <w:rPr>
          <w:rFonts w:cs="Courier New"/>
          <w:szCs w:val="24"/>
        </w:rPr>
        <w:br/>
      </w:r>
      <w:r w:rsidRPr="00737355">
        <w:rPr>
          <w:rFonts w:cs="Courier New"/>
          <w:szCs w:val="24"/>
        </w:rPr>
        <w:t xml:space="preserve">(B)  Follow the procedures at </w:t>
      </w:r>
      <w:hyperlink r:id="rId14" w:anchor="234.201" w:history="1">
        <w:r w:rsidRPr="00F63C88">
          <w:rPr>
            <w:rStyle w:val="Hyperlink"/>
            <w:rFonts w:cs="Courier New"/>
            <w:szCs w:val="24"/>
          </w:rPr>
          <w:t>PGI 234.201</w:t>
        </w:r>
      </w:hyperlink>
      <w:r w:rsidRPr="00737355">
        <w:rPr>
          <w:rFonts w:cs="Courier New"/>
          <w:szCs w:val="24"/>
        </w:rPr>
        <w:t>(1)(iv) for obtaining a waiver before applying earned value management.</w:t>
      </w:r>
    </w:p>
    <w:p w14:paraId="3F035565" w14:textId="77777777" w:rsidR="00B62036" w:rsidRDefault="00B62036" w:rsidP="007A0CDC">
      <w:pPr>
        <w:pStyle w:val="List2"/>
      </w:pPr>
      <w:r>
        <w:rPr>
          <w:rFonts w:cs="Courier New"/>
          <w:szCs w:val="24"/>
        </w:rPr>
        <w:br/>
      </w:r>
      <w:r w:rsidRPr="00737355">
        <w:rPr>
          <w:rFonts w:cs="Courier New"/>
          <w:szCs w:val="24"/>
        </w:rPr>
        <w:t xml:space="preserve">(2)  When an offeror proposes a plan for compliance with the earned value management system guidelines in ANSI/EIA-748, follow the review procedures at </w:t>
      </w:r>
      <w:hyperlink r:id="rId15" w:anchor="234.201" w:history="1">
        <w:r w:rsidRPr="00F63C88">
          <w:rPr>
            <w:rStyle w:val="Hyperlink"/>
            <w:rFonts w:cs="Courier New"/>
            <w:szCs w:val="24"/>
          </w:rPr>
          <w:t>PGI 234.201</w:t>
        </w:r>
      </w:hyperlink>
      <w:r w:rsidRPr="00737355">
        <w:rPr>
          <w:rFonts w:cs="Courier New"/>
          <w:szCs w:val="24"/>
        </w:rPr>
        <w:t>(2).</w:t>
      </w:r>
    </w:p>
    <w:p w14:paraId="7DEFE266" w14:textId="77777777" w:rsidR="00B62036" w:rsidRDefault="00B62036" w:rsidP="007A0CDC">
      <w:pPr>
        <w:pStyle w:val="List2"/>
      </w:pPr>
      <w:r>
        <w:rPr>
          <w:rFonts w:cs="Courier New"/>
          <w:szCs w:val="24"/>
        </w:rPr>
        <w:br/>
      </w:r>
      <w:r w:rsidRPr="00737355">
        <w:rPr>
          <w:rFonts w:cs="Courier New"/>
          <w:szCs w:val="24"/>
        </w:rPr>
        <w:t>(3)  The Defense Contract Management Agency is responsible for determining earned value management system compliance when DoD is the cognizant Federal agency.</w:t>
      </w:r>
    </w:p>
    <w:p w14:paraId="76CD53AB" w14:textId="77777777" w:rsidR="00B62036" w:rsidRDefault="00B62036" w:rsidP="007A0CDC">
      <w:pPr>
        <w:pStyle w:val="List2"/>
      </w:pPr>
      <w:r>
        <w:rPr>
          <w:rFonts w:cs="Courier New"/>
          <w:szCs w:val="24"/>
        </w:rPr>
        <w:lastRenderedPageBreak/>
        <w:br/>
      </w:r>
      <w:r w:rsidRPr="00737355">
        <w:rPr>
          <w:rFonts w:cs="Courier New"/>
          <w:szCs w:val="24"/>
        </w:rPr>
        <w:t xml:space="preserve">(4)  See </w:t>
      </w:r>
      <w:hyperlink r:id="rId16" w:anchor="234.201" w:history="1">
        <w:r w:rsidRPr="00F63C88">
          <w:rPr>
            <w:rStyle w:val="Hyperlink"/>
            <w:rFonts w:cs="Courier New"/>
            <w:szCs w:val="24"/>
          </w:rPr>
          <w:t>PGI 234.201</w:t>
        </w:r>
      </w:hyperlink>
      <w:r w:rsidRPr="00737355">
        <w:rPr>
          <w:rFonts w:cs="Courier New"/>
          <w:szCs w:val="24"/>
        </w:rPr>
        <w:t>(</w:t>
      </w:r>
      <w:r>
        <w:rPr>
          <w:rFonts w:cs="Courier New"/>
          <w:szCs w:val="24"/>
        </w:rPr>
        <w:t>3</w:t>
      </w:r>
      <w:r w:rsidRPr="00737355">
        <w:rPr>
          <w:rFonts w:cs="Courier New"/>
          <w:szCs w:val="24"/>
        </w:rPr>
        <w:t>) for additional guidance on earned value management.</w:t>
      </w:r>
    </w:p>
    <w:p w14:paraId="3E0FC7A0" w14:textId="77777777" w:rsidR="00B62036" w:rsidRDefault="00B62036" w:rsidP="007A0CDC">
      <w:pPr>
        <w:pStyle w:val="List2"/>
      </w:pPr>
      <w:r>
        <w:rPr>
          <w:rFonts w:cs="Courier New"/>
          <w:szCs w:val="24"/>
        </w:rPr>
        <w:br/>
      </w:r>
      <w:r w:rsidRPr="005C7435">
        <w:rPr>
          <w:rFonts w:cs="Courier New"/>
          <w:szCs w:val="24"/>
        </w:rPr>
        <w:t>(5)  The cognizant contracting officer, in consultation with the functional specialist and auditor, shall—</w:t>
      </w:r>
    </w:p>
    <w:p w14:paraId="7E6A0C61" w14:textId="77777777" w:rsidR="00B62036" w:rsidRPr="005C7435" w:rsidRDefault="00B62036" w:rsidP="007A0CDC">
      <w:pPr>
        <w:pStyle w:val="List3"/>
      </w:pPr>
      <w:r>
        <w:rPr>
          <w:rFonts w:cs="Courier New"/>
          <w:szCs w:val="24"/>
        </w:rPr>
        <w:br/>
      </w:r>
      <w:r w:rsidRPr="005C7435">
        <w:rPr>
          <w:rFonts w:cs="Courier New"/>
          <w:szCs w:val="24"/>
        </w:rPr>
        <w:t>(</w:t>
      </w:r>
      <w:proofErr w:type="spellStart"/>
      <w:r w:rsidRPr="005C7435">
        <w:rPr>
          <w:rFonts w:cs="Courier New"/>
          <w:szCs w:val="24"/>
        </w:rPr>
        <w:t>i</w:t>
      </w:r>
      <w:proofErr w:type="spellEnd"/>
      <w:r w:rsidRPr="005C7435">
        <w:rPr>
          <w:rFonts w:cs="Courier New"/>
          <w:szCs w:val="24"/>
        </w:rPr>
        <w:t xml:space="preserve">)  Determine the acceptability of the </w:t>
      </w:r>
      <w:proofErr w:type="gramStart"/>
      <w:r w:rsidRPr="005C7435">
        <w:rPr>
          <w:rFonts w:cs="Courier New"/>
          <w:szCs w:val="24"/>
        </w:rPr>
        <w:t>contractor‘</w:t>
      </w:r>
      <w:proofErr w:type="gramEnd"/>
      <w:r w:rsidRPr="005C7435">
        <w:rPr>
          <w:rFonts w:cs="Courier New"/>
          <w:szCs w:val="24"/>
        </w:rPr>
        <w:t>s earned value management system and approve or disapprove the system; and</w:t>
      </w:r>
    </w:p>
    <w:p w14:paraId="4569DB7A" w14:textId="77777777" w:rsidR="00B62036" w:rsidRDefault="00B62036" w:rsidP="007A0CDC">
      <w:pPr>
        <w:pStyle w:val="List3"/>
        <w:rPr>
          <w:rFonts w:cs="Courier New"/>
          <w:szCs w:val="24"/>
        </w:rPr>
      </w:pPr>
      <w:r>
        <w:rPr>
          <w:rFonts w:cs="Courier New"/>
          <w:szCs w:val="24"/>
        </w:rPr>
        <w:br/>
      </w:r>
      <w:r w:rsidRPr="005C7435">
        <w:rPr>
          <w:rFonts w:cs="Courier New"/>
          <w:szCs w:val="24"/>
        </w:rPr>
        <w:t>(ii)  Pursue correction of any deficiencies.</w:t>
      </w:r>
    </w:p>
    <w:p w14:paraId="0915A314" w14:textId="77777777" w:rsidR="00B62036" w:rsidRDefault="00B62036" w:rsidP="007A0CDC">
      <w:pPr>
        <w:pStyle w:val="List2"/>
      </w:pPr>
      <w:r>
        <w:rPr>
          <w:rFonts w:cs="Courier New"/>
          <w:szCs w:val="24"/>
        </w:rPr>
        <w:br/>
      </w:r>
      <w:r w:rsidRPr="005C7435">
        <w:rPr>
          <w:rFonts w:cs="Courier New"/>
          <w:szCs w:val="24"/>
        </w:rPr>
        <w:t xml:space="preserve">(6)  In evaluating the acceptability of a contractor’s earned value management system, the contracting officer, in consultation with the functional specialist and auditor, shall determine whether the contractor’s earned value management system complies with the system criteria for an acceptable earned value management system as prescribed in the clause at </w:t>
      </w:r>
      <w:hyperlink r:id="rId17" w:anchor="252.234-7002" w:history="1">
        <w:r w:rsidRPr="00323175">
          <w:rPr>
            <w:rStyle w:val="Hyperlink"/>
            <w:rFonts w:cs="Courier New"/>
            <w:szCs w:val="24"/>
          </w:rPr>
          <w:t>252.234-7002</w:t>
        </w:r>
      </w:hyperlink>
      <w:r w:rsidRPr="005C7435">
        <w:rPr>
          <w:rFonts w:cs="Courier New"/>
          <w:szCs w:val="24"/>
        </w:rPr>
        <w:t>, Earned Value Management System.</w:t>
      </w:r>
    </w:p>
    <w:p w14:paraId="1E1DDBE2" w14:textId="77777777" w:rsidR="00B62036" w:rsidRDefault="00B62036" w:rsidP="007A0CDC">
      <w:pPr>
        <w:pStyle w:val="List2"/>
      </w:pPr>
      <w:r>
        <w:rPr>
          <w:rFonts w:cs="Courier New"/>
          <w:szCs w:val="24"/>
        </w:rPr>
        <w:br/>
      </w:r>
      <w:r w:rsidRPr="005C7435">
        <w:rPr>
          <w:rFonts w:cs="Courier New"/>
          <w:szCs w:val="24"/>
        </w:rPr>
        <w:t xml:space="preserve">(7)  </w:t>
      </w:r>
      <w:r w:rsidRPr="005C7435">
        <w:rPr>
          <w:rFonts w:cs="Courier New"/>
          <w:i/>
          <w:szCs w:val="24"/>
        </w:rPr>
        <w:t>Disposition of findings</w:t>
      </w:r>
      <w:r w:rsidRPr="005C7435">
        <w:rPr>
          <w:rFonts w:cs="Courier New"/>
          <w:szCs w:val="24"/>
        </w:rPr>
        <w:t>—</w:t>
      </w:r>
    </w:p>
    <w:p w14:paraId="7A89279E" w14:textId="77777777" w:rsidR="00B62036" w:rsidRDefault="00B62036" w:rsidP="007A0CDC">
      <w:pPr>
        <w:pStyle w:val="List3"/>
      </w:pPr>
      <w:r>
        <w:rPr>
          <w:rFonts w:cs="Courier New"/>
          <w:szCs w:val="24"/>
        </w:rPr>
        <w:br/>
      </w:r>
      <w:r w:rsidRPr="005C7435">
        <w:rPr>
          <w:rFonts w:cs="Courier New"/>
          <w:szCs w:val="24"/>
        </w:rPr>
        <w:t>(</w:t>
      </w:r>
      <w:proofErr w:type="spellStart"/>
      <w:r w:rsidRPr="005C7435">
        <w:rPr>
          <w:rFonts w:cs="Courier New"/>
          <w:szCs w:val="24"/>
        </w:rPr>
        <w:t>i</w:t>
      </w:r>
      <w:proofErr w:type="spellEnd"/>
      <w:r w:rsidRPr="005C7435">
        <w:rPr>
          <w:rFonts w:cs="Courier New"/>
          <w:szCs w:val="24"/>
        </w:rPr>
        <w:t xml:space="preserve">)  </w:t>
      </w:r>
      <w:r w:rsidRPr="005C7435">
        <w:rPr>
          <w:rFonts w:cs="Courier New"/>
          <w:i/>
          <w:szCs w:val="24"/>
        </w:rPr>
        <w:t>Reporting of findings</w:t>
      </w:r>
      <w:r w:rsidRPr="005C7435">
        <w:rPr>
          <w:rFonts w:cs="Courier New"/>
          <w:szCs w:val="24"/>
        </w:rPr>
        <w:t xml:space="preserve">.  The functional specialist or auditor shall document findings and recommendations in a report to the contracting officer.  If the functional specialist or auditor identifies any significant deficiencies in the contractor’s earned value management system, the report shall describe the deficiencies in </w:t>
      </w:r>
      <w:proofErr w:type="gramStart"/>
      <w:r w:rsidRPr="005C7435">
        <w:rPr>
          <w:rFonts w:cs="Courier New"/>
          <w:szCs w:val="24"/>
        </w:rPr>
        <w:t>sufficient</w:t>
      </w:r>
      <w:proofErr w:type="gramEnd"/>
      <w:r w:rsidRPr="005C7435">
        <w:rPr>
          <w:rFonts w:cs="Courier New"/>
          <w:szCs w:val="24"/>
        </w:rPr>
        <w:t xml:space="preserve"> detail to allow the contracting officer to understand the deficiencies. </w:t>
      </w:r>
    </w:p>
    <w:p w14:paraId="7AC1D347" w14:textId="77777777" w:rsidR="00B62036" w:rsidRDefault="00B62036" w:rsidP="007A0CDC">
      <w:pPr>
        <w:pStyle w:val="List3"/>
      </w:pPr>
      <w:r>
        <w:rPr>
          <w:rFonts w:cs="Courier New"/>
          <w:szCs w:val="24"/>
        </w:rPr>
        <w:br/>
      </w:r>
      <w:r w:rsidRPr="005C7435">
        <w:rPr>
          <w:rFonts w:cs="Courier New"/>
          <w:szCs w:val="24"/>
        </w:rPr>
        <w:t xml:space="preserve">(ii)  </w:t>
      </w:r>
      <w:r w:rsidRPr="005C7435">
        <w:rPr>
          <w:rFonts w:cs="Courier New"/>
          <w:i/>
          <w:szCs w:val="24"/>
        </w:rPr>
        <w:t>Initial determination</w:t>
      </w:r>
      <w:r w:rsidRPr="005C7435">
        <w:rPr>
          <w:rFonts w:cs="Courier New"/>
          <w:szCs w:val="24"/>
        </w:rPr>
        <w:t>.  (A)  The contracting officer shall review all findings and recommendations and, if there are no significant deficiencies, shall promptly notify the contractor, in writing, that the contractor’s earned value management system is acceptable and approved; or</w:t>
      </w:r>
    </w:p>
    <w:p w14:paraId="78D346CC" w14:textId="77777777" w:rsidR="00B62036" w:rsidRDefault="00B62036" w:rsidP="007A0CDC">
      <w:pPr>
        <w:pStyle w:val="List4"/>
      </w:pPr>
      <w:r>
        <w:rPr>
          <w:rFonts w:cs="Courier New"/>
          <w:szCs w:val="24"/>
        </w:rPr>
        <w:br/>
      </w:r>
      <w:r w:rsidRPr="005C7435">
        <w:rPr>
          <w:rFonts w:cs="Courier New"/>
          <w:szCs w:val="24"/>
        </w:rPr>
        <w:t xml:space="preserve">(B)  If the contracting officer finds that there are one or more significant deficiencies (as defined in the clause at </w:t>
      </w:r>
      <w:hyperlink r:id="rId18" w:anchor="252.234-7002" w:history="1">
        <w:r w:rsidRPr="00323175">
          <w:rPr>
            <w:rStyle w:val="Hyperlink"/>
            <w:rFonts w:cs="Courier New"/>
            <w:szCs w:val="24"/>
          </w:rPr>
          <w:t>252.234-7002</w:t>
        </w:r>
      </w:hyperlink>
      <w:r w:rsidRPr="005C7435">
        <w:rPr>
          <w:rFonts w:cs="Courier New"/>
          <w:szCs w:val="24"/>
        </w:rPr>
        <w:t xml:space="preserve">, Earned Value Management System) due to the contractor’s failure to meet one or more of the earned value management system criteria in the clause at </w:t>
      </w:r>
      <w:hyperlink r:id="rId19" w:anchor="252.234-7002" w:history="1">
        <w:r w:rsidRPr="00323175">
          <w:rPr>
            <w:rStyle w:val="Hyperlink"/>
            <w:rFonts w:cs="Courier New"/>
            <w:szCs w:val="24"/>
          </w:rPr>
          <w:t>252.234-7002</w:t>
        </w:r>
      </w:hyperlink>
      <w:r w:rsidRPr="005C7435">
        <w:rPr>
          <w:rFonts w:cs="Courier New"/>
          <w:szCs w:val="24"/>
        </w:rPr>
        <w:t>, the contracting officer shall—</w:t>
      </w:r>
    </w:p>
    <w:p w14:paraId="5C4FF1A0" w14:textId="77777777" w:rsidR="00B62036" w:rsidRDefault="00B62036" w:rsidP="007A0CDC">
      <w:pPr>
        <w:pStyle w:val="List2"/>
      </w:pPr>
      <w:r>
        <w:rPr>
          <w:rFonts w:cs="Courier New"/>
          <w:szCs w:val="24"/>
        </w:rPr>
        <w:br/>
      </w:r>
      <w:r w:rsidRPr="005C7435">
        <w:rPr>
          <w:rFonts w:cs="Courier New"/>
          <w:szCs w:val="24"/>
        </w:rPr>
        <w:t>(</w:t>
      </w:r>
      <w:r w:rsidRPr="005C7435">
        <w:rPr>
          <w:rFonts w:cs="Courier New"/>
          <w:i/>
          <w:szCs w:val="24"/>
        </w:rPr>
        <w:t>1</w:t>
      </w:r>
      <w:r w:rsidRPr="005C7435">
        <w:rPr>
          <w:rFonts w:cs="Courier New"/>
          <w:szCs w:val="24"/>
        </w:rPr>
        <w:t xml:space="preserve">)  Promptly make an initial written determination of any significant deficiencies and notify the contractor, in writing, providing a description of each significant deficiency in sufficient detail to allow the contractor to understand the </w:t>
      </w:r>
      <w:proofErr w:type="gramStart"/>
      <w:r w:rsidRPr="005C7435">
        <w:rPr>
          <w:rFonts w:cs="Courier New"/>
          <w:szCs w:val="24"/>
        </w:rPr>
        <w:t>deficiencies;</w:t>
      </w:r>
      <w:proofErr w:type="gramEnd"/>
    </w:p>
    <w:p w14:paraId="01F56829" w14:textId="77777777" w:rsidR="00B62036" w:rsidRDefault="00B62036" w:rsidP="007A0CDC">
      <w:pPr>
        <w:pStyle w:val="List2"/>
      </w:pPr>
      <w:r>
        <w:rPr>
          <w:rFonts w:cs="Courier New"/>
          <w:szCs w:val="24"/>
        </w:rPr>
        <w:br/>
      </w:r>
      <w:r w:rsidRPr="005C7435">
        <w:rPr>
          <w:rFonts w:cs="Courier New"/>
          <w:szCs w:val="24"/>
        </w:rPr>
        <w:t>(</w:t>
      </w:r>
      <w:r w:rsidRPr="005C7435">
        <w:rPr>
          <w:rFonts w:cs="Courier New"/>
          <w:i/>
          <w:szCs w:val="24"/>
        </w:rPr>
        <w:t>2</w:t>
      </w:r>
      <w:r w:rsidRPr="005C7435">
        <w:rPr>
          <w:rFonts w:cs="Courier New"/>
          <w:szCs w:val="24"/>
        </w:rPr>
        <w:t xml:space="preserve">)  Request the contractor to respond, in writing, to the initial determination within 30 </w:t>
      </w:r>
      <w:proofErr w:type="gramStart"/>
      <w:r w:rsidRPr="005C7435">
        <w:rPr>
          <w:rFonts w:cs="Courier New"/>
          <w:szCs w:val="24"/>
        </w:rPr>
        <w:t>days;</w:t>
      </w:r>
      <w:proofErr w:type="gramEnd"/>
      <w:r w:rsidRPr="005C7435">
        <w:rPr>
          <w:rFonts w:cs="Courier New"/>
          <w:szCs w:val="24"/>
        </w:rPr>
        <w:t xml:space="preserve"> and</w:t>
      </w:r>
    </w:p>
    <w:p w14:paraId="3EA9A8FD" w14:textId="77777777" w:rsidR="00B62036" w:rsidRDefault="00B62036" w:rsidP="007A0CDC">
      <w:pPr>
        <w:pStyle w:val="List2"/>
      </w:pPr>
      <w:r>
        <w:rPr>
          <w:rFonts w:cs="Courier New"/>
          <w:szCs w:val="24"/>
        </w:rPr>
        <w:lastRenderedPageBreak/>
        <w:br/>
      </w:r>
      <w:r w:rsidRPr="005C7435">
        <w:rPr>
          <w:rFonts w:cs="Courier New"/>
          <w:szCs w:val="24"/>
        </w:rPr>
        <w:t>(</w:t>
      </w:r>
      <w:r w:rsidRPr="005C7435">
        <w:rPr>
          <w:rFonts w:cs="Courier New"/>
          <w:i/>
          <w:szCs w:val="24"/>
        </w:rPr>
        <w:t>3</w:t>
      </w:r>
      <w:r w:rsidRPr="005C7435">
        <w:rPr>
          <w:rFonts w:cs="Courier New"/>
          <w:szCs w:val="24"/>
        </w:rPr>
        <w:t xml:space="preserve">)  Evaluate the contractor’s response to the initial determination, in consultation with the auditor or functional specialist, and make a final determination. </w:t>
      </w:r>
    </w:p>
    <w:p w14:paraId="0DC4BF51" w14:textId="77777777" w:rsidR="00B62036" w:rsidRDefault="00B62036" w:rsidP="007A0CDC">
      <w:pPr>
        <w:pStyle w:val="List3"/>
      </w:pPr>
      <w:r>
        <w:rPr>
          <w:rFonts w:cs="Courier New"/>
          <w:szCs w:val="24"/>
        </w:rPr>
        <w:br/>
      </w:r>
      <w:r w:rsidRPr="005C7435">
        <w:rPr>
          <w:rFonts w:cs="Courier New"/>
          <w:szCs w:val="24"/>
        </w:rPr>
        <w:t xml:space="preserve">(iii)  </w:t>
      </w:r>
      <w:r w:rsidRPr="005C7435">
        <w:rPr>
          <w:rFonts w:cs="Courier New"/>
          <w:i/>
          <w:szCs w:val="24"/>
        </w:rPr>
        <w:t>Final determination</w:t>
      </w:r>
      <w:r w:rsidRPr="005C7435">
        <w:rPr>
          <w:rFonts w:cs="Courier New"/>
          <w:szCs w:val="24"/>
        </w:rPr>
        <w:t xml:space="preserve">.  (A)  The contracting officer shall make a final determination and notify the contractor, in writing, that— </w:t>
      </w:r>
    </w:p>
    <w:p w14:paraId="4FEC42E4" w14:textId="77777777" w:rsidR="00B62036" w:rsidRDefault="00B62036" w:rsidP="007A0CDC">
      <w:pPr>
        <w:pStyle w:val="List2"/>
      </w:pPr>
      <w:r>
        <w:rPr>
          <w:rFonts w:cs="Courier New"/>
          <w:szCs w:val="24"/>
        </w:rPr>
        <w:br/>
      </w:r>
      <w:r w:rsidRPr="005C7435">
        <w:rPr>
          <w:rFonts w:cs="Courier New"/>
          <w:szCs w:val="24"/>
        </w:rPr>
        <w:t>(</w:t>
      </w:r>
      <w:r w:rsidRPr="005C7435">
        <w:rPr>
          <w:rFonts w:cs="Courier New"/>
          <w:i/>
          <w:szCs w:val="24"/>
        </w:rPr>
        <w:t>1</w:t>
      </w:r>
      <w:r w:rsidRPr="005C7435">
        <w:rPr>
          <w:rFonts w:cs="Courier New"/>
          <w:szCs w:val="24"/>
        </w:rPr>
        <w:t>)  The contractor’s earned value management system is acceptable and approved, and no significant deficiencies remain, or</w:t>
      </w:r>
    </w:p>
    <w:p w14:paraId="35CF1512" w14:textId="77777777" w:rsidR="00B62036" w:rsidRDefault="00B62036" w:rsidP="007A0CDC">
      <w:pPr>
        <w:pStyle w:val="List2"/>
      </w:pPr>
      <w:r>
        <w:rPr>
          <w:rFonts w:cs="Courier New"/>
          <w:szCs w:val="24"/>
        </w:rPr>
        <w:br/>
      </w:r>
      <w:r w:rsidRPr="005C7435">
        <w:rPr>
          <w:rFonts w:cs="Courier New"/>
          <w:szCs w:val="24"/>
        </w:rPr>
        <w:t>(</w:t>
      </w:r>
      <w:r w:rsidRPr="005C7435">
        <w:rPr>
          <w:rFonts w:cs="Courier New"/>
          <w:i/>
          <w:szCs w:val="24"/>
        </w:rPr>
        <w:t>2</w:t>
      </w:r>
      <w:r w:rsidRPr="005C7435">
        <w:rPr>
          <w:rFonts w:cs="Courier New"/>
          <w:szCs w:val="24"/>
        </w:rPr>
        <w:t xml:space="preserve">)  Significant deficiencies remain.  The notice shall identify any remaining significant </w:t>
      </w:r>
      <w:proofErr w:type="gramStart"/>
      <w:r w:rsidRPr="005C7435">
        <w:rPr>
          <w:rFonts w:cs="Courier New"/>
          <w:szCs w:val="24"/>
        </w:rPr>
        <w:t>deficiencies, and</w:t>
      </w:r>
      <w:proofErr w:type="gramEnd"/>
      <w:r w:rsidRPr="005C7435">
        <w:rPr>
          <w:rFonts w:cs="Courier New"/>
          <w:szCs w:val="24"/>
        </w:rPr>
        <w:t xml:space="preserve"> indicate the adequacy of any proposed or completed corrective action.  The contracting officer shall— </w:t>
      </w:r>
    </w:p>
    <w:p w14:paraId="6468311F" w14:textId="77777777" w:rsidR="00B62036" w:rsidRPr="005C7435" w:rsidRDefault="00B62036" w:rsidP="007A0CDC">
      <w:pPr>
        <w:pStyle w:val="List3"/>
      </w:pPr>
      <w:r>
        <w:br/>
      </w:r>
      <w:r w:rsidRPr="005C7435">
        <w:t>(</w:t>
      </w:r>
      <w:proofErr w:type="spellStart"/>
      <w:r w:rsidRPr="005C7435">
        <w:rPr>
          <w:i/>
        </w:rPr>
        <w:t>i</w:t>
      </w:r>
      <w:proofErr w:type="spellEnd"/>
      <w:r w:rsidRPr="005C7435">
        <w:t xml:space="preserve">)  Request that the contractor, within 45 days of receipt of the final determination, either correct the deficiencies or submit an acceptable corrective action plan showing milestones and actions to eliminate the </w:t>
      </w:r>
      <w:proofErr w:type="gramStart"/>
      <w:r w:rsidRPr="005C7435">
        <w:t>deficiencies;</w:t>
      </w:r>
      <w:proofErr w:type="gramEnd"/>
    </w:p>
    <w:p w14:paraId="0C316D73" w14:textId="77777777" w:rsidR="00B62036" w:rsidRDefault="00B62036" w:rsidP="007A0CDC">
      <w:pPr>
        <w:pStyle w:val="List3"/>
      </w:pPr>
      <w:r>
        <w:br/>
      </w:r>
      <w:r w:rsidRPr="00390B62">
        <w:t>(</w:t>
      </w:r>
      <w:r w:rsidRPr="00390B62">
        <w:rPr>
          <w:i/>
        </w:rPr>
        <w:t>ii</w:t>
      </w:r>
      <w:r w:rsidRPr="00390B62">
        <w:t xml:space="preserve">)  Disapprove the system in accordance with the clause at </w:t>
      </w:r>
      <w:hyperlink r:id="rId20" w:anchor="252.234-7002" w:history="1">
        <w:r w:rsidRPr="00323175">
          <w:rPr>
            <w:rStyle w:val="Hyperlink"/>
          </w:rPr>
          <w:t>252.234-7002</w:t>
        </w:r>
      </w:hyperlink>
      <w:r w:rsidRPr="00390B62">
        <w:t xml:space="preserve">, Earned Value Management System, when initial validation is not successfully completed within the timeframe approved by the contracting officer, or the contracting officer determines that the existing earned value management system contains one or more significant deficiencies in high-risk guidelines in ANSI/EIA-748 standards (guidelines 1, 3, 6, 7, 8, 9, 10, 12, 16, 21, 23, 26, 27, 28, 30, or 32).  When the contracting officer determines that the existing earned value management system contains one or more significant deficiencies in one or more of the remaining 16 guidelines in ANSI/EIA-748 standards, the contracting officer shall use discretion to disapprove the system based on input received from functional specialists and the auditor; and  </w:t>
      </w:r>
    </w:p>
    <w:p w14:paraId="5F407991" w14:textId="77777777" w:rsidR="00B62036" w:rsidRDefault="00B62036" w:rsidP="007A0CDC">
      <w:pPr>
        <w:pStyle w:val="List3"/>
      </w:pPr>
      <w:r>
        <w:br/>
      </w:r>
      <w:r w:rsidRPr="00390B62">
        <w:t>(</w:t>
      </w:r>
      <w:r w:rsidRPr="00390B62">
        <w:rPr>
          <w:i/>
        </w:rPr>
        <w:t>iii</w:t>
      </w:r>
      <w:r w:rsidRPr="00390B62">
        <w:t xml:space="preserve">)  Withhold payments in accordance with the clause at </w:t>
      </w:r>
      <w:hyperlink r:id="rId21" w:anchor="252.242-7005" w:history="1">
        <w:r w:rsidRPr="00323175">
          <w:rPr>
            <w:rStyle w:val="Hyperlink"/>
          </w:rPr>
          <w:t>252.242-7005</w:t>
        </w:r>
      </w:hyperlink>
      <w:r w:rsidRPr="00390B62">
        <w:t>, Contractor Business Systems, if the clause is included in the contract.</w:t>
      </w:r>
    </w:p>
    <w:p w14:paraId="478490A2" w14:textId="77777777" w:rsidR="00B62036" w:rsidRDefault="00B62036" w:rsidP="007A0CDC">
      <w:pPr>
        <w:pStyle w:val="List4"/>
      </w:pPr>
      <w:r>
        <w:rPr>
          <w:rFonts w:cs="Courier New"/>
          <w:szCs w:val="24"/>
        </w:rPr>
        <w:br/>
      </w:r>
      <w:r w:rsidRPr="00390B62">
        <w:rPr>
          <w:rFonts w:cs="Courier New"/>
          <w:szCs w:val="24"/>
        </w:rPr>
        <w:t xml:space="preserve">(B)  Follow the procedures relating to </w:t>
      </w:r>
      <w:r w:rsidRPr="00390B62">
        <w:rPr>
          <w:szCs w:val="24"/>
        </w:rPr>
        <w:t>monitoring a contractor's corrective action and the</w:t>
      </w:r>
      <w:r w:rsidRPr="00390B62">
        <w:rPr>
          <w:rFonts w:cs="Courier New"/>
          <w:szCs w:val="24"/>
        </w:rPr>
        <w:t xml:space="preserve"> correction of significant deficiencies at </w:t>
      </w:r>
      <w:hyperlink r:id="rId22" w:anchor="234.201" w:history="1">
        <w:r w:rsidRPr="00F63C88">
          <w:rPr>
            <w:rStyle w:val="Hyperlink"/>
            <w:rFonts w:cs="Courier New"/>
            <w:szCs w:val="24"/>
          </w:rPr>
          <w:t>PGI 234.201</w:t>
        </w:r>
      </w:hyperlink>
      <w:r w:rsidRPr="00F63C88">
        <w:rPr>
          <w:rFonts w:cs="Courier New"/>
          <w:szCs w:val="24"/>
        </w:rPr>
        <w:t>(</w:t>
      </w:r>
      <w:r w:rsidRPr="00390B62">
        <w:rPr>
          <w:rFonts w:cs="Courier New"/>
          <w:szCs w:val="24"/>
        </w:rPr>
        <w:t xml:space="preserve">7). </w:t>
      </w:r>
    </w:p>
    <w:p w14:paraId="43AD7257" w14:textId="77777777" w:rsidR="00B62036" w:rsidRDefault="00B62036" w:rsidP="007A0CDC">
      <w:pPr>
        <w:pStyle w:val="List2"/>
      </w:pPr>
      <w:r>
        <w:rPr>
          <w:rFonts w:cs="Courier New"/>
          <w:szCs w:val="24"/>
        </w:rPr>
        <w:br/>
      </w:r>
      <w:r w:rsidRPr="00390B62">
        <w:rPr>
          <w:rFonts w:cs="Courier New"/>
          <w:szCs w:val="24"/>
        </w:rPr>
        <w:t>(8)</w:t>
      </w:r>
      <w:r w:rsidRPr="00390B62">
        <w:rPr>
          <w:rFonts w:cs="Courier New"/>
          <w:szCs w:val="24"/>
        </w:rPr>
        <w:tab/>
      </w:r>
      <w:r w:rsidRPr="00390B62">
        <w:rPr>
          <w:rFonts w:cs="Courier New"/>
          <w:i/>
          <w:szCs w:val="24"/>
        </w:rPr>
        <w:t>System approval</w:t>
      </w:r>
      <w:r w:rsidRPr="00390B62">
        <w:rPr>
          <w:rFonts w:cs="Courier New"/>
          <w:szCs w:val="24"/>
        </w:rPr>
        <w:t xml:space="preserve">.  The contracting officer shall promptly approve a previously disapproved earned value management system and notify the contractor when the contracting officer determines that there are no remaining significant deficiencies.  </w:t>
      </w:r>
    </w:p>
    <w:p w14:paraId="70084520" w14:textId="77777777" w:rsidR="00B62036" w:rsidRDefault="00B62036" w:rsidP="007A0CDC">
      <w:pPr>
        <w:pStyle w:val="List2"/>
      </w:pPr>
      <w:r>
        <w:rPr>
          <w:rFonts w:cs="Courier New"/>
          <w:szCs w:val="24"/>
        </w:rPr>
        <w:br/>
      </w:r>
      <w:r w:rsidRPr="00390B62">
        <w:rPr>
          <w:rFonts w:cs="Courier New"/>
          <w:szCs w:val="24"/>
        </w:rPr>
        <w:t xml:space="preserve">(9)  </w:t>
      </w:r>
      <w:r w:rsidRPr="00390B62">
        <w:rPr>
          <w:rFonts w:cs="Courier New"/>
          <w:i/>
          <w:szCs w:val="24"/>
        </w:rPr>
        <w:t>Contracting officer notifications</w:t>
      </w:r>
      <w:r w:rsidRPr="00390B62">
        <w:rPr>
          <w:rFonts w:cs="Courier New"/>
          <w:szCs w:val="24"/>
        </w:rPr>
        <w:t>.  The cognizant contracting officer shall promptly distribute copies of a determination to approve a system, disapprove a system and withhold payments, or approve a previously disapproved system and release withheld payments to the auditor; payment office; affected contracting officers at the buying activities; and cognizant contracting officers in contract administration activities.</w:t>
      </w:r>
    </w:p>
    <w:p w14:paraId="0850CE72" w14:textId="77777777" w:rsidR="00B62036" w:rsidRPr="00390B62" w:rsidRDefault="00B62036" w:rsidP="007A0CDC">
      <w:pPr>
        <w:pStyle w:val="Heading3"/>
      </w:pPr>
      <w:r>
        <w:rPr>
          <w:rFonts w:cs="Courier New"/>
          <w:szCs w:val="24"/>
        </w:rPr>
        <w:lastRenderedPageBreak/>
        <w:br/>
      </w:r>
      <w:bookmarkStart w:id="25" w:name="_Toc37345916"/>
      <w:bookmarkStart w:id="26" w:name="_Toc37677482"/>
      <w:bookmarkStart w:id="27" w:name="_Toc37754346"/>
      <w:proofErr w:type="gramStart"/>
      <w:r w:rsidRPr="00F64C35">
        <w:rPr>
          <w:rFonts w:cs="Courier New"/>
          <w:szCs w:val="24"/>
        </w:rPr>
        <w:t>234</w:t>
      </w:r>
      <w:r w:rsidRPr="00390B62">
        <w:rPr>
          <w:rFonts w:cs="Courier New"/>
          <w:szCs w:val="24"/>
        </w:rPr>
        <w:t>.</w:t>
      </w:r>
      <w:r w:rsidRPr="00F64C35">
        <w:rPr>
          <w:rFonts w:cs="Courier New"/>
          <w:szCs w:val="24"/>
        </w:rPr>
        <w:t>203</w:t>
      </w:r>
      <w:r w:rsidRPr="00390B62">
        <w:rPr>
          <w:rFonts w:cs="Courier New"/>
          <w:szCs w:val="24"/>
        </w:rPr>
        <w:t xml:space="preserve">  </w:t>
      </w:r>
      <w:r w:rsidRPr="00F64C35">
        <w:rPr>
          <w:rFonts w:cs="Courier New"/>
          <w:szCs w:val="24"/>
        </w:rPr>
        <w:t>Solicitation</w:t>
      </w:r>
      <w:proofErr w:type="gramEnd"/>
      <w:r w:rsidRPr="00390B62">
        <w:rPr>
          <w:rFonts w:cs="Courier New"/>
          <w:szCs w:val="24"/>
        </w:rPr>
        <w:t xml:space="preserve"> </w:t>
      </w:r>
      <w:r w:rsidRPr="00F64C35">
        <w:rPr>
          <w:rFonts w:cs="Courier New"/>
          <w:szCs w:val="24"/>
        </w:rPr>
        <w:t>provisions</w:t>
      </w:r>
      <w:r w:rsidRPr="00390B62">
        <w:rPr>
          <w:rFonts w:cs="Courier New"/>
          <w:szCs w:val="24"/>
        </w:rPr>
        <w:t xml:space="preserve"> </w:t>
      </w:r>
      <w:r w:rsidRPr="00F64C35">
        <w:rPr>
          <w:rFonts w:cs="Courier New"/>
          <w:szCs w:val="24"/>
        </w:rPr>
        <w:t>and</w:t>
      </w:r>
      <w:r w:rsidRPr="00390B62">
        <w:rPr>
          <w:rFonts w:cs="Courier New"/>
          <w:szCs w:val="24"/>
        </w:rPr>
        <w:t xml:space="preserve"> </w:t>
      </w:r>
      <w:r w:rsidRPr="00F64C35">
        <w:rPr>
          <w:rFonts w:cs="Courier New"/>
          <w:szCs w:val="24"/>
        </w:rPr>
        <w:t>contract</w:t>
      </w:r>
      <w:r w:rsidRPr="00390B62">
        <w:rPr>
          <w:rFonts w:cs="Courier New"/>
          <w:szCs w:val="24"/>
        </w:rPr>
        <w:t xml:space="preserve"> </w:t>
      </w:r>
      <w:r w:rsidRPr="00F64C35">
        <w:rPr>
          <w:rFonts w:cs="Courier New"/>
          <w:szCs w:val="24"/>
        </w:rPr>
        <w:t>clause</w:t>
      </w:r>
      <w:r w:rsidRPr="00390B62">
        <w:rPr>
          <w:rFonts w:cs="Courier New"/>
          <w:szCs w:val="24"/>
        </w:rPr>
        <w:t>.</w:t>
      </w:r>
      <w:bookmarkEnd w:id="25"/>
      <w:bookmarkEnd w:id="26"/>
      <w:bookmarkEnd w:id="27"/>
    </w:p>
    <w:p w14:paraId="1F0C9B98" w14:textId="77777777" w:rsidR="00B62036" w:rsidRPr="007A0CDC" w:rsidRDefault="00B62036" w:rsidP="007A0CDC">
      <w:r w:rsidRPr="007A0CDC">
        <w:rPr>
          <w:rFonts w:cs="Courier New"/>
          <w:szCs w:val="24"/>
        </w:rPr>
        <w:t xml:space="preserve">For cost or incentive contracts valued at $20,000,000 or more, and for other contracts for which EVMS will be applied in accordance with </w:t>
      </w:r>
      <w:hyperlink r:id="rId23" w:anchor="234.201" w:history="1">
        <w:r w:rsidRPr="007A0CDC">
          <w:rPr>
            <w:rStyle w:val="Hyperlink"/>
            <w:rFonts w:cs="Courier New"/>
            <w:szCs w:val="24"/>
          </w:rPr>
          <w:t>234.201</w:t>
        </w:r>
      </w:hyperlink>
      <w:r w:rsidRPr="007A0CDC">
        <w:rPr>
          <w:rFonts w:cs="Courier New"/>
          <w:szCs w:val="24"/>
        </w:rPr>
        <w:t>(1)(iii) and (iv)—</w:t>
      </w:r>
    </w:p>
    <w:p w14:paraId="41B9E831" w14:textId="77777777" w:rsidR="00B62036" w:rsidRDefault="00B62036" w:rsidP="007A0CDC">
      <w:pPr>
        <w:pStyle w:val="List2"/>
      </w:pPr>
      <w:r>
        <w:rPr>
          <w:rFonts w:cs="Courier New"/>
          <w:szCs w:val="24"/>
        </w:rPr>
        <w:br/>
      </w:r>
      <w:r w:rsidRPr="00390B62">
        <w:rPr>
          <w:rFonts w:cs="Courier New"/>
          <w:szCs w:val="24"/>
        </w:rPr>
        <w:t xml:space="preserve">(1)  Use the provision at </w:t>
      </w:r>
      <w:hyperlink r:id="rId24" w:anchor="252.234-7001" w:history="1">
        <w:r w:rsidRPr="00F63C88">
          <w:rPr>
            <w:rStyle w:val="Hyperlink"/>
            <w:rFonts w:cs="Courier New"/>
            <w:szCs w:val="24"/>
          </w:rPr>
          <w:t>252.234-7001</w:t>
        </w:r>
      </w:hyperlink>
      <w:r w:rsidRPr="00390B62">
        <w:rPr>
          <w:rFonts w:cs="Courier New"/>
          <w:szCs w:val="24"/>
        </w:rPr>
        <w:t>, Notice of Earned Value Management System, instead of the provisions at FAR 52.234-2, Notice of Earned Value Management System – Pre-Award IBR, and FAR 52.234-3, Notice of Earned Value Management System – Post-Award IBR, in the solicitation; and</w:t>
      </w:r>
    </w:p>
    <w:p w14:paraId="140D6EB4" w14:textId="77777777" w:rsidR="00B62036" w:rsidRDefault="00B62036" w:rsidP="007A0CDC">
      <w:pPr>
        <w:pStyle w:val="List2"/>
      </w:pPr>
      <w:r>
        <w:rPr>
          <w:rFonts w:cs="Courier New"/>
          <w:szCs w:val="24"/>
        </w:rPr>
        <w:br/>
      </w:r>
      <w:r w:rsidRPr="00390B62">
        <w:rPr>
          <w:rFonts w:cs="Courier New"/>
          <w:szCs w:val="24"/>
        </w:rPr>
        <w:t xml:space="preserve">(2)  Use the clause at </w:t>
      </w:r>
      <w:hyperlink r:id="rId25" w:anchor="252.234-7002" w:history="1">
        <w:r w:rsidRPr="00F63C88">
          <w:rPr>
            <w:rStyle w:val="Hyperlink"/>
            <w:rFonts w:cs="Courier New"/>
            <w:szCs w:val="24"/>
          </w:rPr>
          <w:t>252.234-7002</w:t>
        </w:r>
      </w:hyperlink>
      <w:r w:rsidRPr="00390B62">
        <w:rPr>
          <w:rFonts w:cs="Courier New"/>
          <w:szCs w:val="24"/>
        </w:rPr>
        <w:t>, Earned Value Management System, instead of the clause at FAR 52.234-4, Earned Value Management System, in the solicitation and contract.</w:t>
      </w:r>
    </w:p>
    <w:p w14:paraId="625CAD21" w14:textId="77777777" w:rsidR="00B62036" w:rsidRPr="00390B62" w:rsidRDefault="00B62036" w:rsidP="007A0CDC">
      <w:r>
        <w:br/>
      </w:r>
    </w:p>
    <w:p w14:paraId="186ABE9B" w14:textId="77777777" w:rsidR="00B62036" w:rsidRDefault="00B62036">
      <w:pPr>
        <w:sectPr w:rsidR="00B62036" w:rsidSect="002F342C">
          <w:headerReference w:type="default" r:id="rId26"/>
          <w:footerReference w:type="default" r:id="rId27"/>
          <w:pgSz w:w="12240" w:h="15840"/>
          <w:pgMar w:top="1440" w:right="1440" w:bottom="1440" w:left="1440" w:header="720" w:footer="720" w:gutter="0"/>
          <w:cols w:space="720"/>
          <w:docGrid w:linePitch="360"/>
        </w:sectPr>
      </w:pPr>
    </w:p>
    <w:p w14:paraId="521EFE33" w14:textId="77777777" w:rsidR="00B62036" w:rsidRPr="001D42E7" w:rsidRDefault="00B62036" w:rsidP="001D42E7">
      <w:pPr>
        <w:pStyle w:val="Heading2"/>
      </w:pPr>
      <w:bookmarkStart w:id="28" w:name="_Toc37345917"/>
      <w:bookmarkStart w:id="29" w:name="_Toc37677483"/>
      <w:bookmarkStart w:id="30" w:name="_Toc37754347"/>
      <w:r w:rsidRPr="001D42E7">
        <w:rPr>
          <w:caps/>
        </w:rPr>
        <w:lastRenderedPageBreak/>
        <w:t>SUBPART 234.70—ACQUISITION OF MAJOR WEAPON SYSTEMS AS COMMERCIAL ITEMS</w:t>
      </w:r>
      <w:bookmarkEnd w:id="28"/>
      <w:bookmarkEnd w:id="29"/>
      <w:bookmarkEnd w:id="30"/>
    </w:p>
    <w:p w14:paraId="0A0AC5B8" w14:textId="77777777" w:rsidR="00B62036" w:rsidRPr="00752B2C" w:rsidRDefault="00B62036" w:rsidP="001D42E7">
      <w:pPr>
        <w:jc w:val="center"/>
      </w:pPr>
      <w:r w:rsidRPr="00752B2C">
        <w:rPr>
          <w:i/>
        </w:rPr>
        <w:t>(Revised January 31, 2018)</w:t>
      </w:r>
    </w:p>
    <w:p w14:paraId="5A4FD97E" w14:textId="77777777" w:rsidR="00B62036" w:rsidRDefault="00B62036" w:rsidP="00752B2C">
      <w:pPr>
        <w:pStyle w:val="Heading3"/>
      </w:pPr>
      <w:r>
        <w:rPr>
          <w:i/>
        </w:rPr>
        <w:br/>
      </w:r>
      <w:bookmarkStart w:id="31" w:name="_Toc37345918"/>
      <w:bookmarkStart w:id="32" w:name="_Toc37677484"/>
      <w:bookmarkStart w:id="33" w:name="_Toc37754348"/>
      <w:proofErr w:type="gramStart"/>
      <w:r w:rsidRPr="00611C84">
        <w:t>234</w:t>
      </w:r>
      <w:r>
        <w:t>.</w:t>
      </w:r>
      <w:r w:rsidRPr="00611C84">
        <w:t>7000</w:t>
      </w:r>
      <w:r>
        <w:t xml:space="preserve">  </w:t>
      </w:r>
      <w:r w:rsidRPr="00611C84">
        <w:t>Scope</w:t>
      </w:r>
      <w:proofErr w:type="gramEnd"/>
      <w:r>
        <w:t xml:space="preserve"> </w:t>
      </w:r>
      <w:r w:rsidRPr="00611C84">
        <w:t>of</w:t>
      </w:r>
      <w:r>
        <w:t xml:space="preserve"> </w:t>
      </w:r>
      <w:r w:rsidRPr="00611C84">
        <w:t>subpart</w:t>
      </w:r>
      <w:r>
        <w:t>.</w:t>
      </w:r>
      <w:bookmarkEnd w:id="31"/>
      <w:bookmarkEnd w:id="32"/>
      <w:bookmarkEnd w:id="33"/>
    </w:p>
    <w:p w14:paraId="445792B6" w14:textId="77777777" w:rsidR="00B62036" w:rsidRPr="00752B2C" w:rsidRDefault="00B62036" w:rsidP="00752B2C">
      <w:r w:rsidRPr="00752B2C">
        <w:t>This subpart—</w:t>
      </w:r>
    </w:p>
    <w:p w14:paraId="6EA42515" w14:textId="77777777" w:rsidR="00B62036" w:rsidRDefault="00B62036" w:rsidP="004C5AF2">
      <w:pPr>
        <w:pStyle w:val="List1"/>
      </w:pPr>
      <w:r>
        <w:br/>
        <w:t>(a)  Implements 10 U.S.C. 2379; and</w:t>
      </w:r>
    </w:p>
    <w:p w14:paraId="2A2F9615" w14:textId="77777777" w:rsidR="00B62036" w:rsidRDefault="00B62036" w:rsidP="004C5AF2">
      <w:pPr>
        <w:pStyle w:val="List1"/>
      </w:pPr>
      <w:r>
        <w:br/>
        <w:t>(b)  Requires a determination by the Secretary of Defense and a notification to Congress before acquiring a major weapon system as a commercial item.</w:t>
      </w:r>
    </w:p>
    <w:p w14:paraId="7E9D7C6A" w14:textId="77777777" w:rsidR="00B62036" w:rsidRDefault="00B62036" w:rsidP="00752B2C">
      <w:pPr>
        <w:pStyle w:val="Heading3"/>
      </w:pPr>
      <w:r>
        <w:br/>
      </w:r>
      <w:bookmarkStart w:id="34" w:name="_Toc37345919"/>
      <w:bookmarkStart w:id="35" w:name="_Toc37677485"/>
      <w:bookmarkStart w:id="36" w:name="_Toc37754349"/>
      <w:proofErr w:type="gramStart"/>
      <w:r w:rsidRPr="00611C84">
        <w:t>234</w:t>
      </w:r>
      <w:r>
        <w:t>.</w:t>
      </w:r>
      <w:r w:rsidRPr="00611C84">
        <w:t>7001</w:t>
      </w:r>
      <w:r>
        <w:t xml:space="preserve">  </w:t>
      </w:r>
      <w:r w:rsidRPr="00611C84">
        <w:t>Definition</w:t>
      </w:r>
      <w:proofErr w:type="gramEnd"/>
      <w:r>
        <w:t>.</w:t>
      </w:r>
      <w:bookmarkEnd w:id="34"/>
      <w:bookmarkEnd w:id="35"/>
      <w:bookmarkEnd w:id="36"/>
    </w:p>
    <w:p w14:paraId="7ABAF813" w14:textId="77777777" w:rsidR="00B62036" w:rsidRPr="00752B2C" w:rsidRDefault="00B62036" w:rsidP="00752B2C">
      <w:r w:rsidRPr="00752B2C">
        <w:t>“Major weapon system,” as used in this subpart, means a weapon system acquired pursuant to a major defense acquisition program.</w:t>
      </w:r>
    </w:p>
    <w:p w14:paraId="71CBDD9F" w14:textId="77777777" w:rsidR="00B62036" w:rsidRDefault="00B62036" w:rsidP="00752B2C">
      <w:pPr>
        <w:pStyle w:val="Heading3"/>
      </w:pPr>
      <w:r>
        <w:br/>
      </w:r>
      <w:bookmarkStart w:id="37" w:name="_Toc37345920"/>
      <w:bookmarkStart w:id="38" w:name="_Toc37677486"/>
      <w:bookmarkStart w:id="39" w:name="_Toc37754350"/>
      <w:proofErr w:type="gramStart"/>
      <w:r w:rsidRPr="00611C84">
        <w:rPr>
          <w:szCs w:val="24"/>
        </w:rPr>
        <w:t>234</w:t>
      </w:r>
      <w:r w:rsidRPr="00E40CD1">
        <w:rPr>
          <w:szCs w:val="24"/>
        </w:rPr>
        <w:t>.</w:t>
      </w:r>
      <w:r w:rsidRPr="00611C84">
        <w:rPr>
          <w:szCs w:val="24"/>
        </w:rPr>
        <w:t>7002</w:t>
      </w:r>
      <w:r w:rsidRPr="00E40CD1">
        <w:rPr>
          <w:szCs w:val="24"/>
        </w:rPr>
        <w:t xml:space="preserve">  </w:t>
      </w:r>
      <w:r w:rsidRPr="00611C84">
        <w:rPr>
          <w:szCs w:val="24"/>
        </w:rPr>
        <w:t>Policy</w:t>
      </w:r>
      <w:proofErr w:type="gramEnd"/>
      <w:r w:rsidRPr="00E40CD1">
        <w:rPr>
          <w:szCs w:val="24"/>
        </w:rPr>
        <w:t>.</w:t>
      </w:r>
      <w:bookmarkEnd w:id="37"/>
      <w:bookmarkEnd w:id="38"/>
      <w:bookmarkEnd w:id="39"/>
    </w:p>
    <w:p w14:paraId="35020C2E" w14:textId="77777777" w:rsidR="00B62036" w:rsidRDefault="00B62036" w:rsidP="004C5AF2">
      <w:pPr>
        <w:pStyle w:val="List1"/>
      </w:pPr>
      <w:r>
        <w:rPr>
          <w:b/>
          <w:szCs w:val="24"/>
        </w:rPr>
        <w:br/>
      </w:r>
      <w:r w:rsidRPr="00E40CD1">
        <w:rPr>
          <w:rFonts w:cs="Courier New"/>
          <w:szCs w:val="24"/>
        </w:rPr>
        <w:t xml:space="preserve">(a)  </w:t>
      </w:r>
      <w:r w:rsidRPr="00E40CD1">
        <w:rPr>
          <w:rFonts w:cs="Courier New"/>
          <w:i/>
          <w:szCs w:val="24"/>
        </w:rPr>
        <w:t>Major weapon systems</w:t>
      </w:r>
      <w:r w:rsidRPr="00E40CD1">
        <w:rPr>
          <w:rFonts w:cs="Courier New"/>
          <w:szCs w:val="24"/>
        </w:rPr>
        <w:t xml:space="preserve">.  </w:t>
      </w:r>
    </w:p>
    <w:p w14:paraId="2A9A1E73" w14:textId="77777777" w:rsidR="00B62036" w:rsidRDefault="00B62036" w:rsidP="00752B2C">
      <w:pPr>
        <w:pStyle w:val="List2"/>
      </w:pPr>
      <w:r>
        <w:rPr>
          <w:rFonts w:cs="Courier New"/>
          <w:szCs w:val="24"/>
        </w:rPr>
        <w:br/>
      </w:r>
      <w:r w:rsidRPr="00E40CD1">
        <w:rPr>
          <w:rFonts w:cs="Courier New"/>
          <w:szCs w:val="24"/>
        </w:rPr>
        <w:t>(1)  A DoD major weapon system may be treated as a commercial item, or acquired under procedures established for the acquisition of commercial items, only if—</w:t>
      </w:r>
    </w:p>
    <w:p w14:paraId="758EDE2B" w14:textId="77777777" w:rsidR="00B62036" w:rsidRDefault="00B62036" w:rsidP="00752B2C">
      <w:pPr>
        <w:pStyle w:val="List3"/>
      </w:pPr>
      <w:r>
        <w:rPr>
          <w:rFonts w:cs="Courier New"/>
          <w:szCs w:val="24"/>
        </w:rPr>
        <w:br/>
      </w:r>
      <w:r w:rsidRPr="00E40CD1">
        <w:rPr>
          <w:rFonts w:cs="Courier New"/>
          <w:szCs w:val="24"/>
        </w:rPr>
        <w:t>(</w:t>
      </w:r>
      <w:proofErr w:type="spellStart"/>
      <w:r w:rsidRPr="00E40CD1">
        <w:rPr>
          <w:rFonts w:cs="Courier New"/>
          <w:szCs w:val="24"/>
        </w:rPr>
        <w:t>i</w:t>
      </w:r>
      <w:proofErr w:type="spellEnd"/>
      <w:r w:rsidRPr="00E40CD1">
        <w:rPr>
          <w:rFonts w:cs="Courier New"/>
          <w:szCs w:val="24"/>
        </w:rPr>
        <w:t>)  The Secretary of Defense determines that—</w:t>
      </w:r>
    </w:p>
    <w:p w14:paraId="04EE00E6" w14:textId="77777777" w:rsidR="00B62036" w:rsidRDefault="00B62036" w:rsidP="00752B2C">
      <w:pPr>
        <w:pStyle w:val="List4"/>
      </w:pPr>
      <w:r>
        <w:rPr>
          <w:rFonts w:cs="Courier New"/>
          <w:szCs w:val="24"/>
        </w:rPr>
        <w:br/>
      </w:r>
      <w:r w:rsidRPr="00E40CD1">
        <w:rPr>
          <w:rFonts w:cs="Courier New"/>
          <w:szCs w:val="24"/>
        </w:rPr>
        <w:t>(A)  The major weapon system is a commercial item as defined in FAR 2.101; and</w:t>
      </w:r>
    </w:p>
    <w:p w14:paraId="39A532F9" w14:textId="77777777" w:rsidR="00B62036" w:rsidRDefault="00B62036" w:rsidP="00752B2C">
      <w:pPr>
        <w:pStyle w:val="List4"/>
      </w:pPr>
      <w:r>
        <w:rPr>
          <w:rFonts w:cs="Courier New"/>
          <w:szCs w:val="24"/>
        </w:rPr>
        <w:br/>
      </w:r>
      <w:r w:rsidRPr="00E40CD1">
        <w:rPr>
          <w:rFonts w:cs="Courier New"/>
          <w:szCs w:val="24"/>
        </w:rPr>
        <w:t xml:space="preserve">(B)  Such treatment is necessary to meet national security objectives; </w:t>
      </w:r>
      <w:r>
        <w:rPr>
          <w:rFonts w:cs="Courier New"/>
          <w:szCs w:val="24"/>
        </w:rPr>
        <w:t>and</w:t>
      </w:r>
    </w:p>
    <w:p w14:paraId="11A155DF" w14:textId="77777777" w:rsidR="00B62036" w:rsidRDefault="00B62036" w:rsidP="00752B2C">
      <w:pPr>
        <w:pStyle w:val="List3"/>
      </w:pPr>
      <w:r>
        <w:rPr>
          <w:rFonts w:cs="Courier New"/>
          <w:szCs w:val="24"/>
        </w:rPr>
        <w:br/>
      </w:r>
      <w:r w:rsidRPr="00E40CD1">
        <w:rPr>
          <w:rFonts w:cs="Courier New"/>
          <w:szCs w:val="24"/>
        </w:rPr>
        <w:t xml:space="preserve">(ii)  The congressional defense committees are notified at least 30 days before such treatment or acquisition occurs.  Follow the procedures at </w:t>
      </w:r>
      <w:hyperlink r:id="rId28" w:anchor="234.7002" w:history="1">
        <w:r w:rsidRPr="00D17F26">
          <w:rPr>
            <w:rStyle w:val="Hyperlink"/>
            <w:rFonts w:cs="Courier New"/>
            <w:szCs w:val="24"/>
          </w:rPr>
          <w:t>PGI 234.7002</w:t>
        </w:r>
      </w:hyperlink>
      <w:r w:rsidRPr="00E40CD1">
        <w:rPr>
          <w:rFonts w:cs="Courier New"/>
          <w:szCs w:val="24"/>
        </w:rPr>
        <w:t>.</w:t>
      </w:r>
    </w:p>
    <w:p w14:paraId="75681690" w14:textId="77777777" w:rsidR="00B62036" w:rsidRDefault="00B62036" w:rsidP="00752B2C">
      <w:pPr>
        <w:pStyle w:val="List2"/>
      </w:pPr>
      <w:r>
        <w:rPr>
          <w:rFonts w:cs="Courier New"/>
          <w:szCs w:val="24"/>
        </w:rPr>
        <w:br/>
      </w:r>
      <w:r w:rsidRPr="00E40CD1">
        <w:rPr>
          <w:rFonts w:cs="Courier New"/>
          <w:szCs w:val="24"/>
        </w:rPr>
        <w:t xml:space="preserve">(2)  The authority of the Secretary of Defense to </w:t>
      </w:r>
      <w:proofErr w:type="gramStart"/>
      <w:r w:rsidRPr="00E40CD1">
        <w:rPr>
          <w:rFonts w:cs="Courier New"/>
          <w:szCs w:val="24"/>
        </w:rPr>
        <w:t>make a determination</w:t>
      </w:r>
      <w:proofErr w:type="gramEnd"/>
      <w:r w:rsidRPr="00E40CD1">
        <w:rPr>
          <w:rFonts w:cs="Courier New"/>
          <w:szCs w:val="24"/>
        </w:rPr>
        <w:t xml:space="preserve"> under paragraph (a)(1) of this section may not be delegated below the level of the Deputy Secretary of Defense.</w:t>
      </w:r>
    </w:p>
    <w:p w14:paraId="35368840" w14:textId="77777777" w:rsidR="00B62036" w:rsidRDefault="00B62036" w:rsidP="004C5AF2">
      <w:pPr>
        <w:pStyle w:val="List1"/>
      </w:pPr>
      <w:r>
        <w:rPr>
          <w:rFonts w:cs="Courier New"/>
          <w:szCs w:val="24"/>
        </w:rPr>
        <w:br/>
      </w:r>
      <w:r w:rsidRPr="00E40CD1">
        <w:rPr>
          <w:rFonts w:cs="Courier New"/>
          <w:szCs w:val="24"/>
        </w:rPr>
        <w:t xml:space="preserve">(b)  </w:t>
      </w:r>
      <w:r w:rsidRPr="00E40CD1">
        <w:rPr>
          <w:rFonts w:cs="Courier New"/>
          <w:i/>
          <w:szCs w:val="24"/>
        </w:rPr>
        <w:t>Subsystems</w:t>
      </w:r>
      <w:r w:rsidRPr="00E40CD1">
        <w:rPr>
          <w:rFonts w:cs="Courier New"/>
          <w:szCs w:val="24"/>
        </w:rPr>
        <w:t xml:space="preserve">.  A subsystem of a major weapon system (other than a commercially available off-the-shelf item) </w:t>
      </w:r>
      <w:r>
        <w:rPr>
          <w:rFonts w:cs="Courier New"/>
          <w:szCs w:val="24"/>
        </w:rPr>
        <w:t>shall</w:t>
      </w:r>
      <w:r w:rsidRPr="00E40CD1">
        <w:rPr>
          <w:rFonts w:cs="Courier New"/>
          <w:szCs w:val="24"/>
        </w:rPr>
        <w:t xml:space="preserve"> be treated as a commercial item and acquired under procedures established for the acquisition of commercial items if—</w:t>
      </w:r>
    </w:p>
    <w:p w14:paraId="0815D57F" w14:textId="77777777" w:rsidR="00B62036" w:rsidRDefault="00B62036" w:rsidP="00752B2C">
      <w:pPr>
        <w:pStyle w:val="List2"/>
      </w:pPr>
      <w:r>
        <w:rPr>
          <w:rFonts w:cs="Courier New"/>
          <w:szCs w:val="24"/>
        </w:rPr>
        <w:lastRenderedPageBreak/>
        <w:br/>
      </w:r>
      <w:r w:rsidRPr="00E40CD1">
        <w:rPr>
          <w:rFonts w:cs="Courier New"/>
          <w:szCs w:val="24"/>
        </w:rPr>
        <w:t>(1)  The subsystem is intended for a major weapon system that is being acquired, or has been acquired, under procedures established for the acquisition of commercial items in accordance with paragraph (a) of this section; or</w:t>
      </w:r>
    </w:p>
    <w:p w14:paraId="48AC1F3C" w14:textId="77777777" w:rsidR="00B62036" w:rsidRDefault="00B62036" w:rsidP="00752B2C">
      <w:pPr>
        <w:pStyle w:val="List2"/>
      </w:pPr>
      <w:r>
        <w:rPr>
          <w:rFonts w:cs="Courier New"/>
          <w:szCs w:val="24"/>
        </w:rPr>
        <w:br/>
      </w:r>
      <w:r w:rsidRPr="00E40CD1">
        <w:rPr>
          <w:rFonts w:cs="Courier New"/>
          <w:szCs w:val="24"/>
        </w:rPr>
        <w:t>(2)  The contracting officer determines in writing that</w:t>
      </w:r>
      <w:r>
        <w:rPr>
          <w:rFonts w:cs="Courier New"/>
          <w:szCs w:val="24"/>
        </w:rPr>
        <w:t xml:space="preserve"> t</w:t>
      </w:r>
      <w:r w:rsidRPr="00E40CD1">
        <w:rPr>
          <w:rFonts w:cs="Courier New"/>
          <w:szCs w:val="24"/>
        </w:rPr>
        <w:t>he subsystem is a commercial item</w:t>
      </w:r>
      <w:r>
        <w:rPr>
          <w:rFonts w:cs="Courier New"/>
          <w:szCs w:val="24"/>
        </w:rPr>
        <w:t>.</w:t>
      </w:r>
    </w:p>
    <w:p w14:paraId="0E37202F" w14:textId="77777777" w:rsidR="00B62036" w:rsidRDefault="00B62036" w:rsidP="004C5AF2">
      <w:pPr>
        <w:pStyle w:val="List1"/>
      </w:pPr>
      <w:r>
        <w:rPr>
          <w:rFonts w:cs="Courier New"/>
          <w:szCs w:val="24"/>
        </w:rPr>
        <w:br/>
      </w:r>
      <w:r w:rsidRPr="00E40CD1">
        <w:rPr>
          <w:rFonts w:cs="Courier New"/>
          <w:szCs w:val="24"/>
        </w:rPr>
        <w:t xml:space="preserve">(c)  </w:t>
      </w:r>
      <w:r w:rsidRPr="00E40CD1">
        <w:rPr>
          <w:rFonts w:cs="Courier New"/>
          <w:i/>
          <w:szCs w:val="24"/>
        </w:rPr>
        <w:t>Components and spare parts</w:t>
      </w:r>
      <w:r w:rsidRPr="00E40CD1">
        <w:rPr>
          <w:rFonts w:cs="Courier New"/>
          <w:szCs w:val="24"/>
        </w:rPr>
        <w:t xml:space="preserve">.  </w:t>
      </w:r>
    </w:p>
    <w:p w14:paraId="73DA6750" w14:textId="77777777" w:rsidR="00B62036" w:rsidRDefault="00B62036" w:rsidP="00752B2C">
      <w:pPr>
        <w:pStyle w:val="List2"/>
      </w:pPr>
      <w:r>
        <w:rPr>
          <w:rFonts w:cs="Courier New"/>
          <w:szCs w:val="24"/>
        </w:rPr>
        <w:br/>
      </w:r>
      <w:r w:rsidRPr="00E40CD1">
        <w:rPr>
          <w:rFonts w:cs="Courier New"/>
          <w:szCs w:val="24"/>
        </w:rPr>
        <w:t>(1)  A component or spare part for a major weapon system (other than a commercially available off-the-shelf item) may be treated as a commercial item only if—</w:t>
      </w:r>
    </w:p>
    <w:p w14:paraId="1CBA69C4" w14:textId="77777777" w:rsidR="00B62036" w:rsidRDefault="00B62036" w:rsidP="00752B2C">
      <w:pPr>
        <w:pStyle w:val="List3"/>
      </w:pPr>
      <w:r>
        <w:rPr>
          <w:rFonts w:cs="Courier New"/>
          <w:szCs w:val="24"/>
        </w:rPr>
        <w:br/>
      </w:r>
      <w:r w:rsidRPr="00E40CD1">
        <w:rPr>
          <w:rFonts w:cs="Courier New"/>
          <w:szCs w:val="24"/>
        </w:rPr>
        <w:t>(</w:t>
      </w:r>
      <w:proofErr w:type="spellStart"/>
      <w:r w:rsidRPr="00E40CD1">
        <w:rPr>
          <w:rFonts w:cs="Courier New"/>
          <w:szCs w:val="24"/>
        </w:rPr>
        <w:t>i</w:t>
      </w:r>
      <w:proofErr w:type="spellEnd"/>
      <w:r w:rsidRPr="00E40CD1">
        <w:rPr>
          <w:rFonts w:cs="Courier New"/>
          <w:szCs w:val="24"/>
        </w:rPr>
        <w:t>)  The component or spare part is intended for—</w:t>
      </w:r>
    </w:p>
    <w:p w14:paraId="367847DD" w14:textId="77777777" w:rsidR="00B62036" w:rsidRDefault="00B62036" w:rsidP="00752B2C">
      <w:pPr>
        <w:pStyle w:val="List4"/>
      </w:pPr>
      <w:r>
        <w:rPr>
          <w:rFonts w:cs="Courier New"/>
          <w:szCs w:val="24"/>
        </w:rPr>
        <w:br/>
      </w:r>
      <w:r w:rsidRPr="00E40CD1">
        <w:rPr>
          <w:rFonts w:cs="Courier New"/>
          <w:szCs w:val="24"/>
        </w:rPr>
        <w:t>(A)  A major weapon system that is being acquired, or has been acquired, under procedures established for the acquisition of commercial items in accordance with paragraph (a) of this section; or</w:t>
      </w:r>
    </w:p>
    <w:p w14:paraId="3F69C3F3" w14:textId="77777777" w:rsidR="00B62036" w:rsidRDefault="00B62036" w:rsidP="00752B2C">
      <w:pPr>
        <w:pStyle w:val="List4"/>
      </w:pPr>
      <w:r>
        <w:rPr>
          <w:rFonts w:cs="Courier New"/>
          <w:szCs w:val="24"/>
        </w:rPr>
        <w:br/>
      </w:r>
      <w:r w:rsidRPr="00E40CD1">
        <w:rPr>
          <w:rFonts w:cs="Courier New"/>
          <w:szCs w:val="24"/>
        </w:rPr>
        <w:t xml:space="preserve">(B)  A subsystem of a major weapon system that is being acquired, or has been acquired, under procedures established for the acquisition of commercial items in accordance with paragraph (b) of this section; or </w:t>
      </w:r>
    </w:p>
    <w:p w14:paraId="578F12E0" w14:textId="77777777" w:rsidR="00B62036" w:rsidRDefault="00B62036" w:rsidP="00752B2C">
      <w:pPr>
        <w:pStyle w:val="List3"/>
      </w:pPr>
      <w:r>
        <w:rPr>
          <w:rFonts w:cs="Courier New"/>
          <w:szCs w:val="24"/>
        </w:rPr>
        <w:br/>
      </w:r>
      <w:r w:rsidRPr="00E40CD1">
        <w:rPr>
          <w:rFonts w:cs="Courier New"/>
          <w:szCs w:val="24"/>
        </w:rPr>
        <w:t>(ii)  The contracting officer determines in writing that</w:t>
      </w:r>
      <w:r>
        <w:rPr>
          <w:rFonts w:cs="Courier New"/>
          <w:szCs w:val="24"/>
        </w:rPr>
        <w:t xml:space="preserve"> t</w:t>
      </w:r>
      <w:r w:rsidRPr="00E40CD1">
        <w:rPr>
          <w:rFonts w:cs="Courier New"/>
          <w:szCs w:val="24"/>
        </w:rPr>
        <w:t>he component or spare part is a commercial item</w:t>
      </w:r>
      <w:r>
        <w:rPr>
          <w:rFonts w:cs="Courier New"/>
          <w:szCs w:val="24"/>
        </w:rPr>
        <w:t>.</w:t>
      </w:r>
    </w:p>
    <w:p w14:paraId="26D3EDCC" w14:textId="77777777" w:rsidR="00B62036" w:rsidRDefault="00B62036" w:rsidP="00752B2C">
      <w:pPr>
        <w:pStyle w:val="List2"/>
      </w:pPr>
      <w:r>
        <w:rPr>
          <w:rFonts w:cs="Courier New"/>
          <w:szCs w:val="24"/>
        </w:rPr>
        <w:br/>
      </w:r>
      <w:r w:rsidRPr="00E40CD1">
        <w:rPr>
          <w:rFonts w:cs="Courier New"/>
          <w:szCs w:val="24"/>
        </w:rPr>
        <w:t>(2)  This paragraph (c) shall apply only to components and spare parts that are acquired by DoD through a prime contract or a modification to a prime contract, or through a subcontract under a prime contract or modification to a prime contract on which the prime contractor adds no, or negligible, value.</w:t>
      </w:r>
    </w:p>
    <w:p w14:paraId="2B567D75" w14:textId="77777777" w:rsidR="00B62036" w:rsidRDefault="00B62036" w:rsidP="004C5AF2">
      <w:pPr>
        <w:pStyle w:val="List1"/>
      </w:pPr>
      <w:r>
        <w:rPr>
          <w:rFonts w:cs="Courier New"/>
          <w:szCs w:val="24"/>
        </w:rPr>
        <w:br/>
      </w:r>
      <w:r w:rsidRPr="00E40CD1">
        <w:rPr>
          <w:rFonts w:cs="Courier New"/>
          <w:szCs w:val="24"/>
        </w:rPr>
        <w:t xml:space="preserve">(d)  </w:t>
      </w:r>
      <w:r w:rsidRPr="00E40CD1">
        <w:rPr>
          <w:rFonts w:cs="Courier New"/>
          <w:i/>
          <w:szCs w:val="24"/>
        </w:rPr>
        <w:t>Relevant information</w:t>
      </w:r>
      <w:r w:rsidRPr="002A2002">
        <w:rPr>
          <w:rFonts w:cs="Courier New"/>
          <w:b/>
          <w:szCs w:val="24"/>
        </w:rPr>
        <w:t xml:space="preserve">.  </w:t>
      </w:r>
      <w:r w:rsidRPr="002A2002">
        <w:rPr>
          <w:rFonts w:cs="Courier New"/>
          <w:szCs w:val="24"/>
        </w:rPr>
        <w:t>This section implements 10 U.S.C. 2379.</w:t>
      </w:r>
    </w:p>
    <w:p w14:paraId="3017BCE2" w14:textId="77777777" w:rsidR="00B62036" w:rsidRDefault="00B62036" w:rsidP="00752B2C">
      <w:pPr>
        <w:pStyle w:val="List2"/>
      </w:pPr>
      <w:r>
        <w:rPr>
          <w:rFonts w:cs="Courier New"/>
          <w:szCs w:val="24"/>
        </w:rPr>
        <w:br/>
      </w:r>
      <w:r w:rsidRPr="002A2002">
        <w:rPr>
          <w:rFonts w:cs="Courier New"/>
          <w:szCs w:val="24"/>
        </w:rPr>
        <w:t xml:space="preserve">(1)  To the extent necessary to </w:t>
      </w:r>
      <w:proofErr w:type="gramStart"/>
      <w:r w:rsidRPr="002A2002">
        <w:rPr>
          <w:rFonts w:cs="Courier New"/>
          <w:szCs w:val="24"/>
        </w:rPr>
        <w:t>make a determination</w:t>
      </w:r>
      <w:proofErr w:type="gramEnd"/>
      <w:r w:rsidRPr="002A2002">
        <w:rPr>
          <w:rFonts w:cs="Courier New"/>
          <w:szCs w:val="24"/>
        </w:rPr>
        <w:t xml:space="preserve"> of price reasonableness, the contracting officer shall require the offeror to submit prices</w:t>
      </w:r>
      <w:r w:rsidRPr="00E40CD1">
        <w:rPr>
          <w:rFonts w:cs="Courier New"/>
          <w:szCs w:val="24"/>
        </w:rPr>
        <w:t xml:space="preserve"> paid for the same or similar commercial items under comparable terms and conditions by both Government and commercial customers.</w:t>
      </w:r>
    </w:p>
    <w:p w14:paraId="19B5F99A" w14:textId="77777777" w:rsidR="00B62036" w:rsidRDefault="00B62036" w:rsidP="00752B2C">
      <w:pPr>
        <w:pStyle w:val="List2"/>
      </w:pPr>
      <w:r>
        <w:rPr>
          <w:rFonts w:cs="Courier New"/>
          <w:szCs w:val="24"/>
        </w:rPr>
        <w:br/>
      </w:r>
      <w:r w:rsidRPr="002A2002">
        <w:rPr>
          <w:szCs w:val="24"/>
        </w:rPr>
        <w:t xml:space="preserve">(2)  If the contracting officer determines that the offeror cannot provide </w:t>
      </w:r>
      <w:proofErr w:type="gramStart"/>
      <w:r w:rsidRPr="002A2002">
        <w:rPr>
          <w:szCs w:val="24"/>
        </w:rPr>
        <w:t>sufficient</w:t>
      </w:r>
      <w:proofErr w:type="gramEnd"/>
      <w:r w:rsidRPr="002A2002">
        <w:rPr>
          <w:szCs w:val="24"/>
        </w:rPr>
        <w:t xml:space="preserve"> information described in paragraph (d)(1) of this section to determine the reasonableness of price, the contracting officer shall request the offeror to submit information on—</w:t>
      </w:r>
    </w:p>
    <w:p w14:paraId="75355811" w14:textId="77777777" w:rsidR="00B62036" w:rsidRDefault="00B62036" w:rsidP="00752B2C">
      <w:pPr>
        <w:pStyle w:val="List3"/>
      </w:pPr>
      <w:r>
        <w:rPr>
          <w:szCs w:val="24"/>
        </w:rPr>
        <w:br/>
      </w:r>
      <w:r w:rsidRPr="002A2002">
        <w:rPr>
          <w:szCs w:val="24"/>
        </w:rPr>
        <w:t>(</w:t>
      </w:r>
      <w:proofErr w:type="spellStart"/>
      <w:r w:rsidRPr="002A2002">
        <w:rPr>
          <w:szCs w:val="24"/>
        </w:rPr>
        <w:t>i</w:t>
      </w:r>
      <w:proofErr w:type="spellEnd"/>
      <w:r w:rsidRPr="002A2002">
        <w:rPr>
          <w:szCs w:val="24"/>
        </w:rPr>
        <w:t xml:space="preserve">)  Prices paid for the same or similar items under different terms and </w:t>
      </w:r>
      <w:proofErr w:type="gramStart"/>
      <w:r w:rsidRPr="002A2002">
        <w:rPr>
          <w:szCs w:val="24"/>
        </w:rPr>
        <w:t>conditions;</w:t>
      </w:r>
      <w:proofErr w:type="gramEnd"/>
    </w:p>
    <w:p w14:paraId="1A807D30" w14:textId="77777777" w:rsidR="00B62036" w:rsidRDefault="00B62036" w:rsidP="00752B2C">
      <w:pPr>
        <w:pStyle w:val="List3"/>
      </w:pPr>
      <w:r>
        <w:rPr>
          <w:szCs w:val="24"/>
        </w:rPr>
        <w:lastRenderedPageBreak/>
        <w:br/>
      </w:r>
      <w:r w:rsidRPr="002A2002">
        <w:rPr>
          <w:szCs w:val="24"/>
        </w:rPr>
        <w:t xml:space="preserve">(ii)  Prices paid for similar levels of work or effort on related products or </w:t>
      </w:r>
      <w:proofErr w:type="gramStart"/>
      <w:r w:rsidRPr="002A2002">
        <w:rPr>
          <w:szCs w:val="24"/>
        </w:rPr>
        <w:t>services;</w:t>
      </w:r>
      <w:proofErr w:type="gramEnd"/>
    </w:p>
    <w:p w14:paraId="4E4F5B66" w14:textId="77777777" w:rsidR="00B62036" w:rsidRDefault="00B62036" w:rsidP="00752B2C">
      <w:pPr>
        <w:pStyle w:val="List3"/>
      </w:pPr>
      <w:r>
        <w:rPr>
          <w:szCs w:val="24"/>
        </w:rPr>
        <w:br/>
      </w:r>
      <w:r w:rsidRPr="002A2002">
        <w:rPr>
          <w:szCs w:val="24"/>
        </w:rPr>
        <w:t>(iii)  Prices paid for alternative solutions or approaches; and</w:t>
      </w:r>
    </w:p>
    <w:p w14:paraId="55724466" w14:textId="77777777" w:rsidR="00B62036" w:rsidRDefault="00B62036" w:rsidP="00752B2C">
      <w:pPr>
        <w:pStyle w:val="List3"/>
      </w:pPr>
      <w:r>
        <w:rPr>
          <w:szCs w:val="24"/>
        </w:rPr>
        <w:br/>
      </w:r>
      <w:r w:rsidRPr="002A2002">
        <w:rPr>
          <w:szCs w:val="24"/>
        </w:rPr>
        <w:t>(iv)  Other relevant information that can serve as the basis for a price reasonableness determination.</w:t>
      </w:r>
    </w:p>
    <w:p w14:paraId="1BB6EFEC" w14:textId="77777777" w:rsidR="00B62036" w:rsidRDefault="00B62036" w:rsidP="00752B2C">
      <w:pPr>
        <w:pStyle w:val="List2"/>
      </w:pPr>
      <w:r>
        <w:rPr>
          <w:szCs w:val="24"/>
        </w:rPr>
        <w:br/>
      </w:r>
      <w:r w:rsidRPr="002A2002">
        <w:rPr>
          <w:szCs w:val="24"/>
        </w:rPr>
        <w:t xml:space="preserve">(3)  If the contracting officer determines that the information submitted pursuant to paragraphs (d)(1) and (2) of this section is not sufficient to determine the reasonableness of price, the contracting officer shall request the offeror to submit other relevant information, including uncertified cost data.  However, no uncertified cost data may be required in any case in which there are </w:t>
      </w:r>
      <w:proofErr w:type="gramStart"/>
      <w:r w:rsidRPr="002A2002">
        <w:rPr>
          <w:szCs w:val="24"/>
        </w:rPr>
        <w:t>sufficient</w:t>
      </w:r>
      <w:proofErr w:type="gramEnd"/>
      <w:r w:rsidRPr="002A2002">
        <w:rPr>
          <w:szCs w:val="24"/>
        </w:rPr>
        <w:t xml:space="preserve"> non-Government sales of the same item to establish reasonableness of price.</w:t>
      </w:r>
    </w:p>
    <w:p w14:paraId="541EF5AB" w14:textId="77777777" w:rsidR="00B62036" w:rsidRDefault="00B62036" w:rsidP="00752B2C">
      <w:pPr>
        <w:pStyle w:val="List2"/>
      </w:pPr>
      <w:r>
        <w:rPr>
          <w:szCs w:val="24"/>
        </w:rPr>
        <w:br/>
      </w:r>
      <w:r w:rsidRPr="002A2002">
        <w:rPr>
          <w:szCs w:val="24"/>
        </w:rPr>
        <w:t xml:space="preserve">(4)  An offeror shall not be required to submit information described in paragraph (d)(3) of this section </w:t>
      </w:r>
      <w:proofErr w:type="gramStart"/>
      <w:r w:rsidRPr="002A2002">
        <w:rPr>
          <w:szCs w:val="24"/>
        </w:rPr>
        <w:t>with regard to</w:t>
      </w:r>
      <w:proofErr w:type="gramEnd"/>
      <w:r w:rsidRPr="002A2002">
        <w:rPr>
          <w:szCs w:val="24"/>
        </w:rPr>
        <w:t xml:space="preserve"> a commercially available off-the-shelf item.  An offeror may be required to submit such information with regard to any other item that was developed exclusively at private expense only after the head of the contracting activity determines in writing that the information submitted pursuant to paragraphs (d)(1) and (2) of this section is not sufficient to determine the reasonableness of price.</w:t>
      </w:r>
    </w:p>
    <w:p w14:paraId="42C37F28" w14:textId="77777777" w:rsidR="00B62036" w:rsidRPr="00752B2C" w:rsidRDefault="00B62036" w:rsidP="00752B2C">
      <w:r w:rsidRPr="00752B2C">
        <w:rPr>
          <w:szCs w:val="24"/>
        </w:rPr>
        <w:br/>
      </w:r>
    </w:p>
    <w:p w14:paraId="60F1F9CC" w14:textId="77777777" w:rsidR="00B62036" w:rsidRDefault="00B62036">
      <w:pPr>
        <w:sectPr w:rsidR="00B62036" w:rsidSect="00093959">
          <w:headerReference w:type="default" r:id="rId29"/>
          <w:footerReference w:type="default" r:id="rId30"/>
          <w:pgSz w:w="12240" w:h="15840"/>
          <w:pgMar w:top="1440" w:right="1440" w:bottom="1440" w:left="1440" w:header="720" w:footer="720" w:gutter="0"/>
          <w:cols w:space="720"/>
          <w:docGrid w:linePitch="360"/>
        </w:sectPr>
      </w:pPr>
    </w:p>
    <w:p w14:paraId="3E08DFE6" w14:textId="77777777" w:rsidR="00B62036" w:rsidRPr="00761C03" w:rsidRDefault="00B62036" w:rsidP="00761C03">
      <w:pPr>
        <w:pStyle w:val="Heading2"/>
      </w:pPr>
      <w:bookmarkStart w:id="40" w:name="_Toc37345921"/>
      <w:bookmarkStart w:id="41" w:name="_Toc37677487"/>
      <w:bookmarkStart w:id="42" w:name="_Toc37754351"/>
      <w:r w:rsidRPr="00761C03">
        <w:rPr>
          <w:caps/>
        </w:rPr>
        <w:lastRenderedPageBreak/>
        <w:t>SUBPART 234.71—COST AND SOFTWARE DATA REPORTING</w:t>
      </w:r>
      <w:bookmarkEnd w:id="40"/>
      <w:bookmarkEnd w:id="41"/>
      <w:bookmarkEnd w:id="42"/>
    </w:p>
    <w:p w14:paraId="75825DC2" w14:textId="77777777" w:rsidR="00B62036" w:rsidRPr="00EB1FC9" w:rsidRDefault="00B62036" w:rsidP="00761C03">
      <w:pPr>
        <w:jc w:val="center"/>
      </w:pPr>
      <w:r w:rsidRPr="00EB1FC9">
        <w:rPr>
          <w:i/>
        </w:rPr>
        <w:t>(Revised November 5, 2014)</w:t>
      </w:r>
    </w:p>
    <w:p w14:paraId="2553C833" w14:textId="77777777" w:rsidR="00B62036" w:rsidRDefault="00B62036" w:rsidP="00EB1FC9">
      <w:pPr>
        <w:pStyle w:val="Heading3"/>
      </w:pPr>
      <w:r>
        <w:rPr>
          <w:i/>
        </w:rPr>
        <w:br/>
      </w:r>
      <w:bookmarkStart w:id="43" w:name="_Toc37345922"/>
      <w:bookmarkStart w:id="44" w:name="_Toc37677488"/>
      <w:bookmarkStart w:id="45" w:name="_Toc37754352"/>
      <w:proofErr w:type="gramStart"/>
      <w:r w:rsidRPr="00052C7A">
        <w:t>234</w:t>
      </w:r>
      <w:r>
        <w:t>.</w:t>
      </w:r>
      <w:r w:rsidRPr="00052C7A">
        <w:t>7100</w:t>
      </w:r>
      <w:r>
        <w:t xml:space="preserve">  </w:t>
      </w:r>
      <w:r w:rsidRPr="00052C7A">
        <w:t>Policy</w:t>
      </w:r>
      <w:proofErr w:type="gramEnd"/>
      <w:r>
        <w:t>.</w:t>
      </w:r>
      <w:bookmarkEnd w:id="43"/>
      <w:bookmarkEnd w:id="44"/>
      <w:bookmarkEnd w:id="45"/>
    </w:p>
    <w:p w14:paraId="1A341596" w14:textId="77777777" w:rsidR="00B62036" w:rsidRDefault="00B62036" w:rsidP="004C5AF2">
      <w:pPr>
        <w:pStyle w:val="List1"/>
      </w:pPr>
      <w:r>
        <w:rPr>
          <w:b/>
        </w:rPr>
        <w:br/>
      </w:r>
      <w:r w:rsidRPr="00C02E20">
        <w:t xml:space="preserve">(a)  </w:t>
      </w:r>
      <w:r w:rsidRPr="00C02E20">
        <w:rPr>
          <w:color w:val="000000"/>
        </w:rPr>
        <w:t xml:space="preserve">The cost and software data reporting (CSDR) requirement is mandatory for major defense acquisition programs (as defined in 10 U.S.C. 2430), and major automated information system programs (as defined in 10 U.S.C. 2445a) as specified in </w:t>
      </w:r>
      <w:proofErr w:type="spellStart"/>
      <w:r w:rsidRPr="00C02E20">
        <w:rPr>
          <w:color w:val="000000"/>
        </w:rPr>
        <w:t>DoDI</w:t>
      </w:r>
      <w:proofErr w:type="spellEnd"/>
      <w:r w:rsidRPr="00C02E20">
        <w:rPr>
          <w:color w:val="000000"/>
        </w:rPr>
        <w:t xml:space="preserve"> 5000.02, Operation of the Defense Acquisition System and the DoD 5000.04–M–1, CSDR Manual.  The CSDR system is applied in accordance with the reporting requirements established in </w:t>
      </w:r>
      <w:proofErr w:type="spellStart"/>
      <w:r w:rsidRPr="00C02E20">
        <w:rPr>
          <w:color w:val="000000"/>
        </w:rPr>
        <w:t>DoDI</w:t>
      </w:r>
      <w:proofErr w:type="spellEnd"/>
      <w:r w:rsidRPr="00C02E20">
        <w:rPr>
          <w:color w:val="000000"/>
        </w:rPr>
        <w:t xml:space="preserve"> 5000.02.  The two principal components of the CSDR system are contractor cost data reporting and software resources data reporting.</w:t>
      </w:r>
    </w:p>
    <w:p w14:paraId="5B2CD2CA" w14:textId="77777777" w:rsidR="00B62036" w:rsidRDefault="00B62036" w:rsidP="004C5AF2">
      <w:pPr>
        <w:pStyle w:val="List1"/>
      </w:pPr>
      <w:r>
        <w:rPr>
          <w:color w:val="000000"/>
        </w:rPr>
        <w:br/>
      </w:r>
      <w:r w:rsidRPr="00B003CB">
        <w:t xml:space="preserve">(b)  </w:t>
      </w:r>
      <w:r w:rsidRPr="00B003CB">
        <w:rPr>
          <w:rFonts w:cs="Courier New"/>
          <w:color w:val="000000"/>
        </w:rPr>
        <w:t xml:space="preserve">Prior to contract award, contracting officers shall consult with the Defense Cost and Resource Center to determine that the offeror selected for award has proposed a standard CSDR system, as described in the offeror’s proposal, in response to the provision at </w:t>
      </w:r>
      <w:hyperlink r:id="rId31" w:anchor="252.234-7003" w:history="1">
        <w:r w:rsidRPr="00012207">
          <w:rPr>
            <w:rStyle w:val="Hyperlink"/>
            <w:rFonts w:cs="Courier New"/>
          </w:rPr>
          <w:t>252.234–7003</w:t>
        </w:r>
      </w:hyperlink>
      <w:r w:rsidRPr="00B003CB">
        <w:rPr>
          <w:rFonts w:cs="Courier New"/>
          <w:color w:val="000000"/>
        </w:rPr>
        <w:t xml:space="preserve">, that is in compliance with </w:t>
      </w:r>
      <w:proofErr w:type="spellStart"/>
      <w:r w:rsidRPr="00B003CB">
        <w:rPr>
          <w:rFonts w:cs="Courier New"/>
          <w:color w:val="000000"/>
        </w:rPr>
        <w:t>DoDI</w:t>
      </w:r>
      <w:proofErr w:type="spellEnd"/>
      <w:r w:rsidRPr="00B003CB">
        <w:rPr>
          <w:rFonts w:cs="Courier New"/>
          <w:color w:val="000000"/>
        </w:rPr>
        <w:t xml:space="preserve"> 5000.02, Operation of the Defense Acquisition System, and the DoD 5000.04–M–1, CSDR Manual.</w:t>
      </w:r>
    </w:p>
    <w:p w14:paraId="619F6B2B" w14:textId="77777777" w:rsidR="00B62036" w:rsidRDefault="00B62036" w:rsidP="004C5AF2">
      <w:pPr>
        <w:pStyle w:val="List1"/>
      </w:pPr>
      <w:r>
        <w:rPr>
          <w:rFonts w:cs="Courier New"/>
          <w:color w:val="000000"/>
        </w:rPr>
        <w:br/>
      </w:r>
      <w:r w:rsidRPr="00B003CB">
        <w:rPr>
          <w:rFonts w:cs="Courier New"/>
          <w:color w:val="000000"/>
        </w:rPr>
        <w:t xml:space="preserve">(c)  Contact information for the Defense Cost and Resource Center and the Deputy Director, Cost Assessment, is located at </w:t>
      </w:r>
      <w:hyperlink r:id="rId32" w:anchor="234.7100" w:history="1">
        <w:r w:rsidRPr="00012207">
          <w:rPr>
            <w:rStyle w:val="Hyperlink"/>
            <w:rFonts w:cs="Courier New"/>
          </w:rPr>
          <w:t xml:space="preserve">PGI </w:t>
        </w:r>
        <w:r w:rsidRPr="00012207">
          <w:rPr>
            <w:rStyle w:val="Hyperlink"/>
          </w:rPr>
          <w:t>234.</w:t>
        </w:r>
        <w:r w:rsidRPr="00012207">
          <w:rPr>
            <w:rStyle w:val="Hyperlink"/>
            <w:rFonts w:cs="Courier New"/>
          </w:rPr>
          <w:t>7100</w:t>
        </w:r>
      </w:hyperlink>
      <w:r w:rsidRPr="00B003CB">
        <w:rPr>
          <w:rFonts w:cs="Courier New"/>
          <w:color w:val="000000"/>
        </w:rPr>
        <w:t>.</w:t>
      </w:r>
    </w:p>
    <w:p w14:paraId="3BDF3E04" w14:textId="77777777" w:rsidR="00B62036" w:rsidRDefault="00B62036" w:rsidP="00EB1FC9">
      <w:pPr>
        <w:pStyle w:val="Heading3"/>
      </w:pPr>
      <w:r>
        <w:br/>
      </w:r>
      <w:bookmarkStart w:id="46" w:name="_Toc37345923"/>
      <w:bookmarkStart w:id="47" w:name="_Toc37677489"/>
      <w:bookmarkStart w:id="48" w:name="_Toc37754353"/>
      <w:proofErr w:type="gramStart"/>
      <w:r w:rsidRPr="00052C7A">
        <w:t>234</w:t>
      </w:r>
      <w:r w:rsidRPr="00C23BB7">
        <w:t>.</w:t>
      </w:r>
      <w:r w:rsidRPr="00052C7A">
        <w:t>7101</w:t>
      </w:r>
      <w:r w:rsidRPr="00C23BB7">
        <w:t xml:space="preserve">  </w:t>
      </w:r>
      <w:r w:rsidRPr="00052C7A">
        <w:rPr>
          <w:rFonts w:cs="Courier New"/>
          <w:bCs/>
          <w:color w:val="000000"/>
        </w:rPr>
        <w:t>Solicitation</w:t>
      </w:r>
      <w:proofErr w:type="gramEnd"/>
      <w:r w:rsidRPr="00C23BB7">
        <w:rPr>
          <w:rFonts w:cs="Courier New"/>
          <w:bCs/>
          <w:color w:val="000000"/>
        </w:rPr>
        <w:t xml:space="preserve"> </w:t>
      </w:r>
      <w:r w:rsidRPr="00052C7A">
        <w:rPr>
          <w:rFonts w:cs="Courier New"/>
          <w:bCs/>
          <w:color w:val="000000"/>
        </w:rPr>
        <w:t>provision</w:t>
      </w:r>
      <w:r w:rsidRPr="00C23BB7">
        <w:rPr>
          <w:rFonts w:cs="Courier New"/>
          <w:bCs/>
          <w:color w:val="000000"/>
        </w:rPr>
        <w:t xml:space="preserve"> </w:t>
      </w:r>
      <w:r w:rsidRPr="00052C7A">
        <w:rPr>
          <w:rFonts w:cs="Courier New"/>
          <w:bCs/>
          <w:color w:val="000000"/>
        </w:rPr>
        <w:t>and</w:t>
      </w:r>
      <w:r w:rsidRPr="00C23BB7">
        <w:rPr>
          <w:rFonts w:cs="Courier New"/>
          <w:bCs/>
          <w:color w:val="000000"/>
        </w:rPr>
        <w:t xml:space="preserve"> </w:t>
      </w:r>
      <w:r w:rsidRPr="00052C7A">
        <w:rPr>
          <w:rFonts w:cs="Courier New"/>
          <w:bCs/>
          <w:color w:val="000000"/>
        </w:rPr>
        <w:t>contract</w:t>
      </w:r>
      <w:r w:rsidRPr="00C23BB7">
        <w:rPr>
          <w:rFonts w:cs="Courier New"/>
          <w:bCs/>
          <w:color w:val="000000"/>
        </w:rPr>
        <w:t xml:space="preserve"> </w:t>
      </w:r>
      <w:r w:rsidRPr="00052C7A">
        <w:rPr>
          <w:rFonts w:cs="Courier New"/>
          <w:bCs/>
          <w:color w:val="000000"/>
        </w:rPr>
        <w:t>clause</w:t>
      </w:r>
      <w:r w:rsidRPr="00C23BB7">
        <w:rPr>
          <w:rFonts w:cs="Courier New"/>
          <w:bCs/>
          <w:color w:val="000000"/>
        </w:rPr>
        <w:t>.</w:t>
      </w:r>
      <w:bookmarkEnd w:id="46"/>
      <w:bookmarkEnd w:id="47"/>
      <w:bookmarkEnd w:id="48"/>
    </w:p>
    <w:p w14:paraId="7E5B00C8" w14:textId="77777777" w:rsidR="00B62036" w:rsidRDefault="00B62036" w:rsidP="004C5AF2">
      <w:pPr>
        <w:pStyle w:val="List1"/>
      </w:pPr>
      <w:r>
        <w:rPr>
          <w:b/>
        </w:rPr>
        <w:br/>
      </w:r>
      <w:r w:rsidRPr="003B226A">
        <w:rPr>
          <w:spacing w:val="-5"/>
          <w:kern w:val="20"/>
        </w:rPr>
        <w:t xml:space="preserve">(a)  Use the basic or the alternate of the provision at </w:t>
      </w:r>
      <w:hyperlink r:id="rId33" w:anchor="252.234-7003" w:history="1">
        <w:r w:rsidRPr="00012207">
          <w:rPr>
            <w:rStyle w:val="Hyperlink"/>
            <w:spacing w:val="-5"/>
            <w:kern w:val="20"/>
          </w:rPr>
          <w:t>252.234-7003</w:t>
        </w:r>
      </w:hyperlink>
      <w:r w:rsidRPr="003B226A">
        <w:rPr>
          <w:spacing w:val="-5"/>
          <w:kern w:val="20"/>
        </w:rPr>
        <w:t xml:space="preserve">, </w:t>
      </w:r>
      <w:r w:rsidRPr="003B226A">
        <w:rPr>
          <w:rFonts w:cs="Courier New"/>
          <w:color w:val="000000"/>
          <w:spacing w:val="-5"/>
          <w:kern w:val="20"/>
        </w:rPr>
        <w:t xml:space="preserve">Notice of Cost and Software Data Reporting System, in any solicitation that includes the basic or the alternate of the clause at </w:t>
      </w:r>
      <w:hyperlink r:id="rId34" w:anchor="252.234-7004" w:history="1">
        <w:r w:rsidRPr="00012207">
          <w:rPr>
            <w:rStyle w:val="Hyperlink"/>
            <w:rFonts w:cs="Courier New"/>
            <w:spacing w:val="-5"/>
            <w:kern w:val="20"/>
          </w:rPr>
          <w:t>252.234-7004</w:t>
        </w:r>
      </w:hyperlink>
      <w:r w:rsidRPr="003B226A">
        <w:rPr>
          <w:rFonts w:cs="Courier New"/>
          <w:color w:val="000000"/>
          <w:spacing w:val="-5"/>
          <w:kern w:val="20"/>
        </w:rPr>
        <w:t>, Cost and Software Data Reporting.</w:t>
      </w:r>
    </w:p>
    <w:p w14:paraId="0439F6FD" w14:textId="77777777" w:rsidR="00B62036" w:rsidRDefault="00B62036" w:rsidP="00EB1FC9">
      <w:pPr>
        <w:pStyle w:val="List2"/>
      </w:pPr>
      <w:r>
        <w:rPr>
          <w:rFonts w:cs="Courier New"/>
          <w:b/>
          <w:bCs/>
          <w:color w:val="000000"/>
          <w:spacing w:val="-5"/>
          <w:kern w:val="20"/>
        </w:rPr>
        <w:br/>
      </w:r>
      <w:r w:rsidRPr="003B226A">
        <w:rPr>
          <w:spacing w:val="-5"/>
          <w:kern w:val="20"/>
        </w:rPr>
        <w:t xml:space="preserve">(1)  </w:t>
      </w:r>
      <w:r>
        <w:rPr>
          <w:rFonts w:cs="Courier New"/>
          <w:bCs/>
          <w:color w:val="000000"/>
          <w:spacing w:val="-5"/>
          <w:kern w:val="20"/>
        </w:rPr>
        <w:t>Use the basic</w:t>
      </w:r>
      <w:r w:rsidRPr="003B226A">
        <w:rPr>
          <w:rFonts w:cs="Courier New"/>
          <w:bCs/>
          <w:color w:val="000000"/>
          <w:spacing w:val="-5"/>
          <w:kern w:val="20"/>
        </w:rPr>
        <w:t xml:space="preserve"> provision when the solicitation includes the clause at </w:t>
      </w:r>
      <w:hyperlink r:id="rId35" w:anchor="252.234-7004" w:history="1">
        <w:r w:rsidRPr="00012207">
          <w:rPr>
            <w:rStyle w:val="Hyperlink"/>
            <w:rFonts w:cs="Courier New"/>
            <w:bCs/>
            <w:spacing w:val="-5"/>
            <w:kern w:val="20"/>
          </w:rPr>
          <w:t>252.234-7004</w:t>
        </w:r>
      </w:hyperlink>
      <w:r w:rsidRPr="003B226A">
        <w:rPr>
          <w:rFonts w:cs="Courier New"/>
          <w:bCs/>
          <w:color w:val="000000"/>
          <w:spacing w:val="-5"/>
          <w:kern w:val="20"/>
        </w:rPr>
        <w:t>, Cost and Software Data Reporting—Basic.</w:t>
      </w:r>
    </w:p>
    <w:p w14:paraId="3EC504FA" w14:textId="77777777" w:rsidR="00B62036" w:rsidRDefault="00B62036" w:rsidP="00EB1FC9">
      <w:pPr>
        <w:pStyle w:val="List2"/>
      </w:pPr>
      <w:r>
        <w:rPr>
          <w:b/>
          <w:spacing w:val="-5"/>
          <w:kern w:val="20"/>
        </w:rPr>
        <w:br/>
      </w:r>
      <w:r w:rsidRPr="003B226A">
        <w:rPr>
          <w:spacing w:val="-5"/>
          <w:kern w:val="20"/>
        </w:rPr>
        <w:t xml:space="preserve">(2)  </w:t>
      </w:r>
      <w:r w:rsidRPr="003B226A">
        <w:rPr>
          <w:rFonts w:cs="Courier New"/>
          <w:bCs/>
          <w:color w:val="000000"/>
          <w:spacing w:val="-5"/>
          <w:kern w:val="20"/>
        </w:rPr>
        <w:t xml:space="preserve">Use the alternate I provision when the solicitation includes the clause at </w:t>
      </w:r>
      <w:hyperlink r:id="rId36" w:anchor="252.234-7004" w:history="1">
        <w:r w:rsidRPr="00012207">
          <w:rPr>
            <w:rStyle w:val="Hyperlink"/>
            <w:rFonts w:cs="Courier New"/>
            <w:bCs/>
            <w:spacing w:val="-5"/>
            <w:kern w:val="20"/>
          </w:rPr>
          <w:t>252.234-7004</w:t>
        </w:r>
      </w:hyperlink>
      <w:r w:rsidRPr="003B226A">
        <w:rPr>
          <w:rFonts w:cs="Courier New"/>
          <w:bCs/>
          <w:color w:val="000000"/>
          <w:spacing w:val="-5"/>
          <w:kern w:val="20"/>
        </w:rPr>
        <w:t>, Cost and Software Data Reporting—Alternate I.</w:t>
      </w:r>
    </w:p>
    <w:p w14:paraId="275CC616" w14:textId="77777777" w:rsidR="00B62036" w:rsidRDefault="00B62036" w:rsidP="004C5AF2">
      <w:pPr>
        <w:pStyle w:val="List1"/>
      </w:pPr>
      <w:r>
        <w:rPr>
          <w:b/>
          <w:spacing w:val="-5"/>
          <w:kern w:val="20"/>
        </w:rPr>
        <w:br/>
      </w:r>
      <w:r w:rsidRPr="003B226A">
        <w:rPr>
          <w:spacing w:val="-5"/>
          <w:kern w:val="20"/>
        </w:rPr>
        <w:t xml:space="preserve">(b)  Use the basic or the alternate of the clause at </w:t>
      </w:r>
      <w:hyperlink r:id="rId37" w:anchor="252.234-7004" w:history="1">
        <w:r w:rsidRPr="00012207">
          <w:rPr>
            <w:rStyle w:val="Hyperlink"/>
            <w:spacing w:val="-5"/>
            <w:kern w:val="20"/>
          </w:rPr>
          <w:t>252.234-7004</w:t>
        </w:r>
      </w:hyperlink>
      <w:r w:rsidRPr="003B226A">
        <w:rPr>
          <w:spacing w:val="-5"/>
          <w:kern w:val="20"/>
        </w:rPr>
        <w:t xml:space="preserve">, </w:t>
      </w:r>
      <w:r w:rsidRPr="003B226A">
        <w:rPr>
          <w:rFonts w:cs="Courier New"/>
          <w:color w:val="000000"/>
          <w:spacing w:val="-5"/>
          <w:kern w:val="20"/>
        </w:rPr>
        <w:t>Cost and Software Data Reporting System, in solicitations that include major defense acquisition programs or major automated information system programs as follows:</w:t>
      </w:r>
    </w:p>
    <w:p w14:paraId="2D27F69C" w14:textId="77777777" w:rsidR="00B62036" w:rsidRDefault="00B62036" w:rsidP="00EB1FC9">
      <w:pPr>
        <w:pStyle w:val="List2"/>
      </w:pPr>
      <w:r>
        <w:rPr>
          <w:b/>
          <w:spacing w:val="-5"/>
          <w:kern w:val="20"/>
        </w:rPr>
        <w:br/>
      </w:r>
      <w:r w:rsidRPr="003B226A">
        <w:rPr>
          <w:spacing w:val="-5"/>
          <w:kern w:val="20"/>
        </w:rPr>
        <w:t xml:space="preserve">(1)  </w:t>
      </w:r>
      <w:r w:rsidRPr="003B226A">
        <w:rPr>
          <w:rFonts w:cs="Courier New"/>
          <w:bCs/>
          <w:color w:val="000000"/>
          <w:spacing w:val="-5"/>
          <w:kern w:val="20"/>
        </w:rPr>
        <w:t>Use the basic clause in solicitations and contracts for major defense acquisition programs or major automated information system programs that exceed $50 million.</w:t>
      </w:r>
    </w:p>
    <w:p w14:paraId="712C967C" w14:textId="77777777" w:rsidR="00B62036" w:rsidRPr="003B226A" w:rsidRDefault="00B62036" w:rsidP="00EB1FC9">
      <w:pPr>
        <w:pStyle w:val="List2"/>
      </w:pPr>
      <w:r>
        <w:rPr>
          <w:rFonts w:cs="Courier New"/>
          <w:b/>
          <w:bCs/>
          <w:color w:val="000000"/>
          <w:spacing w:val="-5"/>
          <w:kern w:val="20"/>
        </w:rPr>
        <w:br/>
      </w:r>
      <w:r w:rsidRPr="003B226A">
        <w:rPr>
          <w:rFonts w:cs="Courier New"/>
          <w:bCs/>
          <w:color w:val="000000"/>
          <w:spacing w:val="-5"/>
          <w:kern w:val="20"/>
        </w:rPr>
        <w:t xml:space="preserve">(2)  Use the alternate I clause in solicitations and contracts for major defense acquisition programs or major automated information system programs with a value equal to or </w:t>
      </w:r>
      <w:r w:rsidRPr="003B226A">
        <w:rPr>
          <w:rFonts w:cs="Courier New"/>
          <w:bCs/>
          <w:color w:val="000000"/>
          <w:spacing w:val="-5"/>
          <w:kern w:val="20"/>
        </w:rPr>
        <w:lastRenderedPageBreak/>
        <w:t>greater than $20 million, but less than or equal to $50 million, when so directed by the program manager with the approval of the OSD Deputy Director, Cost Assessment.</w:t>
      </w:r>
    </w:p>
    <w:p w14:paraId="56960EC1" w14:textId="77777777" w:rsidR="00850595" w:rsidRDefault="00850595"/>
    <w:sectPr w:rsidR="00850595" w:rsidSect="00F113E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DDAE" w14:textId="77777777" w:rsidR="00167EB9" w:rsidRDefault="00167EB9">
      <w:pPr>
        <w:spacing w:after="0" w:line="240" w:lineRule="auto"/>
      </w:pPr>
      <w:r>
        <w:separator/>
      </w:r>
    </w:p>
  </w:endnote>
  <w:endnote w:type="continuationSeparator" w:id="0">
    <w:p w14:paraId="0B4A9518" w14:textId="77777777" w:rsidR="00167EB9" w:rsidRDefault="00167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FA4E4" w14:textId="77777777" w:rsidR="000A19C5" w:rsidRDefault="00167EB9">
    <w:pPr>
      <w:pStyle w:val="Footer"/>
      <w:rPr>
        <w:b/>
        <w:sz w:val="20"/>
      </w:rPr>
    </w:pPr>
  </w:p>
  <w:p w14:paraId="3AF5B6A4" w14:textId="77777777" w:rsidR="000A19C5" w:rsidRDefault="00167EB9">
    <w:pPr>
      <w:pStyle w:val="Footer"/>
      <w:rPr>
        <w:b/>
        <w:sz w:val="20"/>
      </w:rPr>
    </w:pPr>
  </w:p>
  <w:p w14:paraId="7F6C7622" w14:textId="77777777" w:rsidR="000A19C5" w:rsidRDefault="00B62036">
    <w:pPr>
      <w:pStyle w:val="Footer"/>
      <w:pBdr>
        <w:top w:val="single" w:sz="6" w:space="1" w:color="auto"/>
      </w:pBdr>
      <w:tabs>
        <w:tab w:val="clear" w:pos="8640"/>
        <w:tab w:val="right" w:pos="9260"/>
      </w:tabs>
      <w:rPr>
        <w:sz w:val="20"/>
      </w:rPr>
    </w:pPr>
    <w:r>
      <w:rPr>
        <w:sz w:val="20"/>
      </w:rPr>
      <w:t>1998 EDITION</w:t>
    </w:r>
    <w:r>
      <w:rPr>
        <w:sz w:val="20"/>
      </w:rPr>
      <w:tab/>
    </w:r>
    <w:r>
      <w:rPr>
        <w:sz w:val="20"/>
      </w:rPr>
      <w:tab/>
      <w:t>234.0-</w:t>
    </w:r>
    <w:r>
      <w:rPr>
        <w:sz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4B12A" w14:textId="77777777" w:rsidR="002816D2" w:rsidRDefault="00167EB9">
    <w:pPr>
      <w:pStyle w:val="Footer"/>
      <w:rPr>
        <w:b/>
        <w:sz w:val="20"/>
      </w:rPr>
    </w:pPr>
  </w:p>
  <w:p w14:paraId="261D4C8F" w14:textId="77777777" w:rsidR="002816D2" w:rsidRDefault="00167EB9">
    <w:pPr>
      <w:pStyle w:val="Footer"/>
      <w:rPr>
        <w:b/>
        <w:sz w:val="20"/>
      </w:rPr>
    </w:pPr>
  </w:p>
  <w:p w14:paraId="4D0EDB8C" w14:textId="77777777" w:rsidR="002816D2" w:rsidRDefault="00B62036">
    <w:pPr>
      <w:pStyle w:val="Footer"/>
      <w:pBdr>
        <w:top w:val="single" w:sz="6" w:space="1" w:color="auto"/>
      </w:pBdr>
      <w:tabs>
        <w:tab w:val="clear" w:pos="8640"/>
        <w:tab w:val="right" w:pos="9260"/>
      </w:tabs>
      <w:rPr>
        <w:sz w:val="20"/>
      </w:rPr>
    </w:pPr>
    <w:r>
      <w:rPr>
        <w:sz w:val="20"/>
      </w:rPr>
      <w:t>1998 EDITION</w:t>
    </w:r>
    <w:r>
      <w:rPr>
        <w:sz w:val="20"/>
      </w:rPr>
      <w:tab/>
    </w:r>
    <w:r>
      <w:rPr>
        <w:sz w:val="20"/>
      </w:rPr>
      <w:tab/>
      <w:t>234.2-</w:t>
    </w:r>
    <w:r>
      <w:rPr>
        <w:sz w:val="20"/>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FA203" w14:textId="77777777" w:rsidR="00E40CD1" w:rsidRDefault="00167EB9">
    <w:pPr>
      <w:pStyle w:val="Footer"/>
      <w:rPr>
        <w:b/>
        <w:sz w:val="20"/>
      </w:rPr>
    </w:pPr>
  </w:p>
  <w:p w14:paraId="67D73803" w14:textId="77777777" w:rsidR="00E40CD1" w:rsidRDefault="00167EB9">
    <w:pPr>
      <w:pStyle w:val="Footer"/>
      <w:rPr>
        <w:b/>
        <w:sz w:val="20"/>
      </w:rPr>
    </w:pPr>
  </w:p>
  <w:p w14:paraId="468CACA5" w14:textId="77777777" w:rsidR="00E40CD1" w:rsidRDefault="00B62036">
    <w:pPr>
      <w:pStyle w:val="Footer"/>
      <w:pBdr>
        <w:top w:val="single" w:sz="6" w:space="1" w:color="auto"/>
      </w:pBdr>
      <w:tabs>
        <w:tab w:val="clear" w:pos="8640"/>
        <w:tab w:val="right" w:pos="9260"/>
      </w:tabs>
      <w:rPr>
        <w:sz w:val="20"/>
      </w:rPr>
    </w:pPr>
    <w:r>
      <w:rPr>
        <w:sz w:val="20"/>
      </w:rPr>
      <w:t>1998 EDITION</w:t>
    </w:r>
    <w:r>
      <w:rPr>
        <w:sz w:val="20"/>
      </w:rPr>
      <w:tab/>
    </w:r>
    <w:r>
      <w:rPr>
        <w:sz w:val="20"/>
      </w:rPr>
      <w:tab/>
      <w:t>234.70-</w:t>
    </w:r>
    <w:r>
      <w:rPr>
        <w:sz w:val="20"/>
      </w:rPr>
      <w:pgNum/>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171DA" w14:textId="77777777" w:rsidR="00E40CD1" w:rsidRDefault="00167EB9">
    <w:pPr>
      <w:pStyle w:val="Footer"/>
      <w:rPr>
        <w:b/>
        <w:sz w:val="20"/>
      </w:rPr>
    </w:pPr>
  </w:p>
  <w:p w14:paraId="21D9AA2A" w14:textId="77777777" w:rsidR="00E40CD1" w:rsidRDefault="00167EB9">
    <w:pPr>
      <w:pStyle w:val="Footer"/>
      <w:rPr>
        <w:b/>
        <w:sz w:val="20"/>
      </w:rPr>
    </w:pPr>
  </w:p>
  <w:p w14:paraId="3661CB4D" w14:textId="77777777" w:rsidR="00E40CD1" w:rsidRDefault="00B62036">
    <w:pPr>
      <w:pStyle w:val="Footer"/>
      <w:pBdr>
        <w:top w:val="single" w:sz="6" w:space="1" w:color="auto"/>
      </w:pBdr>
      <w:tabs>
        <w:tab w:val="clear" w:pos="8640"/>
        <w:tab w:val="right" w:pos="9260"/>
      </w:tabs>
      <w:rPr>
        <w:sz w:val="20"/>
      </w:rPr>
    </w:pPr>
    <w:r>
      <w:rPr>
        <w:sz w:val="20"/>
      </w:rPr>
      <w:t>1998 EDITION</w:t>
    </w:r>
    <w:r>
      <w:rPr>
        <w:sz w:val="20"/>
      </w:rPr>
      <w:tab/>
    </w:r>
    <w:r>
      <w:rPr>
        <w:sz w:val="20"/>
      </w:rPr>
      <w:tab/>
      <w:t>234.71-</w:t>
    </w:r>
    <w:r>
      <w:rPr>
        <w:sz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6F1B7" w14:textId="77777777" w:rsidR="00167EB9" w:rsidRDefault="00167EB9">
      <w:pPr>
        <w:spacing w:after="0" w:line="240" w:lineRule="auto"/>
      </w:pPr>
      <w:r>
        <w:separator/>
      </w:r>
    </w:p>
  </w:footnote>
  <w:footnote w:type="continuationSeparator" w:id="0">
    <w:p w14:paraId="368C22E8" w14:textId="77777777" w:rsidR="00167EB9" w:rsidRDefault="00167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F9412" w14:textId="77777777" w:rsidR="000A19C5" w:rsidRDefault="00B62036">
    <w:pPr>
      <w:pStyle w:val="Header"/>
      <w:tabs>
        <w:tab w:val="clear" w:pos="8640"/>
      </w:tabs>
      <w:jc w:val="center"/>
    </w:pPr>
    <w:r>
      <w:t>Defense Federal Acquisition Regulation Supplement</w:t>
    </w:r>
  </w:p>
  <w:p w14:paraId="64904A15" w14:textId="77777777" w:rsidR="000A19C5" w:rsidRDefault="00167EB9">
    <w:pPr>
      <w:pStyle w:val="Header"/>
      <w:rPr>
        <w:b/>
        <w:sz w:val="20"/>
      </w:rPr>
    </w:pPr>
  </w:p>
  <w:p w14:paraId="0E76F5C7" w14:textId="77777777" w:rsidR="000A19C5" w:rsidRDefault="00B62036">
    <w:pPr>
      <w:pStyle w:val="Header"/>
      <w:pBdr>
        <w:bottom w:val="single" w:sz="6" w:space="1" w:color="auto"/>
      </w:pBdr>
      <w:tabs>
        <w:tab w:val="clear" w:pos="8640"/>
        <w:tab w:val="right" w:pos="9260"/>
      </w:tabs>
      <w:spacing w:after="20"/>
      <w:rPr>
        <w:sz w:val="20"/>
      </w:rPr>
    </w:pPr>
    <w:r>
      <w:rPr>
        <w:sz w:val="20"/>
      </w:rPr>
      <w:t>Part 234—Major System Acquisition</w:t>
    </w:r>
  </w:p>
  <w:p w14:paraId="04BF8739" w14:textId="77777777" w:rsidR="000A19C5" w:rsidRDefault="00167EB9">
    <w:pPr>
      <w:pStyle w:val="Header"/>
      <w:tabs>
        <w:tab w:val="clear" w:pos="8640"/>
        <w:tab w:val="right" w:pos="9260"/>
      </w:tabs>
      <w:spacing w:before="20" w:line="20" w:lineRule="exact"/>
      <w:rPr>
        <w:b/>
        <w:position w:val="6"/>
        <w:sz w:val="20"/>
      </w:rPr>
    </w:pPr>
  </w:p>
  <w:p w14:paraId="42B34476" w14:textId="77777777" w:rsidR="000A19C5" w:rsidRDefault="00167EB9">
    <w:pPr>
      <w:pStyle w:val="Header"/>
      <w:tabs>
        <w:tab w:val="clear" w:pos="8640"/>
        <w:tab w:val="right" w:pos="9260"/>
      </w:tabs>
      <w:rPr>
        <w:b/>
        <w:sz w:val="20"/>
      </w:rPr>
    </w:pPr>
  </w:p>
  <w:p w14:paraId="725649E4" w14:textId="77777777" w:rsidR="000A19C5" w:rsidRDefault="00167EB9">
    <w:pPr>
      <w:pStyle w:val="Header"/>
      <w:rPr>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8A16" w14:textId="77777777" w:rsidR="002816D2" w:rsidRDefault="00B62036">
    <w:pPr>
      <w:pStyle w:val="Header"/>
      <w:tabs>
        <w:tab w:val="clear" w:pos="8640"/>
      </w:tabs>
      <w:jc w:val="center"/>
    </w:pPr>
    <w:r>
      <w:t>Defense Federal Acquisition Regulation Supplement</w:t>
    </w:r>
  </w:p>
  <w:p w14:paraId="64C552EB" w14:textId="77777777" w:rsidR="002816D2" w:rsidRDefault="00167EB9">
    <w:pPr>
      <w:pStyle w:val="Header"/>
      <w:rPr>
        <w:b/>
        <w:sz w:val="20"/>
      </w:rPr>
    </w:pPr>
  </w:p>
  <w:p w14:paraId="010AF4EA" w14:textId="77777777" w:rsidR="002816D2" w:rsidRDefault="00B62036">
    <w:pPr>
      <w:pStyle w:val="Header"/>
      <w:pBdr>
        <w:bottom w:val="single" w:sz="6" w:space="1" w:color="auto"/>
      </w:pBdr>
      <w:tabs>
        <w:tab w:val="clear" w:pos="8640"/>
        <w:tab w:val="right" w:pos="9260"/>
      </w:tabs>
      <w:spacing w:after="20"/>
      <w:rPr>
        <w:sz w:val="20"/>
      </w:rPr>
    </w:pPr>
    <w:r>
      <w:rPr>
        <w:sz w:val="20"/>
      </w:rPr>
      <w:t>Part 234—Major System Acquisition</w:t>
    </w:r>
  </w:p>
  <w:p w14:paraId="1C626BEF" w14:textId="77777777" w:rsidR="002816D2" w:rsidRDefault="00167EB9">
    <w:pPr>
      <w:pStyle w:val="Header"/>
      <w:tabs>
        <w:tab w:val="clear" w:pos="8640"/>
        <w:tab w:val="right" w:pos="9260"/>
      </w:tabs>
      <w:spacing w:before="20" w:line="20" w:lineRule="exact"/>
      <w:rPr>
        <w:b/>
        <w:position w:val="6"/>
        <w:sz w:val="20"/>
      </w:rPr>
    </w:pPr>
  </w:p>
  <w:p w14:paraId="06D368C6" w14:textId="77777777" w:rsidR="002816D2" w:rsidRDefault="00167EB9">
    <w:pPr>
      <w:pStyle w:val="Header"/>
      <w:tabs>
        <w:tab w:val="clear" w:pos="8640"/>
        <w:tab w:val="right" w:pos="9260"/>
      </w:tabs>
      <w:rPr>
        <w:b/>
        <w:sz w:val="20"/>
      </w:rPr>
    </w:pPr>
  </w:p>
  <w:p w14:paraId="776734B4" w14:textId="77777777" w:rsidR="002816D2" w:rsidRDefault="00167EB9">
    <w:pPr>
      <w:pStyle w:val="Header"/>
      <w:rPr>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60880" w14:textId="77777777" w:rsidR="00E40CD1" w:rsidRDefault="00B62036">
    <w:pPr>
      <w:pStyle w:val="Header"/>
      <w:tabs>
        <w:tab w:val="clear" w:pos="8640"/>
      </w:tabs>
      <w:jc w:val="center"/>
    </w:pPr>
    <w:r>
      <w:t>Defense Federal Acquisition Regulation Supplement</w:t>
    </w:r>
  </w:p>
  <w:p w14:paraId="4621083E" w14:textId="77777777" w:rsidR="00E40CD1" w:rsidRDefault="00167EB9">
    <w:pPr>
      <w:pStyle w:val="Header"/>
      <w:rPr>
        <w:b/>
        <w:sz w:val="20"/>
      </w:rPr>
    </w:pPr>
  </w:p>
  <w:p w14:paraId="7C460205" w14:textId="77777777" w:rsidR="00E40CD1" w:rsidRDefault="00B62036">
    <w:pPr>
      <w:pStyle w:val="Header"/>
      <w:pBdr>
        <w:bottom w:val="single" w:sz="6" w:space="1" w:color="auto"/>
      </w:pBdr>
      <w:tabs>
        <w:tab w:val="clear" w:pos="8640"/>
        <w:tab w:val="right" w:pos="9260"/>
      </w:tabs>
      <w:spacing w:after="20"/>
      <w:rPr>
        <w:sz w:val="20"/>
      </w:rPr>
    </w:pPr>
    <w:r>
      <w:rPr>
        <w:sz w:val="20"/>
      </w:rPr>
      <w:t>Part 234—Major System Acquisition</w:t>
    </w:r>
  </w:p>
  <w:p w14:paraId="24C86F4E" w14:textId="77777777" w:rsidR="00E40CD1" w:rsidRDefault="00167EB9">
    <w:pPr>
      <w:pStyle w:val="Header"/>
      <w:tabs>
        <w:tab w:val="clear" w:pos="8640"/>
        <w:tab w:val="right" w:pos="9260"/>
      </w:tabs>
      <w:spacing w:before="20" w:line="20" w:lineRule="exact"/>
      <w:rPr>
        <w:b/>
        <w:position w:val="6"/>
        <w:sz w:val="20"/>
      </w:rPr>
    </w:pPr>
  </w:p>
  <w:p w14:paraId="3862D5FC" w14:textId="77777777" w:rsidR="00E40CD1" w:rsidRDefault="00167EB9">
    <w:pPr>
      <w:pStyle w:val="Header"/>
      <w:tabs>
        <w:tab w:val="clear" w:pos="8640"/>
        <w:tab w:val="right" w:pos="9260"/>
      </w:tabs>
      <w:rPr>
        <w:b/>
        <w:sz w:val="20"/>
      </w:rPr>
    </w:pPr>
  </w:p>
  <w:p w14:paraId="42B7E56F" w14:textId="77777777" w:rsidR="00E40CD1" w:rsidRDefault="00167EB9">
    <w:pPr>
      <w:pStyle w:val="Header"/>
      <w:rPr>
        <w:b/>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C5C7B" w14:textId="77777777" w:rsidR="00E40CD1" w:rsidRDefault="00B62036">
    <w:pPr>
      <w:pStyle w:val="Header"/>
      <w:tabs>
        <w:tab w:val="clear" w:pos="8640"/>
      </w:tabs>
      <w:jc w:val="center"/>
    </w:pPr>
    <w:r>
      <w:t>Defense Federal Acquisition Regulation Supplement</w:t>
    </w:r>
  </w:p>
  <w:p w14:paraId="03A4A923" w14:textId="77777777" w:rsidR="00E40CD1" w:rsidRDefault="00167EB9">
    <w:pPr>
      <w:pStyle w:val="Header"/>
      <w:rPr>
        <w:b/>
        <w:sz w:val="20"/>
      </w:rPr>
    </w:pPr>
  </w:p>
  <w:p w14:paraId="5EF95E02" w14:textId="77777777" w:rsidR="00E40CD1" w:rsidRDefault="00B62036">
    <w:pPr>
      <w:pStyle w:val="Header"/>
      <w:pBdr>
        <w:bottom w:val="single" w:sz="6" w:space="1" w:color="auto"/>
      </w:pBdr>
      <w:tabs>
        <w:tab w:val="clear" w:pos="8640"/>
        <w:tab w:val="right" w:pos="9260"/>
      </w:tabs>
      <w:spacing w:after="20"/>
      <w:rPr>
        <w:sz w:val="20"/>
      </w:rPr>
    </w:pPr>
    <w:r>
      <w:rPr>
        <w:sz w:val="20"/>
      </w:rPr>
      <w:t>Part 234—Major System Acquisition</w:t>
    </w:r>
  </w:p>
  <w:p w14:paraId="1F9858B5" w14:textId="77777777" w:rsidR="00E40CD1" w:rsidRDefault="00167EB9">
    <w:pPr>
      <w:pStyle w:val="Header"/>
      <w:tabs>
        <w:tab w:val="clear" w:pos="8640"/>
        <w:tab w:val="right" w:pos="9260"/>
      </w:tabs>
      <w:spacing w:before="20" w:line="20" w:lineRule="exact"/>
      <w:rPr>
        <w:b/>
        <w:position w:val="6"/>
        <w:sz w:val="20"/>
      </w:rPr>
    </w:pPr>
  </w:p>
  <w:p w14:paraId="328FD366" w14:textId="77777777" w:rsidR="00E40CD1" w:rsidRDefault="00167EB9">
    <w:pPr>
      <w:pStyle w:val="Header"/>
      <w:tabs>
        <w:tab w:val="clear" w:pos="8640"/>
        <w:tab w:val="right" w:pos="9260"/>
      </w:tabs>
      <w:rPr>
        <w:b/>
        <w:sz w:val="20"/>
      </w:rPr>
    </w:pPr>
  </w:p>
  <w:p w14:paraId="52ADBA02" w14:textId="77777777" w:rsidR="00E40CD1" w:rsidRDefault="00167EB9">
    <w:pPr>
      <w:pStyle w:val="Header"/>
      <w:rPr>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36"/>
    <w:rsid w:val="00167EB9"/>
    <w:rsid w:val="004C5AF2"/>
    <w:rsid w:val="00505901"/>
    <w:rsid w:val="00541A8B"/>
    <w:rsid w:val="007D6208"/>
    <w:rsid w:val="00850595"/>
    <w:rsid w:val="00B62036"/>
    <w:rsid w:val="00B8095C"/>
    <w:rsid w:val="00BF48DE"/>
    <w:rsid w:val="00C06674"/>
    <w:rsid w:val="00C8402D"/>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EB37"/>
  <w15:chartTrackingRefBased/>
  <w15:docId w15:val="{CB26DD6B-CE58-4A70-A40B-35659960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rPr>
  </w:style>
  <w:style w:type="paragraph" w:styleId="Heading1">
    <w:name w:val="heading 1"/>
    <w:basedOn w:val="Normal"/>
    <w:link w:val="Heading1Char"/>
    <w:uiPriority w:val="9"/>
    <w:qFormat/>
    <w:rsid w:val="00B62036"/>
    <w:pPr>
      <w:keepNext/>
      <w:spacing w:before="240" w:after="60" w:line="240" w:lineRule="auto"/>
      <w:ind w:left="994" w:hanging="994"/>
      <w:jc w:val="center"/>
      <w:outlineLvl w:val="0"/>
    </w:pPr>
    <w:rPr>
      <w:rFonts w:eastAsiaTheme="majorEastAsia" w:cstheme="majorBidi"/>
      <w:b/>
      <w:kern w:val="32"/>
      <w:sz w:val="28"/>
      <w:szCs w:val="32"/>
    </w:rPr>
  </w:style>
  <w:style w:type="paragraph" w:styleId="Heading2">
    <w:name w:val="heading 2"/>
    <w:link w:val="Heading2Char"/>
    <w:unhideWhenUsed/>
    <w:qFormat/>
    <w:rsid w:val="00B62036"/>
    <w:pPr>
      <w:keepNext/>
      <w:spacing w:before="240" w:after="60" w:line="240" w:lineRule="auto"/>
      <w:jc w:val="center"/>
      <w:outlineLvl w:val="1"/>
    </w:pPr>
    <w:rPr>
      <w:rFonts w:ascii="Century Schoolbook" w:eastAsiaTheme="majorEastAsia" w:hAnsi="Century Schoolbook" w:cstheme="majorBidi"/>
      <w:b/>
      <w:bCs/>
      <w:iCs/>
      <w:sz w:val="28"/>
      <w:szCs w:val="28"/>
    </w:rPr>
  </w:style>
  <w:style w:type="paragraph" w:styleId="Heading3">
    <w:name w:val="heading 3"/>
    <w:link w:val="Heading3Char"/>
    <w:qFormat/>
    <w:rsid w:val="00B62036"/>
    <w:pPr>
      <w:keepNext/>
      <w:spacing w:before="120" w:after="120" w:line="240" w:lineRule="auto"/>
      <w:outlineLvl w:val="2"/>
    </w:pPr>
    <w:rPr>
      <w:rFonts w:ascii="Century Schoolbook" w:eastAsia="Times New Roman" w:hAnsi="Century Schoolbook" w:cs="Times New Roman"/>
      <w:b/>
      <w:sz w:val="24"/>
      <w:szCs w:val="20"/>
    </w:rPr>
  </w:style>
  <w:style w:type="paragraph" w:styleId="Heading4">
    <w:name w:val="heading 4"/>
    <w:basedOn w:val="Normal"/>
    <w:next w:val="Normal"/>
    <w:link w:val="Heading4Char"/>
    <w:qFormat/>
    <w:rsid w:val="00B62036"/>
    <w:pPr>
      <w:overflowPunct w:val="0"/>
      <w:autoSpaceDE w:val="0"/>
      <w:autoSpaceDN w:val="0"/>
      <w:adjustRightInd w:val="0"/>
      <w:spacing w:after="0" w:line="240" w:lineRule="auto"/>
      <w:textAlignment w:val="baseline"/>
      <w:outlineLvl w:val="3"/>
    </w:pPr>
    <w:rPr>
      <w:rFonts w:eastAsia="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036"/>
    <w:rPr>
      <w:rFonts w:ascii="Century Schoolbook" w:eastAsiaTheme="majorEastAsia" w:hAnsi="Century Schoolbook" w:cstheme="majorBidi"/>
      <w:b/>
      <w:kern w:val="32"/>
      <w:sz w:val="28"/>
      <w:szCs w:val="32"/>
    </w:rPr>
  </w:style>
  <w:style w:type="character" w:customStyle="1" w:styleId="Heading3Char">
    <w:name w:val="Heading 3 Char"/>
    <w:basedOn w:val="DefaultParagraphFont"/>
    <w:link w:val="Heading3"/>
    <w:rsid w:val="00B62036"/>
    <w:rPr>
      <w:rFonts w:ascii="Century Schoolbook" w:eastAsia="Times New Roman" w:hAnsi="Century Schoolbook" w:cs="Times New Roman"/>
      <w:b/>
      <w:sz w:val="24"/>
      <w:szCs w:val="20"/>
    </w:rPr>
  </w:style>
  <w:style w:type="character" w:customStyle="1" w:styleId="Heading4Char">
    <w:name w:val="Heading 4 Char"/>
    <w:basedOn w:val="DefaultParagraphFont"/>
    <w:link w:val="Heading4"/>
    <w:rsid w:val="00B62036"/>
    <w:rPr>
      <w:rFonts w:ascii="Century Schoolbook" w:eastAsia="Times New Roman" w:hAnsi="Century Schoolbook" w:cs="Times New Roman"/>
      <w:b/>
      <w:sz w:val="24"/>
      <w:szCs w:val="20"/>
    </w:rPr>
  </w:style>
  <w:style w:type="paragraph" w:styleId="Footer">
    <w:name w:val="footer"/>
    <w:basedOn w:val="Normal"/>
    <w:link w:val="FooterChar"/>
    <w:rsid w:val="00B62036"/>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FooterChar">
    <w:name w:val="Footer Char"/>
    <w:basedOn w:val="DefaultParagraphFont"/>
    <w:link w:val="Footer"/>
    <w:rsid w:val="00B62036"/>
    <w:rPr>
      <w:rFonts w:ascii="Century Schoolbook" w:eastAsia="Times New Roman" w:hAnsi="Century Schoolbook" w:cs="Times New Roman"/>
      <w:szCs w:val="20"/>
    </w:rPr>
  </w:style>
  <w:style w:type="paragraph" w:styleId="Header">
    <w:name w:val="header"/>
    <w:basedOn w:val="Normal"/>
    <w:link w:val="HeaderChar"/>
    <w:rsid w:val="00B62036"/>
    <w:pPr>
      <w:tabs>
        <w:tab w:val="left" w:pos="1000"/>
        <w:tab w:val="center" w:pos="4320"/>
        <w:tab w:val="right" w:pos="8640"/>
      </w:tabs>
      <w:overflowPunct w:val="0"/>
      <w:autoSpaceDE w:val="0"/>
      <w:autoSpaceDN w:val="0"/>
      <w:adjustRightInd w:val="0"/>
      <w:spacing w:after="0" w:line="240" w:lineRule="auto"/>
      <w:textAlignment w:val="baseline"/>
    </w:pPr>
    <w:rPr>
      <w:rFonts w:eastAsia="Times New Roman" w:cs="Times New Roman"/>
      <w:szCs w:val="20"/>
    </w:rPr>
  </w:style>
  <w:style w:type="character" w:customStyle="1" w:styleId="HeaderChar">
    <w:name w:val="Header Char"/>
    <w:basedOn w:val="DefaultParagraphFont"/>
    <w:link w:val="Header"/>
    <w:rsid w:val="00B62036"/>
    <w:rPr>
      <w:rFonts w:ascii="Century Schoolbook" w:eastAsia="Times New Roman" w:hAnsi="Century Schoolbook" w:cs="Times New Roman"/>
      <w:szCs w:val="20"/>
    </w:rPr>
  </w:style>
  <w:style w:type="character" w:styleId="Hyperlink">
    <w:name w:val="Hyperlink"/>
    <w:uiPriority w:val="99"/>
    <w:rsid w:val="00B62036"/>
    <w:rPr>
      <w:color w:val="0000FF"/>
      <w:u w:val="single"/>
    </w:rPr>
  </w:style>
  <w:style w:type="paragraph" w:styleId="List2">
    <w:name w:val="List 2"/>
    <w:link w:val="List2Char"/>
    <w:unhideWhenUsed/>
    <w:rsid w:val="00B62036"/>
    <w:pPr>
      <w:spacing w:after="0" w:line="240" w:lineRule="auto"/>
      <w:ind w:left="720" w:hanging="360"/>
      <w:contextualSpacing/>
    </w:pPr>
    <w:rPr>
      <w:rFonts w:ascii="Century Schoolbook" w:eastAsia="Times New Roman" w:hAnsi="Century Schoolbook" w:cs="Times New Roman"/>
      <w:szCs w:val="20"/>
    </w:rPr>
  </w:style>
  <w:style w:type="paragraph" w:styleId="List3">
    <w:name w:val="List 3"/>
    <w:unhideWhenUsed/>
    <w:rsid w:val="00B62036"/>
    <w:pPr>
      <w:spacing w:after="0" w:line="240" w:lineRule="auto"/>
      <w:ind w:left="1080" w:hanging="360"/>
      <w:contextualSpacing/>
    </w:pPr>
    <w:rPr>
      <w:rFonts w:ascii="Century Schoolbook" w:eastAsia="Times New Roman" w:hAnsi="Century Schoolbook" w:cs="Times New Roman"/>
      <w:szCs w:val="20"/>
    </w:rPr>
  </w:style>
  <w:style w:type="paragraph" w:styleId="List4">
    <w:name w:val="List 4"/>
    <w:link w:val="List4Char"/>
    <w:unhideWhenUsed/>
    <w:rsid w:val="00B62036"/>
    <w:pPr>
      <w:spacing w:after="0" w:line="240" w:lineRule="auto"/>
      <w:ind w:left="1440" w:hanging="360"/>
      <w:contextualSpacing/>
    </w:pPr>
    <w:rPr>
      <w:rFonts w:ascii="Century Schoolbook" w:eastAsia="Times New Roman" w:hAnsi="Century Schoolbook" w:cs="Times New Roman"/>
      <w:szCs w:val="20"/>
    </w:rPr>
  </w:style>
  <w:style w:type="character" w:customStyle="1" w:styleId="List4Char">
    <w:name w:val="List 4 Char"/>
    <w:basedOn w:val="DefaultParagraphFont"/>
    <w:link w:val="List4"/>
    <w:rsid w:val="00B62036"/>
    <w:rPr>
      <w:rFonts w:ascii="Century Schoolbook" w:eastAsia="Times New Roman" w:hAnsi="Century Schoolbook" w:cs="Times New Roman"/>
      <w:szCs w:val="20"/>
    </w:rPr>
  </w:style>
  <w:style w:type="character" w:customStyle="1" w:styleId="Heading2Char">
    <w:name w:val="Heading 2 Char"/>
    <w:basedOn w:val="DefaultParagraphFont"/>
    <w:link w:val="Heading2"/>
    <w:rsid w:val="00B62036"/>
    <w:rPr>
      <w:rFonts w:ascii="Century Schoolbook" w:eastAsiaTheme="majorEastAsia" w:hAnsi="Century Schoolbook" w:cstheme="majorBidi"/>
      <w:b/>
      <w:bCs/>
      <w:iCs/>
      <w:sz w:val="28"/>
      <w:szCs w:val="28"/>
    </w:rPr>
  </w:style>
  <w:style w:type="paragraph" w:customStyle="1" w:styleId="List1">
    <w:name w:val="List 1"/>
    <w:basedOn w:val="List2"/>
    <w:link w:val="List1Char"/>
    <w:autoRedefine/>
    <w:rsid w:val="004C5AF2"/>
    <w:pPr>
      <w:ind w:left="0" w:firstLine="0"/>
    </w:pPr>
  </w:style>
  <w:style w:type="character" w:customStyle="1" w:styleId="ListChar">
    <w:name w:val="List Char"/>
    <w:basedOn w:val="DefaultParagraphFont"/>
    <w:link w:val="List"/>
    <w:uiPriority w:val="99"/>
    <w:semiHidden/>
    <w:rsid w:val="004C5AF2"/>
  </w:style>
  <w:style w:type="character" w:customStyle="1" w:styleId="List2Char">
    <w:name w:val="List 2 Char"/>
    <w:basedOn w:val="DefaultParagraphFont"/>
    <w:link w:val="List2"/>
    <w:rsid w:val="00B62036"/>
    <w:rPr>
      <w:rFonts w:ascii="Century Schoolbook" w:eastAsia="Times New Roman" w:hAnsi="Century Schoolbook" w:cs="Times New Roman"/>
      <w:szCs w:val="20"/>
    </w:rPr>
  </w:style>
  <w:style w:type="paragraph" w:styleId="TOC1">
    <w:name w:val="toc 1"/>
    <w:basedOn w:val="Normal"/>
    <w:next w:val="Normal"/>
    <w:autoRedefine/>
    <w:uiPriority w:val="39"/>
    <w:unhideWhenUsed/>
    <w:rsid w:val="00B62036"/>
    <w:pPr>
      <w:spacing w:after="100"/>
    </w:pPr>
    <w:rPr>
      <w:rFonts w:cs="Arial"/>
    </w:rPr>
  </w:style>
  <w:style w:type="paragraph" w:styleId="TOC3">
    <w:name w:val="toc 3"/>
    <w:basedOn w:val="Normal"/>
    <w:next w:val="Normal"/>
    <w:autoRedefine/>
    <w:uiPriority w:val="39"/>
    <w:unhideWhenUsed/>
    <w:rsid w:val="00B62036"/>
    <w:pPr>
      <w:spacing w:after="100"/>
      <w:ind w:left="440"/>
    </w:pPr>
  </w:style>
  <w:style w:type="paragraph" w:styleId="TOC2">
    <w:name w:val="toc 2"/>
    <w:basedOn w:val="Normal"/>
    <w:next w:val="Normal"/>
    <w:autoRedefine/>
    <w:uiPriority w:val="39"/>
    <w:unhideWhenUsed/>
    <w:rsid w:val="00B62036"/>
    <w:pPr>
      <w:spacing w:after="100"/>
      <w:ind w:left="220"/>
    </w:pPr>
  </w:style>
  <w:style w:type="paragraph" w:styleId="TOC4">
    <w:name w:val="toc 4"/>
    <w:basedOn w:val="Normal"/>
    <w:next w:val="Normal"/>
    <w:autoRedefine/>
    <w:uiPriority w:val="39"/>
    <w:unhideWhenUsed/>
    <w:rsid w:val="00B62036"/>
    <w:pPr>
      <w:spacing w:after="100"/>
      <w:ind w:left="660"/>
    </w:pPr>
  </w:style>
  <w:style w:type="paragraph" w:styleId="TOC5">
    <w:name w:val="toc 5"/>
    <w:basedOn w:val="Normal"/>
    <w:next w:val="Normal"/>
    <w:autoRedefine/>
    <w:uiPriority w:val="39"/>
    <w:semiHidden/>
    <w:unhideWhenUsed/>
    <w:rsid w:val="00B62036"/>
    <w:pPr>
      <w:spacing w:after="100"/>
      <w:ind w:left="880"/>
    </w:pPr>
  </w:style>
  <w:style w:type="paragraph" w:styleId="TOC6">
    <w:name w:val="toc 6"/>
    <w:basedOn w:val="Normal"/>
    <w:next w:val="Normal"/>
    <w:autoRedefine/>
    <w:uiPriority w:val="39"/>
    <w:semiHidden/>
    <w:unhideWhenUsed/>
    <w:rsid w:val="00B62036"/>
    <w:pPr>
      <w:spacing w:after="100"/>
      <w:ind w:left="1100"/>
    </w:pPr>
  </w:style>
  <w:style w:type="paragraph" w:styleId="TOC7">
    <w:name w:val="toc 7"/>
    <w:basedOn w:val="Normal"/>
    <w:next w:val="Normal"/>
    <w:autoRedefine/>
    <w:uiPriority w:val="39"/>
    <w:semiHidden/>
    <w:unhideWhenUsed/>
    <w:rsid w:val="00B62036"/>
    <w:pPr>
      <w:spacing w:after="100"/>
      <w:ind w:left="1320"/>
    </w:pPr>
  </w:style>
  <w:style w:type="paragraph" w:styleId="TOC8">
    <w:name w:val="toc 8"/>
    <w:basedOn w:val="Normal"/>
    <w:next w:val="Normal"/>
    <w:autoRedefine/>
    <w:uiPriority w:val="39"/>
    <w:semiHidden/>
    <w:unhideWhenUsed/>
    <w:rsid w:val="00B62036"/>
    <w:pPr>
      <w:spacing w:after="100"/>
      <w:ind w:left="1540"/>
    </w:pPr>
  </w:style>
  <w:style w:type="paragraph" w:styleId="TOC9">
    <w:name w:val="toc 9"/>
    <w:basedOn w:val="Normal"/>
    <w:next w:val="Normal"/>
    <w:autoRedefine/>
    <w:uiPriority w:val="39"/>
    <w:semiHidden/>
    <w:unhideWhenUsed/>
    <w:rsid w:val="00B62036"/>
    <w:pPr>
      <w:spacing w:after="100"/>
      <w:ind w:left="1760"/>
    </w:pPr>
  </w:style>
  <w:style w:type="paragraph" w:styleId="List">
    <w:name w:val="List"/>
    <w:basedOn w:val="Normal"/>
    <w:link w:val="ListChar"/>
    <w:uiPriority w:val="99"/>
    <w:semiHidden/>
    <w:unhideWhenUsed/>
    <w:rsid w:val="004C5AF2"/>
    <w:pPr>
      <w:ind w:left="360" w:hanging="360"/>
      <w:contextualSpacing/>
    </w:pPr>
  </w:style>
  <w:style w:type="character" w:customStyle="1" w:styleId="List1Char">
    <w:name w:val="List 1 Char"/>
    <w:basedOn w:val="ListChar"/>
    <w:link w:val="List1"/>
    <w:rsid w:val="004C5AF2"/>
    <w:rPr>
      <w:rFonts w:ascii="Century Schoolbook" w:eastAsia="Times New Roman" w:hAnsi="Century Schoolbook"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q.osd.mil/dpap/dars/dfars/html/current/209_5.htm" TargetMode="External"/><Relationship Id="rId13" Type="http://schemas.openxmlformats.org/officeDocument/2006/relationships/hyperlink" Target="http://www.acq.osd.mil/dpap/dars/pgi/pgi_htm/PGI234_2.htm" TargetMode="External"/><Relationship Id="rId18" Type="http://schemas.openxmlformats.org/officeDocument/2006/relationships/hyperlink" Target="http://www.acq.osd.mil/dpap/dars/dfars/html/current/252234.htm" TargetMode="External"/><Relationship Id="rId26" Type="http://schemas.openxmlformats.org/officeDocument/2006/relationships/header" Target="header2.xml"/><Relationship Id="rId39" Type="http://schemas.openxmlformats.org/officeDocument/2006/relationships/footer" Target="footer4.xml"/><Relationship Id="rId3" Type="http://schemas.openxmlformats.org/officeDocument/2006/relationships/webSettings" Target="webSettings.xml"/><Relationship Id="rId21" Type="http://schemas.openxmlformats.org/officeDocument/2006/relationships/hyperlink" Target="http://www.acq.osd.mil/dpap/dars/dfars/html/current/252242.htm" TargetMode="External"/><Relationship Id="rId34" Type="http://schemas.openxmlformats.org/officeDocument/2006/relationships/hyperlink" Target="http://www.acq.osd.mil/dpap/dars/dfars/html/current/252234.htm" TargetMode="External"/><Relationship Id="rId7" Type="http://schemas.openxmlformats.org/officeDocument/2006/relationships/hyperlink" Target="https://www.acq.osd.mil/dpap/dars/dfars/html/current/252234.htm" TargetMode="External"/><Relationship Id="rId12" Type="http://schemas.openxmlformats.org/officeDocument/2006/relationships/footer" Target="footer1.xml"/><Relationship Id="rId17" Type="http://schemas.openxmlformats.org/officeDocument/2006/relationships/hyperlink" Target="http://www.acq.osd.mil/dpap/dars/dfars/html/current/252234.htm" TargetMode="External"/><Relationship Id="rId25" Type="http://schemas.openxmlformats.org/officeDocument/2006/relationships/hyperlink" Target="http://www.acq.osd.mil/dpap/dars/dfars/html/current/252234.htm" TargetMode="External"/><Relationship Id="rId33" Type="http://schemas.openxmlformats.org/officeDocument/2006/relationships/hyperlink" Target="http://www.acq.osd.mil/dpap/dars/dfars/html/current/252234.htm" TargetMode="External"/><Relationship Id="rId38" Type="http://schemas.openxmlformats.org/officeDocument/2006/relationships/header" Target="header4.xml"/><Relationship Id="rId2" Type="http://schemas.openxmlformats.org/officeDocument/2006/relationships/settings" Target="settings.xml"/><Relationship Id="rId16" Type="http://schemas.openxmlformats.org/officeDocument/2006/relationships/hyperlink" Target="http://www.acq.osd.mil/dpap/dars/pgi/pgi_htm/PGI234_2.htm" TargetMode="External"/><Relationship Id="rId20" Type="http://schemas.openxmlformats.org/officeDocument/2006/relationships/hyperlink" Target="http://www.acq.osd.mil/dpap/dars/dfars/html/current/252234.htm" TargetMode="External"/><Relationship Id="rId29" Type="http://schemas.openxmlformats.org/officeDocument/2006/relationships/header" Target="header3.xm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acq.osd.mil/dpap/dars/dfars/html/current/252234.htm" TargetMode="External"/><Relationship Id="rId11" Type="http://schemas.openxmlformats.org/officeDocument/2006/relationships/header" Target="header1.xml"/><Relationship Id="rId24" Type="http://schemas.openxmlformats.org/officeDocument/2006/relationships/hyperlink" Target="http://www.acq.osd.mil/dpap/dars/dfars/html/current/252234.htm" TargetMode="External"/><Relationship Id="rId32" Type="http://schemas.openxmlformats.org/officeDocument/2006/relationships/hyperlink" Target="http://www.acq.osd.mil/dpap/dars/pgi/pgi_htm/PGI234_71.htm" TargetMode="External"/><Relationship Id="rId37" Type="http://schemas.openxmlformats.org/officeDocument/2006/relationships/hyperlink" Target="http://www.acq.osd.mil/dpap/dars/dfars/html/current/252234.htm" TargetMode="Externa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acq.osd.mil/dpap/dars/pgi/pgi_htm/PGI234_2.htm" TargetMode="External"/><Relationship Id="rId23" Type="http://schemas.openxmlformats.org/officeDocument/2006/relationships/hyperlink" Target="http://www.acq.osd.mil/dpap/dars/dfars/html/current/234_2.htm" TargetMode="External"/><Relationship Id="rId28" Type="http://schemas.openxmlformats.org/officeDocument/2006/relationships/hyperlink" Target="http://www.acq.osd.mil/dpap/dars/pgi/pgi_htm/current/PGI234_70.htm" TargetMode="External"/><Relationship Id="rId36" Type="http://schemas.openxmlformats.org/officeDocument/2006/relationships/hyperlink" Target="http://www.acq.osd.mil/dpap/dars/dfars/html/current/252234.htm" TargetMode="External"/><Relationship Id="rId10" Type="http://schemas.openxmlformats.org/officeDocument/2006/relationships/hyperlink" Target="https://www.acq.osd.mil/dpap/dars/dfars/html/current/215_1.htm" TargetMode="External"/><Relationship Id="rId19" Type="http://schemas.openxmlformats.org/officeDocument/2006/relationships/hyperlink" Target="http://www.acq.osd.mil/dpap/dars/dfars/html/current/252234.htm" TargetMode="External"/><Relationship Id="rId31" Type="http://schemas.openxmlformats.org/officeDocument/2006/relationships/hyperlink" Target="http://www.acq.osd.mil/dpap/dars/dfars/html/current/252234.htm" TargetMode="External"/><Relationship Id="rId4" Type="http://schemas.openxmlformats.org/officeDocument/2006/relationships/footnotes" Target="footnotes.xml"/><Relationship Id="rId9" Type="http://schemas.openxmlformats.org/officeDocument/2006/relationships/hyperlink" Target="https://www.acq.osd.mil/dpap/dars/pgi/pgi_htm/current/PGI216_4.htm" TargetMode="External"/><Relationship Id="rId14" Type="http://schemas.openxmlformats.org/officeDocument/2006/relationships/hyperlink" Target="http://www.acq.osd.mil/dpap/dars/pgi/pgi_htm/PGI234_2.htm" TargetMode="External"/><Relationship Id="rId22" Type="http://schemas.openxmlformats.org/officeDocument/2006/relationships/hyperlink" Target="http://www.acq.osd.mil/dpap/dars/pgi/pgi_htm/PGI234_2.htm"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hyperlink" Target="http://www.acq.osd.mil/dpap/dars/dfars/html/current/25223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3596</Words>
  <Characters>20501</Characters>
  <Application>Microsoft Office Word</Application>
  <DocSecurity>0</DocSecurity>
  <Lines>170</Lines>
  <Paragraphs>48</Paragraphs>
  <ScaleCrop>false</ScaleCrop>
  <Company/>
  <LinksUpToDate>false</LinksUpToDate>
  <CharactersWithSpaces>24049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2020-04-09T21:23:00Z</dcterms:created>
  <dcterms:modified xsi:type="dcterms:W3CDTF">2020-04-14T14:58:00Z</dcterms:modified>
</cp:coreProperties>
</file>