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FBEC" w14:textId="77777777" w:rsidR="0015321A" w:rsidRDefault="0015321A">
      <w:pPr>
        <w:sectPr w:rsidR="0015321A">
          <w:pgSz w:w="12240" w:h="15840"/>
          <w:pgMar w:top="1440" w:right="1440" w:bottom="1440" w:left="1440" w:header="720" w:footer="720" w:gutter="0"/>
          <w:cols w:space="720"/>
          <w:docGrid w:linePitch="360"/>
        </w:sectPr>
      </w:pPr>
    </w:p>
    <w:p w14:paraId="5A8847B4" w14:textId="77777777" w:rsidR="0015321A" w:rsidRDefault="0015321A" w:rsidP="008C61D2">
      <w:pPr>
        <w:pStyle w:val="Heading1"/>
      </w:pPr>
      <w:bookmarkStart w:id="0" w:name="_Toc37677665"/>
      <w:bookmarkStart w:id="1" w:name="_Toc37755060"/>
      <w:r w:rsidRPr="007B495C">
        <w:lastRenderedPageBreak/>
        <w:t>PART 2</w:t>
      </w:r>
      <w:r>
        <w:t>41</w:t>
      </w:r>
      <w:r w:rsidRPr="007B495C">
        <w:t xml:space="preserve"> - </w:t>
      </w:r>
      <w:r>
        <w:br/>
      </w:r>
      <w:r w:rsidRPr="00836BC5">
        <w:t>Acquisition of Utility Services</w:t>
      </w:r>
      <w:bookmarkEnd w:id="0"/>
      <w:bookmarkEnd w:id="1"/>
      <w:r w:rsidRPr="00836BC5">
        <w:tab/>
      </w:r>
    </w:p>
    <w:p w14:paraId="39339C5B" w14:textId="77777777" w:rsidR="0015321A" w:rsidRDefault="0015321A">
      <w:r>
        <w:br w:type="page"/>
      </w:r>
      <w:r>
        <w:lastRenderedPageBreak/>
        <w:br/>
      </w:r>
    </w:p>
    <w:p w14:paraId="0C023258" w14:textId="77777777" w:rsidR="00302483" w:rsidRDefault="00302483" w:rsidP="0015321A">
      <w:pPr>
        <w:jc w:val="center"/>
        <w:rPr>
          <w:rFonts w:ascii="Arial" w:hAnsi="Arial" w:cs="Arial"/>
          <w:b/>
        </w:rPr>
      </w:pPr>
      <w:r>
        <w:rPr>
          <w:rFonts w:ascii="Arial" w:hAnsi="Arial" w:cs="Arial"/>
          <w:b/>
        </w:rPr>
        <w:t>Table of Contents</w:t>
      </w:r>
    </w:p>
    <w:p w14:paraId="21088D7C" w14:textId="53B73462" w:rsidR="001D698F" w:rsidRDefault="001D698F" w:rsidP="001D698F">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060" w:history="1">
        <w:r w:rsidRPr="00E16DCA">
          <w:rPr>
            <w:rStyle w:val="Hyperlink"/>
            <w:noProof/>
          </w:rPr>
          <w:t>PART 241 -  Acquisition of Utility Services</w:t>
        </w:r>
      </w:hyperlink>
    </w:p>
    <w:p w14:paraId="6028A51D" w14:textId="51320AEC" w:rsidR="001D698F" w:rsidRDefault="001D698F" w:rsidP="001D698F">
      <w:pPr>
        <w:pStyle w:val="TOC2"/>
        <w:tabs>
          <w:tab w:val="right" w:leader="dot" w:pos="9350"/>
        </w:tabs>
        <w:rPr>
          <w:rFonts w:asciiTheme="minorHAnsi" w:eastAsiaTheme="minorEastAsia" w:hAnsiTheme="minorHAnsi"/>
          <w:noProof/>
        </w:rPr>
      </w:pPr>
      <w:hyperlink w:anchor="_Toc37755061" w:history="1">
        <w:r w:rsidRPr="00E16DCA">
          <w:rPr>
            <w:rStyle w:val="Hyperlink"/>
            <w:caps/>
            <w:noProof/>
          </w:rPr>
          <w:t>SUBPART 241.1--GENERAL</w:t>
        </w:r>
      </w:hyperlink>
    </w:p>
    <w:p w14:paraId="125325ED" w14:textId="4D11FBD7" w:rsidR="001D698F" w:rsidRDefault="001D698F" w:rsidP="001D698F">
      <w:pPr>
        <w:pStyle w:val="TOC3"/>
        <w:tabs>
          <w:tab w:val="right" w:leader="dot" w:pos="9350"/>
        </w:tabs>
        <w:rPr>
          <w:rFonts w:asciiTheme="minorHAnsi" w:eastAsiaTheme="minorEastAsia" w:hAnsiTheme="minorHAnsi"/>
          <w:noProof/>
        </w:rPr>
      </w:pPr>
      <w:hyperlink w:anchor="_Toc37755062" w:history="1">
        <w:r w:rsidRPr="00E16DCA">
          <w:rPr>
            <w:rStyle w:val="Hyperlink"/>
            <w:noProof/>
          </w:rPr>
          <w:t>241.101  Definitions.</w:t>
        </w:r>
      </w:hyperlink>
    </w:p>
    <w:p w14:paraId="1AE2A727" w14:textId="389A8010" w:rsidR="001D698F" w:rsidRDefault="001D698F" w:rsidP="001D698F">
      <w:pPr>
        <w:pStyle w:val="TOC3"/>
        <w:tabs>
          <w:tab w:val="right" w:leader="dot" w:pos="9350"/>
        </w:tabs>
        <w:rPr>
          <w:rFonts w:asciiTheme="minorHAnsi" w:eastAsiaTheme="minorEastAsia" w:hAnsiTheme="minorHAnsi"/>
          <w:noProof/>
        </w:rPr>
      </w:pPr>
      <w:hyperlink w:anchor="_Toc37755063" w:history="1">
        <w:r w:rsidRPr="00E16DCA">
          <w:rPr>
            <w:rStyle w:val="Hyperlink"/>
            <w:noProof/>
          </w:rPr>
          <w:t>241.102  Applicability.</w:t>
        </w:r>
      </w:hyperlink>
    </w:p>
    <w:p w14:paraId="04334389" w14:textId="330F2FE7" w:rsidR="001D698F" w:rsidRDefault="001D698F" w:rsidP="001D698F">
      <w:pPr>
        <w:pStyle w:val="TOC2"/>
        <w:tabs>
          <w:tab w:val="right" w:leader="dot" w:pos="9350"/>
        </w:tabs>
        <w:rPr>
          <w:rFonts w:asciiTheme="minorHAnsi" w:eastAsiaTheme="minorEastAsia" w:hAnsiTheme="minorHAnsi"/>
          <w:noProof/>
        </w:rPr>
      </w:pPr>
      <w:hyperlink w:anchor="_Toc37755064" w:history="1">
        <w:r w:rsidRPr="00E16DCA">
          <w:rPr>
            <w:rStyle w:val="Hyperlink"/>
            <w:caps/>
            <w:noProof/>
          </w:rPr>
          <w:t>SUBPART 241.2--ACQUIRING UTILITY SERVICES</w:t>
        </w:r>
      </w:hyperlink>
    </w:p>
    <w:p w14:paraId="3DB2935F" w14:textId="6515A19F" w:rsidR="001D698F" w:rsidRDefault="001D698F" w:rsidP="001D698F">
      <w:pPr>
        <w:pStyle w:val="TOC3"/>
        <w:tabs>
          <w:tab w:val="right" w:leader="dot" w:pos="9350"/>
        </w:tabs>
        <w:rPr>
          <w:rFonts w:asciiTheme="minorHAnsi" w:eastAsiaTheme="minorEastAsia" w:hAnsiTheme="minorHAnsi"/>
          <w:noProof/>
        </w:rPr>
      </w:pPr>
      <w:hyperlink w:anchor="_Toc37755065" w:history="1">
        <w:r w:rsidRPr="00E16DCA">
          <w:rPr>
            <w:rStyle w:val="Hyperlink"/>
            <w:noProof/>
          </w:rPr>
          <w:t>241.201  Policy.</w:t>
        </w:r>
      </w:hyperlink>
    </w:p>
    <w:p w14:paraId="06CC6A9F" w14:textId="5F4D787C" w:rsidR="001D698F" w:rsidRDefault="001D698F" w:rsidP="001D698F">
      <w:pPr>
        <w:pStyle w:val="TOC3"/>
        <w:tabs>
          <w:tab w:val="right" w:leader="dot" w:pos="9350"/>
        </w:tabs>
        <w:rPr>
          <w:rFonts w:asciiTheme="minorHAnsi" w:eastAsiaTheme="minorEastAsia" w:hAnsiTheme="minorHAnsi"/>
          <w:noProof/>
        </w:rPr>
      </w:pPr>
      <w:hyperlink w:anchor="_Toc37755066" w:history="1">
        <w:r w:rsidRPr="00E16DCA">
          <w:rPr>
            <w:rStyle w:val="Hyperlink"/>
            <w:noProof/>
          </w:rPr>
          <w:t>241.202  Procedures.</w:t>
        </w:r>
      </w:hyperlink>
    </w:p>
    <w:p w14:paraId="6B2317B2" w14:textId="2FC30855" w:rsidR="001D698F" w:rsidRDefault="001D698F" w:rsidP="001D698F">
      <w:pPr>
        <w:pStyle w:val="TOC3"/>
        <w:tabs>
          <w:tab w:val="right" w:leader="dot" w:pos="9350"/>
        </w:tabs>
        <w:rPr>
          <w:rFonts w:asciiTheme="minorHAnsi" w:eastAsiaTheme="minorEastAsia" w:hAnsiTheme="minorHAnsi"/>
          <w:noProof/>
        </w:rPr>
      </w:pPr>
      <w:hyperlink w:anchor="_Toc37755067" w:history="1">
        <w:r w:rsidRPr="00E16DCA">
          <w:rPr>
            <w:rStyle w:val="Hyperlink"/>
            <w:noProof/>
          </w:rPr>
          <w:t>241.205  Separate contracts.</w:t>
        </w:r>
      </w:hyperlink>
    </w:p>
    <w:p w14:paraId="3C5101DF" w14:textId="342311A1" w:rsidR="001D698F" w:rsidRDefault="001D698F" w:rsidP="001D698F">
      <w:pPr>
        <w:pStyle w:val="TOC2"/>
        <w:tabs>
          <w:tab w:val="right" w:leader="dot" w:pos="9350"/>
        </w:tabs>
        <w:rPr>
          <w:rFonts w:asciiTheme="minorHAnsi" w:eastAsiaTheme="minorEastAsia" w:hAnsiTheme="minorHAnsi"/>
          <w:noProof/>
        </w:rPr>
      </w:pPr>
      <w:hyperlink w:anchor="_Toc37755068" w:history="1">
        <w:r w:rsidRPr="00E16DCA">
          <w:rPr>
            <w:rStyle w:val="Hyperlink"/>
            <w:caps/>
            <w:noProof/>
          </w:rPr>
          <w:t>SUBPART 241.5--SOLICITATION PROVISION AND CONTRACT CLAUSES</w:t>
        </w:r>
      </w:hyperlink>
    </w:p>
    <w:p w14:paraId="0AC1ABBF" w14:textId="76213A0A" w:rsidR="001D698F" w:rsidRDefault="001D698F" w:rsidP="001D698F">
      <w:pPr>
        <w:pStyle w:val="TOC3"/>
        <w:tabs>
          <w:tab w:val="right" w:leader="dot" w:pos="9350"/>
        </w:tabs>
        <w:rPr>
          <w:rFonts w:asciiTheme="minorHAnsi" w:eastAsiaTheme="minorEastAsia" w:hAnsiTheme="minorHAnsi"/>
          <w:noProof/>
        </w:rPr>
      </w:pPr>
      <w:hyperlink w:anchor="_Toc37755069" w:history="1">
        <w:r w:rsidRPr="00E16DCA">
          <w:rPr>
            <w:rStyle w:val="Hyperlink"/>
            <w:noProof/>
          </w:rPr>
          <w:t>241.501  Solicitation provision and contract clauses.</w:t>
        </w:r>
      </w:hyperlink>
    </w:p>
    <w:p w14:paraId="42E668CC" w14:textId="225F057F" w:rsidR="001D698F" w:rsidRDefault="001D698F" w:rsidP="001D698F">
      <w:pPr>
        <w:pStyle w:val="TOC4"/>
        <w:tabs>
          <w:tab w:val="right" w:leader="dot" w:pos="9350"/>
        </w:tabs>
        <w:rPr>
          <w:rFonts w:asciiTheme="minorHAnsi" w:eastAsiaTheme="minorEastAsia" w:hAnsiTheme="minorHAnsi"/>
          <w:noProof/>
        </w:rPr>
      </w:pPr>
      <w:hyperlink w:anchor="_Toc37755070" w:history="1">
        <w:r w:rsidRPr="00E16DCA">
          <w:rPr>
            <w:rStyle w:val="Hyperlink"/>
            <w:noProof/>
          </w:rPr>
          <w:t>241.501-70  Additional clauses.</w:t>
        </w:r>
      </w:hyperlink>
    </w:p>
    <w:p w14:paraId="09394ED9" w14:textId="1C4F2C9C" w:rsidR="0015321A" w:rsidRPr="0015321A" w:rsidRDefault="001D698F" w:rsidP="0015321A">
      <w:pPr>
        <w:jc w:val="center"/>
        <w:rPr>
          <w:rFonts w:ascii="Arial" w:hAnsi="Arial" w:cs="Arial"/>
          <w:b/>
        </w:rPr>
      </w:pPr>
      <w:r>
        <w:rPr>
          <w:rStyle w:val="Hyperlink"/>
          <w:noProof/>
        </w:rPr>
        <w:fldChar w:fldCharType="end"/>
      </w:r>
    </w:p>
    <w:p w14:paraId="76928B15" w14:textId="77777777" w:rsidR="0015321A" w:rsidRPr="00D83ECC" w:rsidRDefault="0015321A" w:rsidP="00D83ECC">
      <w:pPr>
        <w:pStyle w:val="Heading2"/>
      </w:pPr>
      <w:bookmarkStart w:id="2" w:name="_Toc37346056"/>
      <w:bookmarkStart w:id="3" w:name="_Toc37677666"/>
      <w:bookmarkStart w:id="4" w:name="BM241_0"/>
      <w:bookmarkStart w:id="5" w:name="_Toc37755061"/>
      <w:r w:rsidRPr="00D83ECC">
        <w:rPr>
          <w:caps/>
        </w:rPr>
        <w:t>SUBPART 241.1--GENERAL</w:t>
      </w:r>
      <w:bookmarkEnd w:id="2"/>
      <w:bookmarkEnd w:id="3"/>
      <w:bookmarkEnd w:id="5"/>
    </w:p>
    <w:p w14:paraId="6EEEA3EE" w14:textId="77777777" w:rsidR="0015321A" w:rsidRPr="00FD3FF4" w:rsidRDefault="0015321A" w:rsidP="00D83ECC">
      <w:pPr>
        <w:jc w:val="center"/>
      </w:pPr>
      <w:r w:rsidRPr="00FD3FF4">
        <w:rPr>
          <w:i/>
        </w:rPr>
        <w:t>(Revised May 10, 2016)</w:t>
      </w:r>
    </w:p>
    <w:p w14:paraId="5413D2AD" w14:textId="77777777" w:rsidR="0015321A" w:rsidRDefault="0015321A" w:rsidP="00FD3FF4">
      <w:pPr>
        <w:pStyle w:val="Heading3"/>
      </w:pPr>
      <w:r>
        <w:br/>
      </w:r>
      <w:bookmarkStart w:id="6" w:name="_Toc37346057"/>
      <w:bookmarkStart w:id="7" w:name="_Toc37677667"/>
      <w:bookmarkStart w:id="8" w:name="_Toc37755062"/>
      <w:proofErr w:type="gramStart"/>
      <w:r w:rsidRPr="00F0345D">
        <w:t>241</w:t>
      </w:r>
      <w:r>
        <w:t>.</w:t>
      </w:r>
      <w:r w:rsidRPr="00F0345D">
        <w:t>101</w:t>
      </w:r>
      <w:r>
        <w:t xml:space="preserve">  </w:t>
      </w:r>
      <w:r w:rsidRPr="00F0345D">
        <w:t>Definitions</w:t>
      </w:r>
      <w:proofErr w:type="gramEnd"/>
      <w:r>
        <w:t>.</w:t>
      </w:r>
      <w:bookmarkEnd w:id="6"/>
      <w:bookmarkEnd w:id="7"/>
      <w:bookmarkEnd w:id="8"/>
    </w:p>
    <w:p w14:paraId="1786225F" w14:textId="77777777" w:rsidR="0015321A" w:rsidRPr="00FD3FF4" w:rsidRDefault="0015321A" w:rsidP="00FD3FF4">
      <w:r w:rsidRPr="00FD3FF4">
        <w:t>As used in this part—</w:t>
      </w:r>
    </w:p>
    <w:p w14:paraId="0FE16317" w14:textId="77777777" w:rsidR="0015321A" w:rsidRPr="00FD3FF4" w:rsidRDefault="0015321A" w:rsidP="00FD3FF4">
      <w:r w:rsidRPr="00FD3FF4">
        <w:b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14:paraId="54A33542" w14:textId="77777777" w:rsidR="0015321A" w:rsidRPr="00FD3FF4" w:rsidRDefault="0015321A" w:rsidP="00FD3FF4">
      <w:r w:rsidRPr="00FD3FF4">
        <w:br/>
        <w:t>“</w:t>
      </w:r>
      <w:proofErr w:type="spellStart"/>
      <w:r w:rsidRPr="00FD3FF4">
        <w:t>Nonindependent</w:t>
      </w:r>
      <w:proofErr w:type="spellEnd"/>
      <w:r w:rsidRPr="00FD3FF4">
        <w:t xml:space="preserve"> regulatory body” means a body that regulates a utility supplier which is owned or operated by the same entity that created the regulatory body, e.g., a municipal utility.</w:t>
      </w:r>
    </w:p>
    <w:p w14:paraId="143EFEE5" w14:textId="77777777" w:rsidR="0015321A" w:rsidRPr="00FD3FF4" w:rsidRDefault="0015321A" w:rsidP="00FD3FF4">
      <w:r w:rsidRPr="00FD3FF4">
        <w:br/>
        <w:t>“Regulated utility supplier” means a utility supplier regulated by an independent regulatory body.</w:t>
      </w:r>
    </w:p>
    <w:p w14:paraId="4FC54978" w14:textId="77777777" w:rsidR="0015321A" w:rsidRPr="00FD3FF4" w:rsidRDefault="0015321A" w:rsidP="00FD3FF4">
      <w:r w:rsidRPr="00FD3FF4">
        <w:lastRenderedPageBreak/>
        <w:br/>
        <w:t>“Service power procurement officer” means for the—</w:t>
      </w:r>
    </w:p>
    <w:p w14:paraId="5EA055DC" w14:textId="77777777" w:rsidR="0015321A" w:rsidRPr="00FD3FF4" w:rsidRDefault="0015321A" w:rsidP="00FD3FF4"/>
    <w:tbl>
      <w:tblPr>
        <w:tblW w:w="0" w:type="auto"/>
        <w:tblInd w:w="1008" w:type="dxa"/>
        <w:tblLayout w:type="fixed"/>
        <w:tblLook w:val="0000" w:firstRow="0" w:lastRow="0" w:firstColumn="0" w:lastColumn="0" w:noHBand="0" w:noVBand="0"/>
      </w:tblPr>
      <w:tblGrid>
        <w:gridCol w:w="7290"/>
      </w:tblGrid>
      <w:tr w:rsidR="0015321A" w:rsidRPr="00FD3FF4" w14:paraId="618945B2" w14:textId="77777777">
        <w:tc>
          <w:tcPr>
            <w:tcW w:w="7290" w:type="dxa"/>
          </w:tcPr>
          <w:p w14:paraId="480ACDE3" w14:textId="77777777" w:rsidR="0015321A" w:rsidRPr="00FD3FF4" w:rsidRDefault="0015321A" w:rsidP="00FD3FF4">
            <w:r w:rsidRPr="00FD3FF4">
              <w:rPr>
                <w:sz w:val="20"/>
              </w:rPr>
              <w:t>Army, the Chief of Engineers;</w:t>
            </w:r>
          </w:p>
        </w:tc>
      </w:tr>
      <w:tr w:rsidR="0015321A" w:rsidRPr="00FD3FF4" w14:paraId="3EAD7AD0" w14:textId="77777777">
        <w:tc>
          <w:tcPr>
            <w:tcW w:w="7290" w:type="dxa"/>
          </w:tcPr>
          <w:p w14:paraId="6A439B66" w14:textId="77777777" w:rsidR="0015321A" w:rsidRPr="00FD3FF4" w:rsidRDefault="0015321A" w:rsidP="00FD3FF4">
            <w:r w:rsidRPr="00FD3FF4">
              <w:rPr>
                <w:sz w:val="20"/>
              </w:rPr>
              <w:t>Navy, the Commander, Naval Facilities Engineering Command;</w:t>
            </w:r>
          </w:p>
        </w:tc>
      </w:tr>
      <w:tr w:rsidR="0015321A" w:rsidRPr="00FD3FF4" w14:paraId="4EAF43AA" w14:textId="77777777">
        <w:tc>
          <w:tcPr>
            <w:tcW w:w="7290" w:type="dxa"/>
          </w:tcPr>
          <w:p w14:paraId="204D407A" w14:textId="77777777" w:rsidR="0015321A" w:rsidRPr="00FD3FF4" w:rsidRDefault="0015321A" w:rsidP="00FD3FF4">
            <w:r w:rsidRPr="00FD3FF4">
              <w:rPr>
                <w:sz w:val="20"/>
              </w:rPr>
              <w:t>Air Force, the head of a contracting activity; and</w:t>
            </w:r>
          </w:p>
        </w:tc>
      </w:tr>
      <w:tr w:rsidR="0015321A" w:rsidRPr="00FD3FF4" w14:paraId="50A58A91" w14:textId="77777777" w:rsidTr="00995627">
        <w:trPr>
          <w:trHeight w:val="297"/>
        </w:trPr>
        <w:tc>
          <w:tcPr>
            <w:tcW w:w="7290" w:type="dxa"/>
          </w:tcPr>
          <w:p w14:paraId="34C3A534" w14:textId="77777777" w:rsidR="0015321A" w:rsidRPr="00FD3FF4" w:rsidRDefault="0015321A" w:rsidP="00FD3FF4">
            <w:r w:rsidRPr="00FD3FF4">
              <w:rPr>
                <w:sz w:val="20"/>
              </w:rPr>
              <w:t>Defense Logistics Agency, the head of a contracting activity.</w:t>
            </w:r>
          </w:p>
        </w:tc>
      </w:tr>
    </w:tbl>
    <w:p w14:paraId="79C1ABDF" w14:textId="77777777" w:rsidR="0015321A" w:rsidRDefault="0015321A" w:rsidP="00FD3FF4">
      <w:pPr>
        <w:pStyle w:val="Heading3"/>
      </w:pPr>
    </w:p>
    <w:p w14:paraId="15EB89FE" w14:textId="77777777" w:rsidR="0015321A" w:rsidRDefault="0015321A" w:rsidP="00FD3FF4">
      <w:pPr>
        <w:pStyle w:val="Heading3"/>
      </w:pPr>
      <w:bookmarkStart w:id="9" w:name="_Toc37346058"/>
      <w:bookmarkStart w:id="10" w:name="_Toc37677668"/>
      <w:bookmarkStart w:id="11" w:name="_Toc37755063"/>
      <w:proofErr w:type="gramStart"/>
      <w:r>
        <w:t>241.102  Applicability</w:t>
      </w:r>
      <w:proofErr w:type="gramEnd"/>
      <w:r>
        <w:t>.</w:t>
      </w:r>
      <w:bookmarkEnd w:id="9"/>
      <w:bookmarkEnd w:id="10"/>
      <w:bookmarkEnd w:id="11"/>
    </w:p>
    <w:p w14:paraId="0819920B" w14:textId="77777777" w:rsidR="0015321A" w:rsidRDefault="0015321A" w:rsidP="00441650">
      <w:pPr>
        <w:pStyle w:val="List1"/>
      </w:pPr>
      <w:r>
        <w:rPr>
          <w:b/>
        </w:rPr>
        <w:br/>
      </w:r>
      <w:r>
        <w:t>(a)  This part applies to purchases of utility services from nonregulated and regulated utility suppliers.  It includes the acquisition of liquefied petroleum gas as a utility service when purchased from regulated utility suppliers.</w:t>
      </w:r>
    </w:p>
    <w:p w14:paraId="58046F62" w14:textId="77777777" w:rsidR="0015321A" w:rsidRDefault="0015321A" w:rsidP="00441650">
      <w:pPr>
        <w:pStyle w:val="List1"/>
      </w:pPr>
      <w:r>
        <w:br/>
        <w:t>(b)(7</w:t>
      </w:r>
      <w:proofErr w:type="gramStart"/>
      <w:r>
        <w:t>)  This</w:t>
      </w:r>
      <w:proofErr w:type="gramEnd"/>
      <w:r>
        <w:t xml:space="preserve"> part does not apply to third party financed projects.  However, it may be used for any purchased utility services directly resulting from such projects, including those authorized by—</w:t>
      </w:r>
    </w:p>
    <w:p w14:paraId="3D31F611" w14:textId="77777777" w:rsidR="0015321A" w:rsidRDefault="0015321A" w:rsidP="00FD3FF4">
      <w:pPr>
        <w:pStyle w:val="List4"/>
      </w:pPr>
      <w:r>
        <w:br/>
        <w:t xml:space="preserve">(A)  10 U.S.C. 2394 for energy, fuels, and energy production facilities for periods not to exceed 30 </w:t>
      </w:r>
      <w:proofErr w:type="gramStart"/>
      <w:r>
        <w:t>years;</w:t>
      </w:r>
      <w:proofErr w:type="gramEnd"/>
    </w:p>
    <w:p w14:paraId="40B9C07E" w14:textId="77777777" w:rsidR="0015321A" w:rsidRDefault="0015321A" w:rsidP="00FD3FF4">
      <w:pPr>
        <w:pStyle w:val="List4"/>
      </w:pPr>
      <w:r>
        <w:br/>
        <w:t xml:space="preserve">(B)  10 U.S.C. 2394a for renewable energy for periods not to exceed 25 </w:t>
      </w:r>
      <w:proofErr w:type="gramStart"/>
      <w:r>
        <w:t>years;</w:t>
      </w:r>
      <w:proofErr w:type="gramEnd"/>
    </w:p>
    <w:p w14:paraId="311A8534" w14:textId="77777777" w:rsidR="0015321A" w:rsidRDefault="0015321A" w:rsidP="00FD3FF4">
      <w:pPr>
        <w:pStyle w:val="List4"/>
      </w:pPr>
      <w:r>
        <w:br/>
        <w:t xml:space="preserve">(C)  10 U.S.C. 2689 for geothermal resources that result in energy production </w:t>
      </w:r>
      <w:proofErr w:type="gramStart"/>
      <w:r>
        <w:t>facilities;</w:t>
      </w:r>
      <w:proofErr w:type="gramEnd"/>
    </w:p>
    <w:p w14:paraId="6174F727" w14:textId="77777777" w:rsidR="0015321A" w:rsidRDefault="0015321A" w:rsidP="00FD3FF4">
      <w:pPr>
        <w:pStyle w:val="List4"/>
      </w:pPr>
      <w:r>
        <w:br/>
        <w:t xml:space="preserve">(D)  10 U.S.C. 2809 for potable and </w:t>
      </w:r>
      <w:proofErr w:type="gramStart"/>
      <w:r>
        <w:t>waste water</w:t>
      </w:r>
      <w:proofErr w:type="gramEnd"/>
      <w:r>
        <w:t xml:space="preserve"> treatment plants for periods not to exceed 32 years; and</w:t>
      </w:r>
    </w:p>
    <w:p w14:paraId="5F3A7626" w14:textId="77777777" w:rsidR="0015321A" w:rsidRDefault="0015321A" w:rsidP="00FD3FF4">
      <w:pPr>
        <w:pStyle w:val="List4"/>
      </w:pPr>
      <w:r>
        <w:br/>
        <w:t>(E)  10 U.S.C. 2812 for lease/purchase of energy production facilities for periods not to exceed 32 years.</w:t>
      </w:r>
    </w:p>
    <w:p w14:paraId="60D3679E" w14:textId="77777777" w:rsidR="0015321A" w:rsidRDefault="0015321A" w:rsidP="00FD3FF4">
      <w:pPr>
        <w:pStyle w:val="List2"/>
      </w:pPr>
      <w:r>
        <w:br/>
      </w:r>
      <w:proofErr w:type="gramStart"/>
      <w:r w:rsidRPr="00F0345D">
        <w:rPr>
          <w:b/>
        </w:rPr>
        <w:t>241</w:t>
      </w:r>
      <w:r>
        <w:rPr>
          <w:b/>
        </w:rPr>
        <w:t>.</w:t>
      </w:r>
      <w:r w:rsidRPr="00F0345D">
        <w:rPr>
          <w:b/>
        </w:rPr>
        <w:t>103</w:t>
      </w:r>
      <w:r>
        <w:rPr>
          <w:b/>
        </w:rPr>
        <w:t xml:space="preserve">  </w:t>
      </w:r>
      <w:r w:rsidRPr="00F0345D">
        <w:rPr>
          <w:b/>
        </w:rPr>
        <w:t>Statutory</w:t>
      </w:r>
      <w:proofErr w:type="gramEnd"/>
      <w:r>
        <w:rPr>
          <w:b/>
        </w:rPr>
        <w:t xml:space="preserve"> </w:t>
      </w:r>
      <w:r w:rsidRPr="00F0345D">
        <w:rPr>
          <w:b/>
        </w:rPr>
        <w:t>and</w:t>
      </w:r>
      <w:r>
        <w:rPr>
          <w:b/>
        </w:rPr>
        <w:t xml:space="preserve"> </w:t>
      </w:r>
      <w:r w:rsidRPr="00F0345D">
        <w:rPr>
          <w:b/>
        </w:rPr>
        <w:t>delegated</w:t>
      </w:r>
      <w:r>
        <w:rPr>
          <w:b/>
        </w:rPr>
        <w:t xml:space="preserve"> </w:t>
      </w:r>
      <w:r w:rsidRPr="00F0345D">
        <w:rPr>
          <w:b/>
        </w:rPr>
        <w:t>authority</w:t>
      </w:r>
      <w:r>
        <w:rPr>
          <w:b/>
        </w:rPr>
        <w:t>.</w:t>
      </w:r>
      <w:bookmarkEnd w:id="4"/>
    </w:p>
    <w:p w14:paraId="293B141B" w14:textId="77777777" w:rsidR="0015321A" w:rsidRPr="00FD3FF4" w:rsidRDefault="0015321A" w:rsidP="00F6712B">
      <w:pPr>
        <w:pStyle w:val="List2"/>
      </w:pPr>
      <w:r>
        <w:br/>
        <w:t xml:space="preserve">(1)  The contracting officer may </w:t>
      </w:r>
      <w:proofErr w:type="gramStart"/>
      <w:r>
        <w:t>enter into</w:t>
      </w:r>
      <w:proofErr w:type="gramEnd"/>
      <w:r>
        <w:t xml:space="preserve"> a utility service contract related to the conveyance of a utility system for a period not to exceed 50 years (10 U.S.C. </w:t>
      </w:r>
      <w:r w:rsidRPr="00FD3FF4">
        <w:t>2688(d)(2)).</w:t>
      </w:r>
    </w:p>
    <w:p w14:paraId="5A7F2560" w14:textId="77777777" w:rsidR="0015321A" w:rsidRDefault="0015321A" w:rsidP="00FD3FF4">
      <w:pPr>
        <w:pStyle w:val="List2"/>
      </w:pPr>
      <w:r>
        <w:br/>
      </w:r>
      <w:r w:rsidRPr="009E3AC6">
        <w:t xml:space="preserve">(2)  The contracting officer may </w:t>
      </w:r>
      <w:proofErr w:type="gramStart"/>
      <w:r w:rsidRPr="009E3AC6">
        <w:t>enter into</w:t>
      </w:r>
      <w:proofErr w:type="gramEnd"/>
      <w:r w:rsidRPr="009E3AC6">
        <w:t xml:space="preserve"> an energy savings contract under 10 U.S.C. 2913 for a period not to exceed 25 years.</w:t>
      </w:r>
    </w:p>
    <w:p w14:paraId="5AC9BE59" w14:textId="77777777" w:rsidR="0015321A" w:rsidRDefault="0015321A" w:rsidP="00FD3FF4">
      <w:pPr>
        <w:pStyle w:val="List2"/>
      </w:pPr>
      <w:r>
        <w:lastRenderedPageBreak/>
        <w:br/>
      </w:r>
      <w:r w:rsidRPr="00F43495">
        <w:t>(</w:t>
      </w:r>
      <w:r>
        <w:t>3</w:t>
      </w:r>
      <w:r w:rsidRPr="00F43495">
        <w:t xml:space="preserve">)  See </w:t>
      </w:r>
      <w:hyperlink r:id="rId6" w:anchor="217.174" w:history="1">
        <w:r w:rsidRPr="00F5200B">
          <w:rPr>
            <w:rStyle w:val="Hyperlink"/>
          </w:rPr>
          <w:t>217.174</w:t>
        </w:r>
      </w:hyperlink>
      <w:r w:rsidRPr="00F43495">
        <w:t xml:space="preserve"> for authority to enter into multiyear contracts for </w:t>
      </w:r>
      <w:proofErr w:type="spellStart"/>
      <w:r w:rsidRPr="00F43495">
        <w:t>electricityfrom</w:t>
      </w:r>
      <w:proofErr w:type="spellEnd"/>
      <w:r w:rsidRPr="00F43495">
        <w:t xml:space="preserve"> renewable energy sources.</w:t>
      </w:r>
    </w:p>
    <w:p w14:paraId="08983A72" w14:textId="77777777" w:rsidR="0015321A" w:rsidRDefault="0015321A" w:rsidP="00FD3FF4">
      <w:pPr>
        <w:pStyle w:val="List2"/>
      </w:pPr>
      <w:r>
        <w:br/>
        <w:t xml:space="preserve">(4)  See </w:t>
      </w:r>
      <w:hyperlink r:id="rId7" w:anchor="241.103" w:history="1">
        <w:r w:rsidRPr="00901B7A">
          <w:rPr>
            <w:rStyle w:val="Hyperlink"/>
          </w:rPr>
          <w:t>PGI 241.103</w:t>
        </w:r>
      </w:hyperlink>
      <w:r>
        <w:t xml:space="preserve"> for statutory authorities and maximum contract periods </w:t>
      </w:r>
      <w:proofErr w:type="spellStart"/>
      <w:r>
        <w:t>forutility</w:t>
      </w:r>
      <w:proofErr w:type="spellEnd"/>
      <w:r>
        <w:t xml:space="preserve"> and energy contracts.</w:t>
      </w:r>
    </w:p>
    <w:p w14:paraId="5306E049" w14:textId="77777777" w:rsidR="0015321A" w:rsidRDefault="0015321A">
      <w:pPr>
        <w:sectPr w:rsidR="0015321A" w:rsidSect="00C94930">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p>
    <w:p w14:paraId="49D72530" w14:textId="77777777" w:rsidR="0015321A" w:rsidRPr="00D712CE" w:rsidRDefault="0015321A" w:rsidP="00D712CE">
      <w:pPr>
        <w:pStyle w:val="Heading2"/>
      </w:pPr>
      <w:bookmarkStart w:id="12" w:name="_Toc37346059"/>
      <w:bookmarkStart w:id="13" w:name="_Toc37677669"/>
      <w:bookmarkStart w:id="14" w:name="_Toc37755064"/>
      <w:r w:rsidRPr="00D712CE">
        <w:rPr>
          <w:caps/>
        </w:rPr>
        <w:lastRenderedPageBreak/>
        <w:t>SUBPART 241.2--ACQUIRING UTILITY SERVICES</w:t>
      </w:r>
      <w:bookmarkEnd w:id="12"/>
      <w:bookmarkEnd w:id="13"/>
      <w:bookmarkEnd w:id="14"/>
    </w:p>
    <w:p w14:paraId="5DBA8604" w14:textId="77777777" w:rsidR="0015321A" w:rsidRPr="00025A67" w:rsidRDefault="0015321A" w:rsidP="00D712CE">
      <w:pPr>
        <w:jc w:val="center"/>
      </w:pPr>
      <w:r w:rsidRPr="00025A67">
        <w:rPr>
          <w:i/>
        </w:rPr>
        <w:t>(Revised December 31, 2012)</w:t>
      </w:r>
    </w:p>
    <w:p w14:paraId="57B430A7" w14:textId="77777777" w:rsidR="0015321A" w:rsidRDefault="0015321A" w:rsidP="00025A67">
      <w:pPr>
        <w:pStyle w:val="Heading3"/>
      </w:pPr>
      <w:r>
        <w:br/>
      </w:r>
      <w:bookmarkStart w:id="15" w:name="_Toc37346060"/>
      <w:bookmarkStart w:id="16" w:name="_Toc37677670"/>
      <w:bookmarkStart w:id="17" w:name="_Toc37755065"/>
      <w:proofErr w:type="gramStart"/>
      <w:r w:rsidRPr="00C34AAC">
        <w:t>241</w:t>
      </w:r>
      <w:r>
        <w:t>.</w:t>
      </w:r>
      <w:r w:rsidRPr="00C34AAC">
        <w:t>201</w:t>
      </w:r>
      <w:r>
        <w:t xml:space="preserve">  </w:t>
      </w:r>
      <w:r w:rsidRPr="00C34AAC">
        <w:t>Policy</w:t>
      </w:r>
      <w:proofErr w:type="gramEnd"/>
      <w:r>
        <w:t>.</w:t>
      </w:r>
      <w:bookmarkEnd w:id="15"/>
      <w:bookmarkEnd w:id="16"/>
      <w:bookmarkEnd w:id="17"/>
    </w:p>
    <w:p w14:paraId="36BB5168" w14:textId="77777777" w:rsidR="0015321A" w:rsidRDefault="0015321A" w:rsidP="00025A67">
      <w:pPr>
        <w:pStyle w:val="List2"/>
      </w:pPr>
      <w:r>
        <w:rPr>
          <w:b/>
        </w:rPr>
        <w:br/>
      </w:r>
      <w:r>
        <w:t xml:space="preserve">(1)  DoD, as a matter of comity, generally complies with the current regulations, practices, and decisions of independent regulatory bodies.  This policy does not extend to </w:t>
      </w:r>
      <w:proofErr w:type="spellStart"/>
      <w:r>
        <w:t>nonindependent</w:t>
      </w:r>
      <w:proofErr w:type="spellEnd"/>
      <w:r>
        <w:t xml:space="preserve"> regulatory bodies.</w:t>
      </w:r>
    </w:p>
    <w:p w14:paraId="4B2EDB59" w14:textId="77777777" w:rsidR="0015321A" w:rsidRDefault="0015321A" w:rsidP="00025A67">
      <w:pPr>
        <w:pStyle w:val="List2"/>
      </w:pPr>
      <w:r>
        <w:br/>
        <w:t>(2)  Purchases of utility services outside the United States may use—</w:t>
      </w:r>
    </w:p>
    <w:p w14:paraId="5FA1B3A1" w14:textId="77777777" w:rsidR="0015321A" w:rsidRDefault="0015321A" w:rsidP="00025A67">
      <w:pPr>
        <w:pStyle w:val="List3"/>
      </w:pPr>
      <w:r>
        <w:br/>
        <w:t>(</w:t>
      </w:r>
      <w:proofErr w:type="spellStart"/>
      <w:r>
        <w:t>i</w:t>
      </w:r>
      <w:proofErr w:type="spellEnd"/>
      <w:r>
        <w:t>)  Formats and technical provisions consistent with local practice; and</w:t>
      </w:r>
    </w:p>
    <w:p w14:paraId="59752092" w14:textId="77777777" w:rsidR="0015321A" w:rsidRDefault="0015321A" w:rsidP="00025A67">
      <w:pPr>
        <w:pStyle w:val="List3"/>
      </w:pPr>
      <w:r>
        <w:br/>
        <w:t>(ii)  Dual language forms and contracts.</w:t>
      </w:r>
    </w:p>
    <w:p w14:paraId="7D6F6F41" w14:textId="77777777" w:rsidR="0015321A" w:rsidRDefault="0015321A" w:rsidP="00025A67">
      <w:pPr>
        <w:pStyle w:val="List2"/>
      </w:pPr>
      <w:r>
        <w:br/>
        <w:t>(3)  Rates established by an independent regulatory body—</w:t>
      </w:r>
    </w:p>
    <w:p w14:paraId="370C183C" w14:textId="77777777" w:rsidR="0015321A" w:rsidRDefault="0015321A" w:rsidP="00025A67">
      <w:pPr>
        <w:pStyle w:val="List3"/>
      </w:pPr>
      <w:r>
        <w:br/>
        <w:t>(</w:t>
      </w:r>
      <w:proofErr w:type="spellStart"/>
      <w:r>
        <w:t>i</w:t>
      </w:r>
      <w:proofErr w:type="spellEnd"/>
      <w:r>
        <w:t>)  Are considered “prices set by law or regulation</w:t>
      </w:r>
      <w:proofErr w:type="gramStart"/>
      <w:r>
        <w:t>”;</w:t>
      </w:r>
      <w:proofErr w:type="gramEnd"/>
    </w:p>
    <w:p w14:paraId="660A86F1" w14:textId="77777777" w:rsidR="0015321A" w:rsidRDefault="0015321A" w:rsidP="00025A67">
      <w:pPr>
        <w:pStyle w:val="List3"/>
      </w:pPr>
      <w:r>
        <w:br/>
        <w:t xml:space="preserve">(ii)  Are </w:t>
      </w:r>
      <w:proofErr w:type="gramStart"/>
      <w:r>
        <w:t>sufficient</w:t>
      </w:r>
      <w:proofErr w:type="gramEnd"/>
      <w:r>
        <w:t xml:space="preserve"> to set prices without obtaining certified cost or pricing data (see FAR subpart 15.4); and</w:t>
      </w:r>
    </w:p>
    <w:p w14:paraId="3CE7C0E4" w14:textId="77777777" w:rsidR="0015321A" w:rsidRDefault="0015321A" w:rsidP="00025A67">
      <w:pPr>
        <w:pStyle w:val="List3"/>
      </w:pPr>
      <w:r>
        <w:br/>
        <w:t>(iii)  Are a valid basis on which prices can be determined fair and reasonable.</w:t>
      </w:r>
    </w:p>
    <w:p w14:paraId="21DFAF8A" w14:textId="77777777" w:rsidR="0015321A" w:rsidRDefault="0015321A" w:rsidP="00025A67">
      <w:pPr>
        <w:pStyle w:val="List2"/>
      </w:pPr>
      <w:r>
        <w:br/>
        <w:t>(4)  Compliance with the regulations, practices, and decisions of independent regulatory bodies as a matter of comity is not a substitute for the procedures at FAR 41.202(a).</w:t>
      </w:r>
    </w:p>
    <w:p w14:paraId="1D5E0A44" w14:textId="77777777" w:rsidR="0015321A" w:rsidRDefault="0015321A" w:rsidP="00025A67">
      <w:pPr>
        <w:pStyle w:val="Heading3"/>
      </w:pPr>
      <w:r>
        <w:br/>
      </w:r>
      <w:bookmarkStart w:id="18" w:name="_Toc37346061"/>
      <w:bookmarkStart w:id="19" w:name="_Toc37677671"/>
      <w:bookmarkStart w:id="20" w:name="_Toc37755066"/>
      <w:proofErr w:type="gramStart"/>
      <w:r w:rsidRPr="00C34AAC">
        <w:t>241</w:t>
      </w:r>
      <w:r>
        <w:t>.</w:t>
      </w:r>
      <w:r w:rsidRPr="00C34AAC">
        <w:t>202</w:t>
      </w:r>
      <w:r>
        <w:t xml:space="preserve">  </w:t>
      </w:r>
      <w:r w:rsidRPr="00C34AAC">
        <w:t>Procedures</w:t>
      </w:r>
      <w:proofErr w:type="gramEnd"/>
      <w:r>
        <w:t>.</w:t>
      </w:r>
      <w:bookmarkEnd w:id="18"/>
      <w:bookmarkEnd w:id="19"/>
      <w:bookmarkEnd w:id="20"/>
    </w:p>
    <w:p w14:paraId="3BBC90F8" w14:textId="77777777" w:rsidR="0015321A" w:rsidRDefault="0015321A" w:rsidP="00025A67">
      <w:pPr>
        <w:pStyle w:val="List2"/>
      </w:pPr>
      <w:r>
        <w:rPr>
          <w:b/>
        </w:rPr>
        <w:br/>
      </w: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14:paraId="4C1251C2" w14:textId="77777777" w:rsidR="0015321A" w:rsidRDefault="0015321A" w:rsidP="00025A67">
      <w:pPr>
        <w:pStyle w:val="List3"/>
      </w:pPr>
      <w:r>
        <w:br/>
        <w:t>(</w:t>
      </w:r>
      <w:proofErr w:type="spellStart"/>
      <w:r>
        <w:t>i</w:t>
      </w:r>
      <w:proofErr w:type="spellEnd"/>
      <w:r>
        <w:t xml:space="preserve">)  No connection </w:t>
      </w:r>
      <w:proofErr w:type="gramStart"/>
      <w:r>
        <w:t>charge</w:t>
      </w:r>
      <w:proofErr w:type="gramEnd"/>
      <w:r>
        <w:t>.</w:t>
      </w:r>
    </w:p>
    <w:p w14:paraId="75D76D3E" w14:textId="77777777" w:rsidR="0015321A" w:rsidRDefault="0015321A" w:rsidP="00025A67">
      <w:pPr>
        <w:pStyle w:val="List3"/>
      </w:pPr>
      <w:r>
        <w:br/>
        <w:t xml:space="preserve">(ii)  Termination liability.  Use when an obligation is necessary to secure the required services.  The obligation must be not more than the agreed connection charge, less any net salvage material costs.   Use of a termination liability </w:t>
      </w:r>
      <w:r>
        <w:lastRenderedPageBreak/>
        <w:t>instead of a connection charge requires the approval of the service power procurement officer or designee.</w:t>
      </w:r>
    </w:p>
    <w:p w14:paraId="6486E7B2" w14:textId="77777777" w:rsidR="0015321A" w:rsidRDefault="0015321A" w:rsidP="00025A67">
      <w:pPr>
        <w:pStyle w:val="List3"/>
      </w:pPr>
      <w:r>
        <w:b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14:paraId="26738164" w14:textId="77777777" w:rsidR="0015321A" w:rsidRDefault="0015321A" w:rsidP="00025A67">
      <w:pPr>
        <w:pStyle w:val="List3"/>
      </w:pPr>
      <w:r>
        <w:b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14:paraId="3837981E" w14:textId="77777777" w:rsidR="0015321A" w:rsidRDefault="0015321A" w:rsidP="00025A67">
      <w:pPr>
        <w:pStyle w:val="List2"/>
      </w:pPr>
      <w:r>
        <w:br/>
        <w:t xml:space="preserve">(2)  </w:t>
      </w:r>
      <w:r>
        <w:rPr>
          <w:i/>
        </w:rPr>
        <w:t xml:space="preserve">Construction and labor requirements.  </w:t>
      </w:r>
      <w:r>
        <w:t xml:space="preserve">Follow the procedures at </w:t>
      </w:r>
      <w:hyperlink r:id="rId12" w:anchor="241.202" w:history="1">
        <w:r w:rsidRPr="004D5077">
          <w:rPr>
            <w:rStyle w:val="Hyperlink"/>
          </w:rPr>
          <w:t>PGI 241.202</w:t>
        </w:r>
      </w:hyperlink>
      <w:r>
        <w:t>(2) for construction and labor requirements associated with connection and service charges.</w:t>
      </w:r>
    </w:p>
    <w:p w14:paraId="47D398FB" w14:textId="77777777" w:rsidR="0015321A" w:rsidRDefault="0015321A" w:rsidP="00025A67">
      <w:pPr>
        <w:pStyle w:val="Heading3"/>
      </w:pPr>
      <w:r>
        <w:br/>
      </w:r>
      <w:bookmarkStart w:id="21" w:name="_Toc37346062"/>
      <w:bookmarkStart w:id="22" w:name="_Toc37677672"/>
      <w:bookmarkStart w:id="23" w:name="_Toc37755067"/>
      <w:proofErr w:type="gramStart"/>
      <w:r w:rsidRPr="00C34AAC">
        <w:t>241</w:t>
      </w:r>
      <w:r>
        <w:t>.</w:t>
      </w:r>
      <w:r w:rsidRPr="00C34AAC">
        <w:t>205</w:t>
      </w:r>
      <w:r>
        <w:t xml:space="preserve">  </w:t>
      </w:r>
      <w:r w:rsidRPr="00C34AAC">
        <w:t>Separate</w:t>
      </w:r>
      <w:proofErr w:type="gramEnd"/>
      <w:r>
        <w:t xml:space="preserve"> </w:t>
      </w:r>
      <w:r w:rsidRPr="00C34AAC">
        <w:t>contracts</w:t>
      </w:r>
      <w:r>
        <w:t>.</w:t>
      </w:r>
      <w:bookmarkEnd w:id="21"/>
      <w:bookmarkEnd w:id="22"/>
      <w:bookmarkEnd w:id="23"/>
    </w:p>
    <w:p w14:paraId="1BA0A61C" w14:textId="77777777" w:rsidR="0015321A" w:rsidRPr="00025A67" w:rsidRDefault="0015321A" w:rsidP="00025A67">
      <w:r w:rsidRPr="00025A67">
        <w:t xml:space="preserve">Follow the procedures at </w:t>
      </w:r>
      <w:hyperlink r:id="rId13" w:anchor="241.205" w:history="1">
        <w:r w:rsidRPr="00025A67">
          <w:rPr>
            <w:rStyle w:val="Hyperlink"/>
          </w:rPr>
          <w:t>PGI 241.205</w:t>
        </w:r>
      </w:hyperlink>
      <w:r w:rsidRPr="00025A67">
        <w:t xml:space="preserve"> when acquiring utility services by separate contract.</w:t>
      </w:r>
    </w:p>
    <w:p w14:paraId="7D113A3D" w14:textId="77777777" w:rsidR="0015321A" w:rsidRPr="00025A67" w:rsidRDefault="0015321A" w:rsidP="00025A67">
      <w:r w:rsidRPr="00025A67">
        <w:br/>
      </w:r>
    </w:p>
    <w:p w14:paraId="18F42D99" w14:textId="77777777" w:rsidR="0015321A" w:rsidRDefault="0015321A">
      <w:pPr>
        <w:sectPr w:rsidR="0015321A" w:rsidSect="009D33C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pPr>
    </w:p>
    <w:p w14:paraId="6A860EBC" w14:textId="77777777" w:rsidR="0015321A" w:rsidRPr="00410D18" w:rsidRDefault="0015321A" w:rsidP="00410D18">
      <w:pPr>
        <w:pStyle w:val="Heading2"/>
      </w:pPr>
      <w:bookmarkStart w:id="24" w:name="_Toc37346063"/>
      <w:bookmarkStart w:id="25" w:name="_Toc37677673"/>
      <w:bookmarkStart w:id="26" w:name="_Toc37755068"/>
      <w:r w:rsidRPr="00410D18">
        <w:rPr>
          <w:caps/>
        </w:rPr>
        <w:lastRenderedPageBreak/>
        <w:t>SUBPART 241.5--SOLICITATION PROVISION AND CONTRACT CLAUSES</w:t>
      </w:r>
      <w:bookmarkEnd w:id="24"/>
      <w:bookmarkEnd w:id="25"/>
      <w:bookmarkEnd w:id="26"/>
    </w:p>
    <w:p w14:paraId="33F03F6E" w14:textId="77777777" w:rsidR="0015321A" w:rsidRPr="00466806" w:rsidRDefault="0015321A" w:rsidP="00410D18">
      <w:pPr>
        <w:jc w:val="center"/>
      </w:pPr>
      <w:r w:rsidRPr="00466806">
        <w:rPr>
          <w:i/>
        </w:rPr>
        <w:t>(Revised January 23, 2006)</w:t>
      </w:r>
    </w:p>
    <w:p w14:paraId="22BE1F7A" w14:textId="77777777" w:rsidR="0015321A" w:rsidRDefault="0015321A" w:rsidP="00466806">
      <w:pPr>
        <w:pStyle w:val="Heading3"/>
      </w:pPr>
      <w:r>
        <w:br/>
      </w:r>
      <w:bookmarkStart w:id="27" w:name="_Toc37346064"/>
      <w:bookmarkStart w:id="28" w:name="_Toc37677674"/>
      <w:bookmarkStart w:id="29" w:name="_Toc37755069"/>
      <w:proofErr w:type="gramStart"/>
      <w:r w:rsidRPr="00527002">
        <w:t>241</w:t>
      </w:r>
      <w:r>
        <w:t>.</w:t>
      </w:r>
      <w:r w:rsidRPr="00527002">
        <w:t>501</w:t>
      </w:r>
      <w:r>
        <w:t xml:space="preserve">  </w:t>
      </w:r>
      <w:r w:rsidRPr="00527002">
        <w:t>Solicitation</w:t>
      </w:r>
      <w:proofErr w:type="gramEnd"/>
      <w:r>
        <w:t xml:space="preserve"> </w:t>
      </w:r>
      <w:r w:rsidRPr="00527002">
        <w:t>provision</w:t>
      </w:r>
      <w:r>
        <w:t xml:space="preserve"> </w:t>
      </w:r>
      <w:r w:rsidRPr="00527002">
        <w:t>and</w:t>
      </w:r>
      <w:r>
        <w:t xml:space="preserve"> </w:t>
      </w:r>
      <w:r w:rsidRPr="00527002">
        <w:t>contract</w:t>
      </w:r>
      <w:r>
        <w:t xml:space="preserve"> </w:t>
      </w:r>
      <w:r w:rsidRPr="00527002">
        <w:t>clauses</w:t>
      </w:r>
      <w:r>
        <w:t>.</w:t>
      </w:r>
      <w:bookmarkEnd w:id="27"/>
      <w:bookmarkEnd w:id="28"/>
      <w:bookmarkEnd w:id="29"/>
    </w:p>
    <w:p w14:paraId="72CA4DDB" w14:textId="77777777" w:rsidR="0015321A" w:rsidRDefault="0015321A" w:rsidP="00441650">
      <w:pPr>
        <w:pStyle w:val="List1"/>
      </w:pPr>
      <w:r>
        <w:rPr>
          <w:b/>
        </w:rPr>
        <w:br/>
      </w:r>
      <w:r>
        <w:t>(d) (1</w:t>
      </w:r>
      <w:proofErr w:type="gramStart"/>
      <w:r>
        <w:t>)  Use</w:t>
      </w:r>
      <w:proofErr w:type="gramEnd"/>
      <w:r>
        <w:t xml:space="preserve"> a clause substantially the same as the clause at FAR 52.241-7, Change in Rates or Terms and Conditions of Service for Regulated Services, when the utility services to be provided are subject to an independent regulatory body.</w:t>
      </w:r>
    </w:p>
    <w:p w14:paraId="5619AFC9" w14:textId="77777777" w:rsidR="0015321A" w:rsidRDefault="0015321A" w:rsidP="00466806">
      <w:pPr>
        <w:pStyle w:val="List2"/>
      </w:pPr>
      <w:r>
        <w:br/>
        <w:t xml:space="preserve">(2)  Use a clause substantially the same as the clause at FAR 52.241-8, Change in Rates or Terms and Conditions of Service for Unregulated Services, when the utility services to be provided are not subject to a regulatory body or are subject to a </w:t>
      </w:r>
      <w:proofErr w:type="spellStart"/>
      <w:r>
        <w:t>nonindependent</w:t>
      </w:r>
      <w:proofErr w:type="spellEnd"/>
      <w:r>
        <w:t xml:space="preserve"> regulatory body.</w:t>
      </w:r>
    </w:p>
    <w:p w14:paraId="32799B25" w14:textId="77777777" w:rsidR="0015321A" w:rsidRDefault="0015321A" w:rsidP="00466806">
      <w:pPr>
        <w:pStyle w:val="Heading4"/>
      </w:pPr>
      <w:r>
        <w:br/>
      </w:r>
      <w:bookmarkStart w:id="30" w:name="_Toc37677675"/>
      <w:bookmarkStart w:id="31" w:name="_Toc37755070"/>
      <w:r w:rsidRPr="002743EA">
        <w:t>241</w:t>
      </w:r>
      <w:r>
        <w:t>.</w:t>
      </w:r>
      <w:r w:rsidRPr="002743EA">
        <w:t>501</w:t>
      </w:r>
      <w:r>
        <w:t>-</w:t>
      </w:r>
      <w:proofErr w:type="gramStart"/>
      <w:r w:rsidRPr="002743EA">
        <w:t>70</w:t>
      </w:r>
      <w:r>
        <w:t xml:space="preserve">  </w:t>
      </w:r>
      <w:r w:rsidRPr="002743EA">
        <w:t>Additional</w:t>
      </w:r>
      <w:proofErr w:type="gramEnd"/>
      <w:r>
        <w:t xml:space="preserve"> </w:t>
      </w:r>
      <w:r w:rsidRPr="002743EA">
        <w:t>clauses</w:t>
      </w:r>
      <w:r>
        <w:t>.</w:t>
      </w:r>
      <w:bookmarkEnd w:id="30"/>
      <w:bookmarkEnd w:id="31"/>
    </w:p>
    <w:p w14:paraId="7E41AE35" w14:textId="77777777" w:rsidR="0015321A" w:rsidRDefault="0015321A" w:rsidP="00441650">
      <w:pPr>
        <w:pStyle w:val="List1"/>
      </w:pPr>
      <w:r>
        <w:rPr>
          <w:b/>
        </w:rPr>
        <w:br/>
      </w:r>
      <w:r>
        <w:t>(a)  If the Government must execute a superseding contract and capital credits, connection charge credits, or termination liability exist, use the clause at 252.241-7000, Superseding Contract.</w:t>
      </w:r>
    </w:p>
    <w:p w14:paraId="38C52A4E" w14:textId="77777777" w:rsidR="0015321A" w:rsidRDefault="0015321A" w:rsidP="00441650">
      <w:pPr>
        <w:pStyle w:val="List1"/>
      </w:pPr>
      <w:r>
        <w:br/>
        <w:t>(b)  Use the clause at 252.241-7001, Government Access, when the clause at FAR 52.241-5, Contractor's Facilities, is used.</w:t>
      </w:r>
    </w:p>
    <w:p w14:paraId="7EF4C055" w14:textId="77777777" w:rsidR="0015321A" w:rsidRPr="00466806" w:rsidRDefault="0015321A" w:rsidP="00466806">
      <w:r w:rsidRPr="00466806">
        <w:br/>
      </w:r>
    </w:p>
    <w:p w14:paraId="0E838075" w14:textId="77777777" w:rsidR="00850595" w:rsidRDefault="00850595"/>
    <w:sectPr w:rsidR="00850595" w:rsidSect="00544BC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67BEB" w14:textId="77777777" w:rsidR="00CF4371" w:rsidRDefault="00CF4371">
      <w:pPr>
        <w:spacing w:after="0" w:line="240" w:lineRule="auto"/>
      </w:pPr>
      <w:r>
        <w:separator/>
      </w:r>
    </w:p>
  </w:endnote>
  <w:endnote w:type="continuationSeparator" w:id="0">
    <w:p w14:paraId="612F9E18" w14:textId="77777777" w:rsidR="00CF4371" w:rsidRDefault="00CF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9D5A" w14:textId="77777777" w:rsidR="00532DBC" w:rsidRDefault="00CF4371">
    <w:pPr>
      <w:tabs>
        <w:tab w:val="left" w:pos="80"/>
      </w:tabs>
      <w:rPr>
        <w:b/>
        <w:sz w:val="20"/>
      </w:rPr>
    </w:pPr>
  </w:p>
  <w:p w14:paraId="7C525783" w14:textId="77777777" w:rsidR="00532DBC" w:rsidRDefault="00CF4371">
    <w:pPr>
      <w:rPr>
        <w:b/>
        <w:sz w:val="20"/>
      </w:rPr>
    </w:pPr>
  </w:p>
  <w:p w14:paraId="7DF44A47" w14:textId="77777777" w:rsidR="00532DBC" w:rsidRDefault="0015321A">
    <w:pPr>
      <w:pBdr>
        <w:top w:val="single" w:sz="6" w:space="1" w:color="auto"/>
      </w:pBdr>
      <w:tabs>
        <w:tab w:val="right" w:pos="9260"/>
      </w:tabs>
      <w:rPr>
        <w:sz w:val="20"/>
      </w:rPr>
    </w:pPr>
    <w:r>
      <w:rPr>
        <w:sz w:val="20"/>
      </w:rPr>
      <w:t>241.1-2</w:t>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47B86" w14:textId="77777777" w:rsidR="00532DBC" w:rsidRDefault="00CF4371">
    <w:pPr>
      <w:pStyle w:val="Footer"/>
      <w:ind w:right="-800"/>
      <w:rPr>
        <w:b/>
        <w:sz w:val="20"/>
      </w:rPr>
    </w:pPr>
  </w:p>
  <w:p w14:paraId="7AB3B1D2" w14:textId="77777777" w:rsidR="00532DBC" w:rsidRDefault="00CF4371">
    <w:pPr>
      <w:pStyle w:val="Footer"/>
      <w:rPr>
        <w:b/>
        <w:sz w:val="20"/>
      </w:rPr>
    </w:pPr>
  </w:p>
  <w:p w14:paraId="5AB9C5F1" w14:textId="77777777" w:rsidR="00532DBC" w:rsidRDefault="0015321A">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241.1-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F19EF" w14:textId="77777777" w:rsidR="00E429E0" w:rsidRDefault="00CF43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98905" w14:textId="77777777" w:rsidR="007C77C7" w:rsidRDefault="00CF4371">
    <w:pPr>
      <w:pStyle w:val="Footer"/>
      <w:ind w:right="-800"/>
      <w:rPr>
        <w:b/>
        <w:sz w:val="20"/>
      </w:rPr>
    </w:pPr>
  </w:p>
  <w:p w14:paraId="08DA2AE2" w14:textId="77777777" w:rsidR="007C77C7" w:rsidRDefault="00CF4371">
    <w:pPr>
      <w:pStyle w:val="Footer"/>
      <w:rPr>
        <w:b/>
        <w:sz w:val="20"/>
      </w:rPr>
    </w:pPr>
  </w:p>
  <w:p w14:paraId="34ABDE12" w14:textId="77777777" w:rsidR="007C77C7" w:rsidRDefault="0015321A">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241.2-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4DCAA" w14:textId="77777777" w:rsidR="00E429E0" w:rsidRDefault="00CF43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59A0F" w14:textId="77777777" w:rsidR="00C940FC" w:rsidRDefault="00CF4371">
    <w:pPr>
      <w:pStyle w:val="Footer"/>
      <w:ind w:right="-800"/>
      <w:rPr>
        <w:b/>
        <w:sz w:val="20"/>
      </w:rPr>
    </w:pPr>
  </w:p>
  <w:p w14:paraId="5C53F76E" w14:textId="77777777" w:rsidR="00C940FC" w:rsidRDefault="00CF4371">
    <w:pPr>
      <w:pStyle w:val="Footer"/>
      <w:rPr>
        <w:b/>
        <w:sz w:val="20"/>
      </w:rPr>
    </w:pPr>
  </w:p>
  <w:p w14:paraId="1C4829D4" w14:textId="77777777" w:rsidR="00C940FC" w:rsidRDefault="0015321A">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241.5-</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7354F" w14:textId="77777777" w:rsidR="00CF4371" w:rsidRDefault="00CF4371">
      <w:pPr>
        <w:spacing w:after="0" w:line="240" w:lineRule="auto"/>
      </w:pPr>
      <w:r>
        <w:separator/>
      </w:r>
    </w:p>
  </w:footnote>
  <w:footnote w:type="continuationSeparator" w:id="0">
    <w:p w14:paraId="73D2E331" w14:textId="77777777" w:rsidR="00CF4371" w:rsidRDefault="00CF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CA31" w14:textId="77777777" w:rsidR="00532DBC" w:rsidRDefault="0015321A">
    <w:pPr>
      <w:pStyle w:val="Header"/>
      <w:tabs>
        <w:tab w:val="clear" w:pos="8640"/>
      </w:tabs>
      <w:jc w:val="center"/>
    </w:pPr>
    <w:r>
      <w:t>Defense Federal Acquisition Regulation Supplement</w:t>
    </w:r>
  </w:p>
  <w:p w14:paraId="05438868" w14:textId="77777777" w:rsidR="00532DBC" w:rsidRDefault="00CF4371">
    <w:pPr>
      <w:pStyle w:val="Header"/>
      <w:rPr>
        <w:b/>
        <w:sz w:val="20"/>
      </w:rPr>
    </w:pPr>
  </w:p>
  <w:p w14:paraId="0AD49FA7" w14:textId="77777777" w:rsidR="00532DBC" w:rsidRDefault="0015321A">
    <w:pPr>
      <w:pStyle w:val="Header"/>
      <w:pBdr>
        <w:bottom w:val="single" w:sz="6" w:space="1" w:color="auto"/>
      </w:pBdr>
      <w:spacing w:after="10"/>
      <w:rPr>
        <w:sz w:val="20"/>
      </w:rPr>
    </w:pPr>
    <w:r>
      <w:rPr>
        <w:sz w:val="20"/>
      </w:rPr>
      <w:t>Part 241—Acquisition of Utility Services</w:t>
    </w:r>
  </w:p>
  <w:p w14:paraId="19FD810B" w14:textId="77777777" w:rsidR="00532DBC" w:rsidRDefault="00CF4371">
    <w:pPr>
      <w:pStyle w:val="Header"/>
      <w:spacing w:before="10" w:line="40" w:lineRule="exact"/>
      <w:rPr>
        <w:b/>
        <w:position w:val="6"/>
        <w:sz w:val="20"/>
      </w:rPr>
    </w:pPr>
  </w:p>
  <w:p w14:paraId="2D4C3F64" w14:textId="77777777" w:rsidR="00532DBC" w:rsidRDefault="00CF4371">
    <w:pPr>
      <w:pStyle w:val="Header"/>
      <w:tabs>
        <w:tab w:val="right" w:pos="10260"/>
      </w:tabs>
      <w:rPr>
        <w:b/>
        <w:sz w:val="20"/>
      </w:rPr>
    </w:pPr>
  </w:p>
  <w:p w14:paraId="6128A23D" w14:textId="77777777" w:rsidR="00532DBC" w:rsidRDefault="00CF4371">
    <w:pPr>
      <w:pStyle w:val="Header"/>
      <w:tabs>
        <w:tab w:val="right" w:pos="10260"/>
      </w:tabs>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1C17" w14:textId="77777777" w:rsidR="00532DBC" w:rsidRDefault="0015321A">
    <w:pPr>
      <w:pStyle w:val="Header"/>
      <w:tabs>
        <w:tab w:val="clear" w:pos="8640"/>
      </w:tabs>
      <w:ind w:right="280"/>
      <w:jc w:val="center"/>
    </w:pPr>
    <w:r>
      <w:t>Defense Federal Acquisition Regulation Supplement</w:t>
    </w:r>
  </w:p>
  <w:p w14:paraId="3DDB9378" w14:textId="77777777" w:rsidR="00532DBC" w:rsidRDefault="00CF4371">
    <w:pPr>
      <w:pStyle w:val="Header"/>
      <w:rPr>
        <w:b/>
        <w:sz w:val="20"/>
      </w:rPr>
    </w:pPr>
  </w:p>
  <w:p w14:paraId="2BB538C3" w14:textId="77777777" w:rsidR="00532DBC" w:rsidRDefault="0015321A">
    <w:pPr>
      <w:pStyle w:val="Header"/>
      <w:pBdr>
        <w:bottom w:val="single" w:sz="6" w:space="1" w:color="auto"/>
      </w:pBdr>
      <w:tabs>
        <w:tab w:val="clear" w:pos="8640"/>
        <w:tab w:val="right" w:pos="9260"/>
      </w:tabs>
      <w:spacing w:after="20"/>
      <w:ind w:left="994" w:hanging="994"/>
      <w:rPr>
        <w:sz w:val="20"/>
      </w:rPr>
    </w:pPr>
    <w:r>
      <w:rPr>
        <w:sz w:val="20"/>
      </w:rPr>
      <w:t>Part 241—Acquisition of Utility Services</w:t>
    </w:r>
  </w:p>
  <w:p w14:paraId="624F6655" w14:textId="77777777" w:rsidR="00532DBC" w:rsidRDefault="00CF4371">
    <w:pPr>
      <w:pStyle w:val="Header"/>
      <w:tabs>
        <w:tab w:val="clear" w:pos="8640"/>
        <w:tab w:val="right" w:pos="9260"/>
      </w:tabs>
      <w:spacing w:before="20" w:line="20" w:lineRule="exact"/>
      <w:ind w:right="-440"/>
      <w:rPr>
        <w:b/>
        <w:position w:val="6"/>
        <w:sz w:val="20"/>
      </w:rPr>
    </w:pPr>
  </w:p>
  <w:p w14:paraId="1B15AE63" w14:textId="77777777" w:rsidR="00532DBC" w:rsidRDefault="00CF4371">
    <w:pPr>
      <w:pStyle w:val="Header"/>
      <w:tabs>
        <w:tab w:val="clear" w:pos="8640"/>
        <w:tab w:val="right" w:pos="9260"/>
      </w:tabs>
      <w:ind w:right="-440"/>
      <w:rPr>
        <w:b/>
        <w:sz w:val="20"/>
      </w:rPr>
    </w:pPr>
  </w:p>
  <w:p w14:paraId="29CFC7D6" w14:textId="77777777" w:rsidR="00532DBC" w:rsidRDefault="00CF4371">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9FE05" w14:textId="77777777" w:rsidR="00E429E0" w:rsidRDefault="00CF43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598FB" w14:textId="77777777" w:rsidR="007C77C7" w:rsidRDefault="0015321A">
    <w:pPr>
      <w:pStyle w:val="Header"/>
      <w:tabs>
        <w:tab w:val="clear" w:pos="8640"/>
      </w:tabs>
      <w:ind w:right="280"/>
      <w:jc w:val="center"/>
    </w:pPr>
    <w:r>
      <w:t>Defense Federal Acquisition Regulation Supplement</w:t>
    </w:r>
  </w:p>
  <w:p w14:paraId="3B0ABB9C" w14:textId="77777777" w:rsidR="007C77C7" w:rsidRDefault="00CF4371">
    <w:pPr>
      <w:pStyle w:val="Header"/>
      <w:rPr>
        <w:b/>
        <w:sz w:val="20"/>
      </w:rPr>
    </w:pPr>
  </w:p>
  <w:p w14:paraId="25CC3520" w14:textId="77777777" w:rsidR="007C77C7" w:rsidRDefault="0015321A">
    <w:pPr>
      <w:pStyle w:val="Header"/>
      <w:pBdr>
        <w:bottom w:val="single" w:sz="6" w:space="1" w:color="auto"/>
      </w:pBdr>
      <w:tabs>
        <w:tab w:val="clear" w:pos="8640"/>
        <w:tab w:val="right" w:pos="9260"/>
      </w:tabs>
      <w:spacing w:after="20"/>
      <w:ind w:left="994" w:hanging="994"/>
      <w:rPr>
        <w:sz w:val="20"/>
      </w:rPr>
    </w:pPr>
    <w:r>
      <w:rPr>
        <w:sz w:val="20"/>
      </w:rPr>
      <w:t>Part 241—Acquisition of Utility Services</w:t>
    </w:r>
  </w:p>
  <w:p w14:paraId="261EE438" w14:textId="77777777" w:rsidR="007C77C7" w:rsidRDefault="00CF4371">
    <w:pPr>
      <w:pStyle w:val="Header"/>
      <w:tabs>
        <w:tab w:val="clear" w:pos="8640"/>
        <w:tab w:val="right" w:pos="9260"/>
      </w:tabs>
      <w:spacing w:before="20" w:line="20" w:lineRule="exact"/>
      <w:ind w:right="-440"/>
      <w:rPr>
        <w:b/>
        <w:position w:val="6"/>
        <w:sz w:val="20"/>
      </w:rPr>
    </w:pPr>
  </w:p>
  <w:p w14:paraId="0A25F8C9" w14:textId="77777777" w:rsidR="007C77C7" w:rsidRDefault="00CF4371">
    <w:pPr>
      <w:pStyle w:val="Header"/>
      <w:tabs>
        <w:tab w:val="clear" w:pos="8640"/>
        <w:tab w:val="right" w:pos="9260"/>
      </w:tabs>
      <w:ind w:right="-440"/>
      <w:rPr>
        <w:b/>
        <w:sz w:val="20"/>
      </w:rPr>
    </w:pPr>
  </w:p>
  <w:p w14:paraId="6DC5F296" w14:textId="77777777" w:rsidR="007C77C7" w:rsidRDefault="00CF4371">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BB92F" w14:textId="77777777" w:rsidR="00E429E0" w:rsidRDefault="00CF43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4F32E" w14:textId="77777777" w:rsidR="00C940FC" w:rsidRDefault="0015321A">
    <w:pPr>
      <w:pStyle w:val="Header"/>
      <w:tabs>
        <w:tab w:val="clear" w:pos="8640"/>
      </w:tabs>
      <w:ind w:right="280"/>
      <w:jc w:val="center"/>
    </w:pPr>
    <w:r>
      <w:t>Defense Federal Acquisition Regulation Supplement</w:t>
    </w:r>
  </w:p>
  <w:p w14:paraId="0A520135" w14:textId="77777777" w:rsidR="00C940FC" w:rsidRDefault="00CF4371">
    <w:pPr>
      <w:pStyle w:val="Header"/>
      <w:rPr>
        <w:b/>
        <w:sz w:val="20"/>
      </w:rPr>
    </w:pPr>
  </w:p>
  <w:p w14:paraId="07050B66" w14:textId="77777777" w:rsidR="00C940FC" w:rsidRDefault="0015321A">
    <w:pPr>
      <w:pStyle w:val="Header"/>
      <w:pBdr>
        <w:bottom w:val="single" w:sz="6" w:space="1" w:color="auto"/>
      </w:pBdr>
      <w:tabs>
        <w:tab w:val="clear" w:pos="8640"/>
        <w:tab w:val="right" w:pos="9260"/>
      </w:tabs>
      <w:spacing w:after="20"/>
      <w:ind w:left="994" w:hanging="994"/>
      <w:rPr>
        <w:sz w:val="20"/>
      </w:rPr>
    </w:pPr>
    <w:r>
      <w:rPr>
        <w:sz w:val="20"/>
      </w:rPr>
      <w:t>Part 241—Acquisition of Utility Services</w:t>
    </w:r>
  </w:p>
  <w:p w14:paraId="679303EC" w14:textId="77777777" w:rsidR="00C940FC" w:rsidRDefault="00CF4371">
    <w:pPr>
      <w:pStyle w:val="Header"/>
      <w:tabs>
        <w:tab w:val="clear" w:pos="8640"/>
        <w:tab w:val="right" w:pos="9260"/>
      </w:tabs>
      <w:spacing w:before="20" w:line="20" w:lineRule="exact"/>
      <w:ind w:right="-440"/>
      <w:rPr>
        <w:b/>
        <w:position w:val="6"/>
        <w:sz w:val="18"/>
      </w:rPr>
    </w:pPr>
  </w:p>
  <w:p w14:paraId="0E0A5399" w14:textId="77777777" w:rsidR="00C940FC" w:rsidRDefault="00CF4371">
    <w:pPr>
      <w:pStyle w:val="Header"/>
      <w:tabs>
        <w:tab w:val="clear" w:pos="8640"/>
        <w:tab w:val="right" w:pos="9260"/>
      </w:tabs>
      <w:ind w:right="-440"/>
      <w:rPr>
        <w:b/>
        <w:sz w:val="20"/>
      </w:rPr>
    </w:pPr>
  </w:p>
  <w:p w14:paraId="3D35C669" w14:textId="77777777" w:rsidR="00C940FC" w:rsidRDefault="00CF4371">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1A"/>
    <w:rsid w:val="0015321A"/>
    <w:rsid w:val="001D698F"/>
    <w:rsid w:val="00302483"/>
    <w:rsid w:val="00441650"/>
    <w:rsid w:val="00505901"/>
    <w:rsid w:val="007D6208"/>
    <w:rsid w:val="00850595"/>
    <w:rsid w:val="00923524"/>
    <w:rsid w:val="00B8095C"/>
    <w:rsid w:val="00BF48DE"/>
    <w:rsid w:val="00CF4371"/>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7E4F"/>
  <w15:chartTrackingRefBased/>
  <w15:docId w15:val="{DAEF96AE-45FE-4816-9FE3-44E73A6D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15321A"/>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15321A"/>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15321A"/>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15321A"/>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21A"/>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15321A"/>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15321A"/>
    <w:rPr>
      <w:rFonts w:ascii="Century Schoolbook" w:eastAsia="Times New Roman" w:hAnsi="Century Schoolbook" w:cs="Times New Roman"/>
      <w:b/>
      <w:sz w:val="24"/>
      <w:szCs w:val="20"/>
    </w:rPr>
  </w:style>
  <w:style w:type="paragraph" w:styleId="Footer">
    <w:name w:val="footer"/>
    <w:basedOn w:val="Normal"/>
    <w:link w:val="FooterChar"/>
    <w:rsid w:val="0015321A"/>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15321A"/>
    <w:rPr>
      <w:rFonts w:ascii="Century Schoolbook" w:eastAsia="Times New Roman" w:hAnsi="Century Schoolbook" w:cs="Times New Roman"/>
      <w:szCs w:val="20"/>
    </w:rPr>
  </w:style>
  <w:style w:type="paragraph" w:styleId="Header">
    <w:name w:val="header"/>
    <w:basedOn w:val="Normal"/>
    <w:link w:val="HeaderChar"/>
    <w:rsid w:val="0015321A"/>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15321A"/>
    <w:rPr>
      <w:rFonts w:ascii="Century Schoolbook" w:eastAsia="Times New Roman" w:hAnsi="Century Schoolbook" w:cs="Times New Roman"/>
      <w:szCs w:val="20"/>
    </w:rPr>
  </w:style>
  <w:style w:type="character" w:styleId="Hyperlink">
    <w:name w:val="Hyperlink"/>
    <w:uiPriority w:val="99"/>
    <w:unhideWhenUsed/>
    <w:rsid w:val="0015321A"/>
    <w:rPr>
      <w:color w:val="0000FF"/>
      <w:u w:val="single"/>
    </w:rPr>
  </w:style>
  <w:style w:type="paragraph" w:styleId="List2">
    <w:name w:val="List 2"/>
    <w:link w:val="List2Char"/>
    <w:uiPriority w:val="99"/>
    <w:unhideWhenUsed/>
    <w:rsid w:val="0015321A"/>
    <w:pPr>
      <w:spacing w:after="0" w:line="240" w:lineRule="auto"/>
      <w:ind w:left="720" w:hanging="360"/>
      <w:contextualSpacing/>
    </w:pPr>
    <w:rPr>
      <w:rFonts w:ascii="Century Schoolbook" w:eastAsia="Times New Roman" w:hAnsi="Century Schoolbook" w:cs="Times New Roman"/>
      <w:szCs w:val="20"/>
    </w:rPr>
  </w:style>
  <w:style w:type="paragraph" w:styleId="List4">
    <w:name w:val="List 4"/>
    <w:link w:val="List4Char"/>
    <w:uiPriority w:val="99"/>
    <w:semiHidden/>
    <w:unhideWhenUsed/>
    <w:rsid w:val="0015321A"/>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441650"/>
    <w:pPr>
      <w:ind w:left="0" w:firstLine="0"/>
    </w:pPr>
  </w:style>
  <w:style w:type="character" w:customStyle="1" w:styleId="ListChar">
    <w:name w:val="List Char"/>
    <w:basedOn w:val="DefaultParagraphFont"/>
    <w:link w:val="List"/>
    <w:uiPriority w:val="99"/>
    <w:semiHidden/>
    <w:rsid w:val="00441650"/>
  </w:style>
  <w:style w:type="character" w:customStyle="1" w:styleId="List4Char">
    <w:name w:val="List 4 Char"/>
    <w:basedOn w:val="DefaultParagraphFont"/>
    <w:link w:val="List4"/>
    <w:uiPriority w:val="99"/>
    <w:semiHidden/>
    <w:rsid w:val="0015321A"/>
    <w:rPr>
      <w:rFonts w:ascii="Century Schoolbook" w:eastAsia="Times New Roman" w:hAnsi="Century Schoolbook" w:cs="Times New Roman"/>
      <w:szCs w:val="20"/>
    </w:rPr>
  </w:style>
  <w:style w:type="paragraph" w:styleId="List3">
    <w:name w:val="List 3"/>
    <w:link w:val="List3Char"/>
    <w:uiPriority w:val="99"/>
    <w:semiHidden/>
    <w:unhideWhenUsed/>
    <w:rsid w:val="0015321A"/>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uiPriority w:val="99"/>
    <w:semiHidden/>
    <w:rsid w:val="0015321A"/>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15321A"/>
    <w:rPr>
      <w:rFonts w:ascii="Century Schoolbook" w:eastAsia="Times New Roman" w:hAnsi="Century Schoolbook" w:cs="Times New Roman"/>
      <w:b/>
      <w:sz w:val="24"/>
      <w:szCs w:val="20"/>
    </w:rPr>
  </w:style>
  <w:style w:type="character" w:customStyle="1" w:styleId="List2Char">
    <w:name w:val="List 2 Char"/>
    <w:basedOn w:val="DefaultParagraphFont"/>
    <w:link w:val="List2"/>
    <w:uiPriority w:val="99"/>
    <w:rsid w:val="0015321A"/>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15321A"/>
    <w:pPr>
      <w:spacing w:after="100"/>
    </w:pPr>
    <w:rPr>
      <w:rFonts w:cs="Arial"/>
    </w:rPr>
  </w:style>
  <w:style w:type="paragraph" w:styleId="TOC2">
    <w:name w:val="toc 2"/>
    <w:basedOn w:val="Normal"/>
    <w:next w:val="Normal"/>
    <w:autoRedefine/>
    <w:uiPriority w:val="39"/>
    <w:unhideWhenUsed/>
    <w:rsid w:val="0015321A"/>
    <w:pPr>
      <w:spacing w:after="100"/>
      <w:ind w:left="220"/>
    </w:pPr>
  </w:style>
  <w:style w:type="paragraph" w:styleId="TOC3">
    <w:name w:val="toc 3"/>
    <w:basedOn w:val="Normal"/>
    <w:next w:val="Normal"/>
    <w:autoRedefine/>
    <w:uiPriority w:val="39"/>
    <w:unhideWhenUsed/>
    <w:rsid w:val="0015321A"/>
    <w:pPr>
      <w:spacing w:after="100"/>
      <w:ind w:left="440"/>
    </w:pPr>
  </w:style>
  <w:style w:type="paragraph" w:styleId="TOC4">
    <w:name w:val="toc 4"/>
    <w:basedOn w:val="Normal"/>
    <w:next w:val="Normal"/>
    <w:autoRedefine/>
    <w:uiPriority w:val="39"/>
    <w:unhideWhenUsed/>
    <w:rsid w:val="0015321A"/>
    <w:pPr>
      <w:spacing w:after="100"/>
      <w:ind w:left="660"/>
    </w:pPr>
  </w:style>
  <w:style w:type="paragraph" w:styleId="TOC5">
    <w:name w:val="toc 5"/>
    <w:basedOn w:val="Normal"/>
    <w:next w:val="Normal"/>
    <w:autoRedefine/>
    <w:uiPriority w:val="39"/>
    <w:semiHidden/>
    <w:unhideWhenUsed/>
    <w:rsid w:val="0015321A"/>
    <w:pPr>
      <w:spacing w:after="100"/>
      <w:ind w:left="880"/>
    </w:pPr>
  </w:style>
  <w:style w:type="paragraph" w:styleId="TOC6">
    <w:name w:val="toc 6"/>
    <w:basedOn w:val="Normal"/>
    <w:next w:val="Normal"/>
    <w:autoRedefine/>
    <w:uiPriority w:val="39"/>
    <w:semiHidden/>
    <w:unhideWhenUsed/>
    <w:rsid w:val="0015321A"/>
    <w:pPr>
      <w:spacing w:after="100"/>
      <w:ind w:left="1100"/>
    </w:pPr>
  </w:style>
  <w:style w:type="paragraph" w:styleId="TOC7">
    <w:name w:val="toc 7"/>
    <w:basedOn w:val="Normal"/>
    <w:next w:val="Normal"/>
    <w:autoRedefine/>
    <w:uiPriority w:val="39"/>
    <w:semiHidden/>
    <w:unhideWhenUsed/>
    <w:rsid w:val="0015321A"/>
    <w:pPr>
      <w:spacing w:after="100"/>
      <w:ind w:left="1320"/>
    </w:pPr>
  </w:style>
  <w:style w:type="paragraph" w:styleId="TOC8">
    <w:name w:val="toc 8"/>
    <w:basedOn w:val="Normal"/>
    <w:next w:val="Normal"/>
    <w:autoRedefine/>
    <w:uiPriority w:val="39"/>
    <w:semiHidden/>
    <w:unhideWhenUsed/>
    <w:rsid w:val="0015321A"/>
    <w:pPr>
      <w:spacing w:after="100"/>
      <w:ind w:left="1540"/>
    </w:pPr>
  </w:style>
  <w:style w:type="paragraph" w:styleId="TOC9">
    <w:name w:val="toc 9"/>
    <w:basedOn w:val="Normal"/>
    <w:next w:val="Normal"/>
    <w:autoRedefine/>
    <w:uiPriority w:val="39"/>
    <w:semiHidden/>
    <w:unhideWhenUsed/>
    <w:rsid w:val="0015321A"/>
    <w:pPr>
      <w:spacing w:after="100"/>
      <w:ind w:left="1760"/>
    </w:pPr>
  </w:style>
  <w:style w:type="paragraph" w:styleId="List">
    <w:name w:val="List"/>
    <w:basedOn w:val="Normal"/>
    <w:link w:val="ListChar"/>
    <w:uiPriority w:val="99"/>
    <w:semiHidden/>
    <w:unhideWhenUsed/>
    <w:rsid w:val="00441650"/>
    <w:pPr>
      <w:ind w:left="360" w:hanging="360"/>
      <w:contextualSpacing/>
    </w:pPr>
  </w:style>
  <w:style w:type="character" w:customStyle="1" w:styleId="List1Char">
    <w:name w:val="List 1 Char"/>
    <w:basedOn w:val="ListChar"/>
    <w:link w:val="List1"/>
    <w:rsid w:val="00441650"/>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cq.osd.mil/dpap/dars/pgi/pgi_htm/PGI241_2.htm" TargetMode="External"/><Relationship Id="rId18" Type="http://schemas.openxmlformats.org/officeDocument/2006/relationships/header" Target="header5.xml"/><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hyperlink" Target="http://www.acq.osd.mil/dpap/dars/pgi/pgi_htm/PGI241_1.htm" TargetMode="External"/><Relationship Id="rId12" Type="http://schemas.openxmlformats.org/officeDocument/2006/relationships/hyperlink" Target="http://www.acq.osd.mil/dpap/dars/pgi/pgi_htm/PGI241_2.htm" TargetMode="Externa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www.acq.osd.mil/dpap/dars/dfars/html/current/217_1.ht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2020-04-09T21:24:00Z</dcterms:created>
  <dcterms:modified xsi:type="dcterms:W3CDTF">2020-04-14T15:10:00Z</dcterms:modified>
</cp:coreProperties>
</file>