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B6E" w:rsidRDefault="00676B6E">
      <w:pPr>
        <w:pStyle w:val="DFARS"/>
        <w:jc w:val="center"/>
        <w:rPr>
          <w:b/>
        </w:rPr>
      </w:pPr>
      <w:bookmarkStart w:id="0" w:name="TCH"/>
      <w:bookmarkStart w:id="1" w:name="_GoBack"/>
      <w:bookmarkEnd w:id="1"/>
      <w:r>
        <w:rPr>
          <w:b/>
        </w:rPr>
        <w:t>DEBARMENT AND SUSPENSION PROCEDURES</w:t>
      </w:r>
    </w:p>
    <w:p w:rsidR="00676B6E" w:rsidRDefault="00676B6E">
      <w:pPr>
        <w:pStyle w:val="DFARS"/>
        <w:jc w:val="center"/>
        <w:rPr>
          <w:b/>
        </w:rPr>
      </w:pPr>
      <w:r>
        <w:rPr>
          <w:b/>
        </w:rPr>
        <w:br/>
        <w:t>TABLE OF CONTENTS</w:t>
      </w:r>
    </w:p>
    <w:p w:rsidR="00676B6E" w:rsidRDefault="00676B6E">
      <w:pPr>
        <w:pStyle w:val="DFARS"/>
      </w:pPr>
      <w:r>
        <w:rPr>
          <w:b/>
        </w:rPr>
        <w:br/>
      </w:r>
      <w:r>
        <w:t>H-100</w:t>
      </w:r>
      <w:r>
        <w:tab/>
      </w:r>
      <w:r>
        <w:tab/>
        <w:t>Scope.</w:t>
      </w:r>
    </w:p>
    <w:p w:rsidR="00676B6E" w:rsidRDefault="00676B6E">
      <w:pPr>
        <w:pStyle w:val="DFARS"/>
      </w:pPr>
      <w:r>
        <w:t>H-101</w:t>
      </w:r>
      <w:r>
        <w:tab/>
      </w:r>
      <w:r>
        <w:tab/>
        <w:t>Notification.</w:t>
      </w:r>
    </w:p>
    <w:p w:rsidR="00676B6E" w:rsidRDefault="00676B6E">
      <w:pPr>
        <w:pStyle w:val="DFARS"/>
      </w:pPr>
      <w:r>
        <w:t>H-102</w:t>
      </w:r>
      <w:r>
        <w:tab/>
      </w:r>
      <w:r>
        <w:tab/>
        <w:t>Nature of proceeding.</w:t>
      </w:r>
    </w:p>
    <w:p w:rsidR="00676B6E" w:rsidRDefault="00676B6E">
      <w:pPr>
        <w:pStyle w:val="DFARS"/>
      </w:pPr>
      <w:r>
        <w:t>H-103</w:t>
      </w:r>
      <w:r>
        <w:tab/>
      </w:r>
      <w:r>
        <w:tab/>
        <w:t>Presentation of matters in opposition.</w:t>
      </w:r>
    </w:p>
    <w:p w:rsidR="00676B6E" w:rsidRDefault="00676B6E">
      <w:pPr>
        <w:pStyle w:val="DFARS"/>
      </w:pPr>
      <w:r>
        <w:t>H-104</w:t>
      </w:r>
      <w:r>
        <w:tab/>
      </w:r>
      <w:r>
        <w:tab/>
        <w:t>Fact-finding.</w:t>
      </w:r>
    </w:p>
    <w:p w:rsidR="00676B6E" w:rsidRDefault="00676B6E">
      <w:pPr>
        <w:pStyle w:val="DFARS"/>
      </w:pPr>
      <w:r>
        <w:t>H-105</w:t>
      </w:r>
      <w:r>
        <w:tab/>
      </w:r>
      <w:r>
        <w:tab/>
        <w:t>Timing requirements.</w:t>
      </w:r>
    </w:p>
    <w:p w:rsidR="00676B6E" w:rsidRDefault="00676B6E">
      <w:pPr>
        <w:pStyle w:val="DFARS"/>
      </w:pPr>
      <w:r>
        <w:t>H-106</w:t>
      </w:r>
      <w:r>
        <w:tab/>
      </w:r>
      <w:r>
        <w:tab/>
        <w:t>Subsequent to fact-finding.</w:t>
      </w:r>
      <w:bookmarkEnd w:id="0"/>
    </w:p>
    <w:p w:rsidR="00676B6E" w:rsidRDefault="00676B6E">
      <w:pPr>
        <w:pStyle w:val="DFARS"/>
        <w:rPr>
          <w:b/>
        </w:rPr>
      </w:pPr>
      <w:r>
        <w:br/>
      </w:r>
    </w:p>
    <w:p w:rsidR="00676B6E" w:rsidRDefault="00676B6E">
      <w:pPr>
        <w:sectPr w:rsidR="00676B6E" w:rsidSect="0097772E">
          <w:headerReference w:type="even" r:id="rId4"/>
          <w:headerReference w:type="default" r:id="rId5"/>
          <w:footerReference w:type="even" r:id="rId6"/>
          <w:footerReference w:type="default" r:id="rId7"/>
          <w:pgSz w:w="12240" w:h="15840"/>
          <w:pgMar w:top="1440" w:right="1440" w:bottom="1440" w:left="1440" w:header="720" w:footer="720" w:gutter="0"/>
          <w:cols w:space="720"/>
          <w:docGrid w:linePitch="360"/>
        </w:sectPr>
      </w:pPr>
    </w:p>
    <w:p w:rsidR="00676B6E" w:rsidRDefault="00676B6E">
      <w:pPr>
        <w:pStyle w:val="DFARS"/>
        <w:jc w:val="center"/>
        <w:rPr>
          <w:b/>
          <w:caps/>
        </w:rPr>
      </w:pPr>
      <w:bookmarkStart w:id="2" w:name="APH"/>
      <w:r>
        <w:rPr>
          <w:b/>
          <w:caps/>
        </w:rPr>
        <w:lastRenderedPageBreak/>
        <w:t>debarment and suspension procedures</w:t>
      </w:r>
    </w:p>
    <w:p w:rsidR="00676B6E" w:rsidRDefault="00676B6E">
      <w:pPr>
        <w:pStyle w:val="DFARS"/>
        <w:rPr>
          <w:b/>
        </w:rPr>
      </w:pPr>
      <w:r>
        <w:rPr>
          <w:b/>
          <w:caps/>
        </w:rPr>
        <w:br/>
      </w:r>
      <w:r>
        <w:rPr>
          <w:b/>
        </w:rPr>
        <w:t>H-100  Scope.</w:t>
      </w:r>
    </w:p>
    <w:p w:rsidR="00676B6E" w:rsidRDefault="00676B6E">
      <w:pPr>
        <w:pStyle w:val="DFARS"/>
      </w:pPr>
      <w:r>
        <w:t>This appendix provides uniform debarment and suspension procedures to be followed by all debarring and suspending officials.</w:t>
      </w:r>
    </w:p>
    <w:p w:rsidR="00676B6E" w:rsidRDefault="00676B6E">
      <w:pPr>
        <w:pStyle w:val="DFARS"/>
        <w:rPr>
          <w:b/>
        </w:rPr>
      </w:pPr>
      <w:r>
        <w:br/>
      </w:r>
      <w:r>
        <w:rPr>
          <w:b/>
        </w:rPr>
        <w:t>H-101  Notification.</w:t>
      </w:r>
    </w:p>
    <w:p w:rsidR="00676B6E" w:rsidRDefault="00676B6E">
      <w:pPr>
        <w:pStyle w:val="DFARS"/>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w:p w:rsidR="00676B6E" w:rsidRDefault="00676B6E">
      <w:pPr>
        <w:pStyle w:val="DFARS"/>
        <w:rPr>
          <w:b/>
        </w:rPr>
      </w:pPr>
      <w:r>
        <w:br/>
      </w:r>
      <w:r>
        <w:rPr>
          <w:b/>
        </w:rPr>
        <w:t>H-102  Nature of proceeding.</w:t>
      </w:r>
    </w:p>
    <w:p w:rsidR="00676B6E" w:rsidRDefault="00676B6E">
      <w:pPr>
        <w:pStyle w:val="DFARS"/>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w:p w:rsidR="00676B6E" w:rsidRDefault="00676B6E">
      <w:pPr>
        <w:pStyle w:val="DFARS"/>
        <w:rPr>
          <w:b/>
        </w:rPr>
      </w:pPr>
      <w:r>
        <w:br/>
      </w:r>
      <w:r>
        <w:rPr>
          <w:b/>
        </w:rPr>
        <w:t>H-103  Presentation of matters in opposition.</w:t>
      </w:r>
    </w:p>
    <w:p w:rsidR="00676B6E" w:rsidRDefault="00676B6E" w:rsidP="007F2C58">
      <w:pPr>
        <w:pStyle w:val="List1"/>
      </w:pPr>
      <w:r>
        <w:rPr>
          <w:b/>
        </w:rPr>
        <w:br/>
      </w: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rsidR="00676B6E" w:rsidRDefault="00676B6E" w:rsidP="007F2C58">
      <w:pPr>
        <w:pStyle w:val="List1"/>
      </w:pPr>
      <w:r>
        <w:b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rsidR="00676B6E" w:rsidRDefault="00676B6E" w:rsidP="007F2C58">
      <w:pPr>
        <w:pStyle w:val="List1"/>
      </w:pPr>
      <w:r>
        <w:lastRenderedPageBreak/>
        <w:br/>
        <w:t xml:space="preserve">(c)  In accordance with FAR 9.406-3(c) and 9.407-3(c), the contractor may submit matters in opposition within 30 days from receipt of the notice of suspension or proposed debarment. </w:t>
      </w:r>
    </w:p>
    <w:p w:rsidR="00676B6E" w:rsidRDefault="00676B6E" w:rsidP="007F2C58">
      <w:pPr>
        <w:pStyle w:val="List1"/>
      </w:pPr>
      <w:r>
        <w:br/>
        <w:t>(d)  The opportunity to present matters in opposition to debarment includes the opportunity to present matters concerning the duration of the debarment.</w:t>
      </w:r>
    </w:p>
    <w:p w:rsidR="00676B6E" w:rsidRDefault="00676B6E">
      <w:pPr>
        <w:pStyle w:val="DFARS"/>
        <w:rPr>
          <w:b/>
        </w:rPr>
      </w:pPr>
      <w:r>
        <w:br/>
      </w:r>
      <w:r>
        <w:rPr>
          <w:b/>
        </w:rPr>
        <w:t>H-104  Fact-finding.</w:t>
      </w:r>
    </w:p>
    <w:p w:rsidR="00676B6E" w:rsidRDefault="00676B6E" w:rsidP="007F2C58">
      <w:pPr>
        <w:pStyle w:val="List1"/>
      </w:pPr>
      <w:r>
        <w:rPr>
          <w:b/>
        </w:rPr>
        <w:br/>
      </w: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rsidR="00676B6E" w:rsidRDefault="00676B6E" w:rsidP="007F2C58">
      <w:pPr>
        <w:pStyle w:val="List1"/>
      </w:pPr>
      <w:r>
        <w:br/>
        <w:t>(b)  The designated fact-finder will establish the date for a fact-finding proceeding, normally to be held within 45 working days of the contractor’s presentation of matters in opposition.  An official record will be made of the fact-finding proceeding.</w:t>
      </w:r>
    </w:p>
    <w:p w:rsidR="00676B6E" w:rsidRDefault="00676B6E" w:rsidP="007F2C58">
      <w:pPr>
        <w:pStyle w:val="List1"/>
      </w:pPr>
      <w:r>
        <w:br/>
        <w:t>(c)  The Government’s representative and the contractor will have an opportunity to present evidence relevant to the facts at issue.  The contractor may appear in person or through a representative in the fact-finding proceeding.</w:t>
      </w:r>
    </w:p>
    <w:p w:rsidR="00676B6E" w:rsidRDefault="00676B6E" w:rsidP="007F2C58">
      <w:pPr>
        <w:pStyle w:val="List1"/>
      </w:pPr>
      <w:r>
        <w:br/>
        <w:t>(d)  Neither the Federal Rules of Evidence nor the Federal Rules of Civil Procedure govern fact-finding.  Hearsay evidence may be presented and will be given appropriate weight by the fact-finder.</w:t>
      </w:r>
    </w:p>
    <w:p w:rsidR="00676B6E" w:rsidRDefault="00676B6E" w:rsidP="007F2C58">
      <w:pPr>
        <w:pStyle w:val="List1"/>
      </w:pPr>
      <w:r>
        <w:br/>
        <w:t>(e)  Witnesses may testify in person.  Witnesses will be reminded of the official nature of the proceeding and that any false testimony given is subject to criminal prosecution.  Witnesses are subject to cross-examination.</w:t>
      </w:r>
    </w:p>
    <w:p w:rsidR="00676B6E" w:rsidRDefault="00676B6E">
      <w:pPr>
        <w:pStyle w:val="DFARS"/>
        <w:rPr>
          <w:b/>
        </w:rPr>
      </w:pPr>
      <w:r>
        <w:br/>
      </w:r>
      <w:r>
        <w:rPr>
          <w:b/>
        </w:rPr>
        <w:t>H-105  Timing requirements.</w:t>
      </w:r>
    </w:p>
    <w:p w:rsidR="00676B6E" w:rsidRDefault="00676B6E">
      <w:pPr>
        <w:pStyle w:val="DFARS"/>
      </w:pPr>
      <w:r>
        <w:t>All timing requirements set forth in these procedures may be extended by the debarring and suspending official for good cause.</w:t>
      </w:r>
    </w:p>
    <w:p w:rsidR="00676B6E" w:rsidRDefault="00676B6E">
      <w:pPr>
        <w:pStyle w:val="DFARS"/>
        <w:rPr>
          <w:b/>
        </w:rPr>
      </w:pPr>
      <w:r>
        <w:br/>
      </w:r>
      <w:r>
        <w:rPr>
          <w:b/>
        </w:rPr>
        <w:t>H-106  Subsequent to fact-finding.</w:t>
      </w:r>
    </w:p>
    <w:p w:rsidR="00676B6E" w:rsidRDefault="00676B6E" w:rsidP="007F2C58">
      <w:pPr>
        <w:pStyle w:val="List1"/>
      </w:pPr>
      <w:r>
        <w:rPr>
          <w:b/>
        </w:rPr>
        <w:br/>
      </w:r>
      <w:r>
        <w:t>(a)  Written findings of fact will be prepared by the fact-finder as mandated by FAR 9.406-3(d)(2)(i) and 9.407-3(d)(2)(i).</w:t>
      </w:r>
    </w:p>
    <w:p w:rsidR="00676B6E" w:rsidRDefault="00676B6E" w:rsidP="007F2C58">
      <w:pPr>
        <w:pStyle w:val="List1"/>
      </w:pPr>
      <w:r>
        <w:br/>
        <w:t>(b)  The fact-finder will determine the disputed fact(s) by a preponderance of the evidence.  A copy of the findings of fact will be provided to the debarring and suspending official, the Government’s representative, and the contractor.</w:t>
      </w:r>
    </w:p>
    <w:p w:rsidR="00676B6E" w:rsidRDefault="00676B6E" w:rsidP="007F2C58">
      <w:pPr>
        <w:pStyle w:val="List1"/>
      </w:pPr>
      <w:r>
        <w:br/>
        <w:t>(c)  The debarring and suspending official will determine whether to continue the suspension or to debar the contractor based upon the entire administrative record, including the findings of fact.</w:t>
      </w:r>
    </w:p>
    <w:p w:rsidR="00676B6E" w:rsidRDefault="00676B6E" w:rsidP="007F2C58">
      <w:pPr>
        <w:pStyle w:val="List1"/>
      </w:pPr>
      <w:r>
        <w:br/>
        <w:t>(d)  Prompt written notice of the debarring and suspending official’s decision will be sent to the contractor and any affiliates involved, in compliance with FAR 9.406-3(e) and 9.407-3(d)(4).</w:t>
      </w:r>
      <w:bookmarkEnd w:id="2"/>
    </w:p>
    <w:p w:rsidR="00676B6E" w:rsidRDefault="00676B6E">
      <w:pPr>
        <w:pStyle w:val="DFARS"/>
      </w:pPr>
      <w:r>
        <w:br/>
      </w:r>
    </w:p>
    <w:p w:rsidR="00850595" w:rsidRDefault="00850595"/>
    <w:sectPr w:rsidR="00850595" w:rsidSect="002108A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942" w:rsidRDefault="00676B6E">
    <w:pPr>
      <w:tabs>
        <w:tab w:val="left" w:pos="80"/>
      </w:tabs>
      <w:ind w:right="-720"/>
      <w:rPr>
        <w:rFonts w:ascii="Geneva" w:hAnsi="Geneva"/>
        <w:sz w:val="18"/>
      </w:rPr>
    </w:pPr>
  </w:p>
  <w:p w:rsidR="00BF7942" w:rsidRDefault="00676B6E">
    <w:pPr>
      <w:rPr>
        <w:rFonts w:ascii="Geneva" w:hAnsi="Geneva"/>
        <w:sz w:val="18"/>
      </w:rPr>
    </w:pPr>
  </w:p>
  <w:p w:rsidR="00BF7942" w:rsidRDefault="00676B6E">
    <w:pPr>
      <w:tabs>
        <w:tab w:val="right" w:pos="9720"/>
      </w:tabs>
      <w:ind w:right="-720"/>
      <w:rPr>
        <w:rFonts w:ascii="Geneva" w:hAnsi="Geneva"/>
        <w:b/>
        <w:sz w:val="18"/>
      </w:rPr>
    </w:pPr>
    <w:r>
      <w:rPr>
        <w:rFonts w:ascii="Geneva" w:hAnsi="Geneva"/>
        <w:sz w:val="18"/>
      </w:rPr>
      <w:t>_____________________________________________________________________________</w:t>
    </w:r>
  </w:p>
  <w:p w:rsidR="00BF7942" w:rsidRDefault="00676B6E">
    <w:pPr>
      <w:tabs>
        <w:tab w:val="right" w:pos="9260"/>
      </w:tabs>
      <w:ind w:right="-80"/>
      <w:rPr>
        <w:rFonts w:ascii="Helvetica" w:hAnsi="Helvetica"/>
        <w:b/>
      </w:rPr>
    </w:pPr>
    <w:r>
      <w:rPr>
        <w:rFonts w:ascii="Helvetica" w:hAnsi="Helvetica"/>
      </w:rPr>
      <w:t>H-</w:t>
    </w:r>
    <w:r>
      <w:rPr>
        <w:rFonts w:ascii="Helvetica" w:hAnsi="Helvetica"/>
      </w:rPr>
      <w:pgNum/>
    </w:r>
    <w:r>
      <w:rPr>
        <w:rFonts w:ascii="Helvetica" w:hAnsi="Helvetica"/>
      </w:rPr>
      <w:tab/>
    </w:r>
    <w:r>
      <w:rPr>
        <w:rFonts w:ascii="Helvetica" w:hAnsi="Helvetica"/>
      </w:rPr>
      <w:tab/>
      <w:t>DAC 91-6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942" w:rsidRDefault="00676B6E">
    <w:pPr>
      <w:pStyle w:val="Footer"/>
      <w:ind w:left="0" w:firstLine="0"/>
      <w:rPr>
        <w:rFonts w:ascii="Century Schoolbook" w:hAnsi="Century Schoolbook"/>
        <w:b w:val="0"/>
      </w:rPr>
    </w:pPr>
  </w:p>
  <w:p w:rsidR="00BF7942" w:rsidRDefault="00676B6E">
    <w:pPr>
      <w:rPr>
        <w:rFonts w:ascii="Century Schoolbook" w:hAnsi="Century Schoolbook"/>
        <w:b/>
      </w:rPr>
    </w:pPr>
  </w:p>
  <w:p w:rsidR="00BF7942" w:rsidRDefault="00676B6E">
    <w:pPr>
      <w:pStyle w:val="Footer"/>
      <w:pBdr>
        <w:top w:val="single" w:sz="6" w:space="1" w:color="auto"/>
      </w:pBdr>
      <w:tabs>
        <w:tab w:val="clear" w:pos="8640"/>
        <w:tab w:val="right" w:pos="9260"/>
      </w:tabs>
      <w:ind w:left="0" w:firstLine="0"/>
      <w:rPr>
        <w:rFonts w:ascii="Helvetica" w:hAnsi="Helvetica"/>
        <w:b w:val="0"/>
      </w:rPr>
    </w:pPr>
    <w:r>
      <w:rPr>
        <w:rFonts w:ascii="Century Schoolbook" w:hAnsi="Century Schoolbook"/>
      </w:rPr>
      <w:t>1998 EDITION</w:t>
    </w:r>
    <w:r>
      <w:rPr>
        <w:rFonts w:ascii="Century Schoolbook" w:hAnsi="Century Schoolbook"/>
      </w:rPr>
      <w:tab/>
    </w:r>
    <w:r>
      <w:rPr>
        <w:rFonts w:ascii="Century Schoolbook" w:hAnsi="Century Schoolbook"/>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6DF" w:rsidRDefault="00676B6E">
    <w:pPr>
      <w:tabs>
        <w:tab w:val="left" w:pos="80"/>
      </w:tabs>
      <w:rPr>
        <w:rFonts w:ascii="Century Schoolbook" w:hAnsi="Century Schoolbook"/>
        <w:b/>
      </w:rPr>
    </w:pPr>
  </w:p>
  <w:p w:rsidR="009926DF" w:rsidRDefault="00676B6E">
    <w:pPr>
      <w:rPr>
        <w:rFonts w:ascii="Century Schoolbook" w:hAnsi="Century Schoolbook"/>
        <w:b/>
      </w:rPr>
    </w:pPr>
  </w:p>
  <w:p w:rsidR="009926DF" w:rsidRDefault="00676B6E">
    <w:pPr>
      <w:pBdr>
        <w:top w:val="single" w:sz="6" w:space="1" w:color="auto"/>
      </w:pBdr>
      <w:tabs>
        <w:tab w:val="right" w:pos="9260"/>
      </w:tabs>
      <w:rPr>
        <w:rFonts w:ascii="Century Schoolbook" w:hAnsi="Century Schoolbook"/>
      </w:rPr>
    </w:pPr>
    <w:r>
      <w:rPr>
        <w:rFonts w:ascii="Century Schoolbook" w:hAnsi="Century Schoolbook"/>
      </w:rPr>
      <w:t>H-</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6DF" w:rsidRDefault="00676B6E">
    <w:pPr>
      <w:pStyle w:val="Footer"/>
      <w:ind w:left="0" w:firstLine="0"/>
      <w:rPr>
        <w:rFonts w:ascii="Century Schoolbook" w:hAnsi="Century Schoolbook"/>
        <w:b w:val="0"/>
      </w:rPr>
    </w:pPr>
  </w:p>
  <w:p w:rsidR="009926DF" w:rsidRDefault="00676B6E">
    <w:pPr>
      <w:rPr>
        <w:rFonts w:ascii="Century Schoolbook" w:hAnsi="Century Schoolbook"/>
        <w:b/>
      </w:rPr>
    </w:pPr>
  </w:p>
  <w:p w:rsidR="009926DF" w:rsidRDefault="00676B6E">
    <w:pPr>
      <w:pStyle w:val="Footer"/>
      <w:pBdr>
        <w:top w:val="single" w:sz="6" w:space="1" w:color="auto"/>
      </w:pBdr>
      <w:tabs>
        <w:tab w:val="clear" w:pos="8640"/>
        <w:tab w:val="right" w:pos="9260"/>
      </w:tabs>
      <w:ind w:left="0" w:firstLine="0"/>
      <w:rPr>
        <w:rFonts w:ascii="Century Schoolbook" w:hAnsi="Century Schoolbook"/>
      </w:rPr>
    </w:pPr>
    <w:r>
      <w:rPr>
        <w:rFonts w:ascii="Century Schoolbook" w:hAnsi="Century Schoolbook"/>
      </w:rPr>
      <w:t>1998 EDITION</w:t>
    </w:r>
    <w:r>
      <w:rPr>
        <w:rFonts w:ascii="Century Schoolbook" w:hAnsi="Century Schoolbook"/>
      </w:rPr>
      <w:tab/>
    </w:r>
    <w:r>
      <w:rPr>
        <w:rFonts w:ascii="Century Schoolbook" w:hAnsi="Century Schoolbook"/>
      </w:rPr>
      <w:tab/>
      <w:t>H-</w:t>
    </w:r>
    <w:r>
      <w:rPr>
        <w:rFonts w:ascii="Century Schoolbook" w:hAnsi="Century Schoolbook"/>
      </w:rPr>
      <w:pgNum/>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942" w:rsidRDefault="00676B6E">
    <w:pPr>
      <w:pStyle w:val="Header"/>
      <w:tabs>
        <w:tab w:val="clear" w:pos="8640"/>
      </w:tabs>
      <w:ind w:right="-440"/>
      <w:jc w:val="center"/>
      <w:rPr>
        <w:rFonts w:ascii="Helvetica" w:hAnsi="Helvetica"/>
        <w:b w:val="0"/>
        <w:sz w:val="18"/>
      </w:rPr>
    </w:pPr>
    <w:r>
      <w:rPr>
        <w:rFonts w:ascii="Helvetica" w:hAnsi="Helvetica"/>
        <w:b w:val="0"/>
        <w:sz w:val="18"/>
      </w:rPr>
      <w:t>Defense Federal Acquisition Regulation Supplement</w:t>
    </w:r>
  </w:p>
  <w:p w:rsidR="00BF7942" w:rsidRDefault="00676B6E">
    <w:pPr>
      <w:pStyle w:val="Header"/>
      <w:rPr>
        <w:rFonts w:ascii="Helvetica" w:hAnsi="Helvetica"/>
        <w:sz w:val="18"/>
      </w:rPr>
    </w:pPr>
  </w:p>
  <w:p w:rsidR="00BF7942" w:rsidRDefault="00676B6E">
    <w:pPr>
      <w:pStyle w:val="Header"/>
      <w:spacing w:after="10"/>
      <w:rPr>
        <w:rFonts w:ascii="Helvetica" w:hAnsi="Helvetica"/>
        <w:b w:val="0"/>
      </w:rPr>
    </w:pPr>
    <w:r>
      <w:rPr>
        <w:rFonts w:ascii="Helvetica" w:hAnsi="Helvetica"/>
        <w:b w:val="0"/>
      </w:rPr>
      <w:t>Appendix H--Debarment and Suspension Procedures</w:t>
    </w:r>
  </w:p>
  <w:p w:rsidR="00BF7942" w:rsidRDefault="00676B6E">
    <w:pPr>
      <w:pStyle w:val="Header"/>
      <w:spacing w:before="10" w:line="40" w:lineRule="exact"/>
      <w:rPr>
        <w:rFonts w:ascii="Helvetica" w:hAnsi="Helvetica"/>
        <w:b w:val="0"/>
        <w:position w:val="6"/>
        <w:sz w:val="18"/>
      </w:rPr>
    </w:pPr>
    <w:r>
      <w:rPr>
        <w:rFonts w:ascii="Geneva" w:hAnsi="Geneva"/>
        <w:b w:val="0"/>
        <w:position w:val="6"/>
        <w:sz w:val="18"/>
      </w:rPr>
      <w:t>_____________________________________________________________________________</w:t>
    </w:r>
  </w:p>
  <w:p w:rsidR="00BF7942" w:rsidRDefault="00676B6E">
    <w:pPr>
      <w:pStyle w:val="Header"/>
      <w:tabs>
        <w:tab w:val="right" w:pos="10260"/>
      </w:tabs>
      <w:ind w:right="-800"/>
      <w:rPr>
        <w:rFonts w:ascii="Helvetica" w:hAnsi="Helvetica"/>
        <w:u w:val="single"/>
      </w:rPr>
    </w:pPr>
  </w:p>
  <w:p w:rsidR="00BF7942" w:rsidRDefault="00676B6E">
    <w:pPr>
      <w:pStyle w:val="Header"/>
      <w:tabs>
        <w:tab w:val="right" w:pos="10260"/>
      </w:tabs>
      <w:ind w:right="-800"/>
      <w:rPr>
        <w:rFonts w:ascii="Helvetica" w:hAnsi="Helvetica"/>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942" w:rsidRDefault="00676B6E">
    <w:pPr>
      <w:pStyle w:val="Header"/>
      <w:tabs>
        <w:tab w:val="clear" w:pos="8640"/>
      </w:tabs>
      <w:ind w:left="0" w:firstLine="0"/>
      <w:jc w:val="center"/>
      <w:rPr>
        <w:rFonts w:ascii="Century Schoolbook" w:hAnsi="Century Schoolbook"/>
        <w:sz w:val="22"/>
      </w:rPr>
    </w:pPr>
    <w:r>
      <w:rPr>
        <w:rFonts w:ascii="Century Schoolbook" w:hAnsi="Century Schoolbook"/>
        <w:sz w:val="22"/>
      </w:rPr>
      <w:t>Defense Federal Acquisition Regulation Supplement</w:t>
    </w:r>
  </w:p>
  <w:p w:rsidR="00BF7942" w:rsidRDefault="00676B6E">
    <w:pPr>
      <w:pStyle w:val="Header"/>
      <w:ind w:left="0" w:firstLine="0"/>
      <w:rPr>
        <w:rFonts w:ascii="Century Schoolbook" w:hAnsi="Century Schoolbook"/>
        <w:b w:val="0"/>
      </w:rPr>
    </w:pPr>
  </w:p>
  <w:p w:rsidR="00BF7942" w:rsidRDefault="00676B6E">
    <w:pPr>
      <w:pStyle w:val="Header"/>
      <w:pBdr>
        <w:bottom w:val="single" w:sz="6" w:space="1" w:color="auto"/>
      </w:pBdr>
      <w:tabs>
        <w:tab w:val="clear" w:pos="8640"/>
        <w:tab w:val="right" w:pos="9260"/>
      </w:tabs>
      <w:spacing w:after="20"/>
      <w:ind w:left="0" w:firstLine="0"/>
      <w:rPr>
        <w:rFonts w:ascii="Century Schoolbook" w:hAnsi="Century Schoolbook"/>
      </w:rPr>
    </w:pPr>
    <w:r>
      <w:rPr>
        <w:rFonts w:ascii="Century Schoolbook" w:hAnsi="Century Schoolbook"/>
      </w:rPr>
      <w:t>Appendix H—Debarment and Suspension Procedures</w:t>
    </w:r>
  </w:p>
  <w:p w:rsidR="00BF7942" w:rsidRDefault="00676B6E">
    <w:pPr>
      <w:pStyle w:val="Header"/>
      <w:tabs>
        <w:tab w:val="clear" w:pos="8640"/>
        <w:tab w:val="right" w:pos="9260"/>
      </w:tabs>
      <w:spacing w:before="20" w:line="20" w:lineRule="exact"/>
      <w:ind w:left="0" w:firstLine="0"/>
      <w:rPr>
        <w:rFonts w:ascii="Century Schoolbook" w:hAnsi="Century Schoolbook"/>
        <w:b w:val="0"/>
        <w:position w:val="6"/>
      </w:rPr>
    </w:pPr>
  </w:p>
  <w:p w:rsidR="00BF7942" w:rsidRDefault="00676B6E">
    <w:pPr>
      <w:pStyle w:val="Header"/>
      <w:tabs>
        <w:tab w:val="clear" w:pos="8640"/>
        <w:tab w:val="right" w:pos="9260"/>
      </w:tabs>
      <w:ind w:left="0" w:firstLine="0"/>
      <w:rPr>
        <w:rFonts w:ascii="Century Schoolbook" w:hAnsi="Century Schoolbook"/>
        <w:b w:val="0"/>
      </w:rPr>
    </w:pPr>
  </w:p>
  <w:p w:rsidR="00BF7942" w:rsidRDefault="00676B6E">
    <w:pPr>
      <w:pStyle w:val="Header"/>
      <w:tabs>
        <w:tab w:val="clear" w:pos="8640"/>
        <w:tab w:val="right" w:pos="9260"/>
      </w:tabs>
      <w:ind w:left="0" w:firstLine="0"/>
      <w:rPr>
        <w:rFonts w:ascii="Century Schoolbook" w:hAnsi="Century Schoolbook"/>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6DF" w:rsidRDefault="00676B6E">
    <w:pPr>
      <w:pStyle w:val="Header"/>
      <w:tabs>
        <w:tab w:val="clear" w:pos="8640"/>
      </w:tabs>
      <w:ind w:left="0" w:firstLine="0"/>
      <w:jc w:val="center"/>
      <w:rPr>
        <w:rFonts w:ascii="Century Schoolbook" w:hAnsi="Century Schoolbook"/>
        <w:sz w:val="22"/>
      </w:rPr>
    </w:pPr>
    <w:r>
      <w:rPr>
        <w:rFonts w:ascii="Century Schoolbook" w:hAnsi="Century Schoolbook"/>
        <w:sz w:val="22"/>
      </w:rPr>
      <w:t>Defense Federal Acquisition Regulation Supplement</w:t>
    </w:r>
  </w:p>
  <w:p w:rsidR="009926DF" w:rsidRDefault="00676B6E">
    <w:pPr>
      <w:pStyle w:val="Header"/>
      <w:ind w:left="0" w:firstLine="0"/>
      <w:rPr>
        <w:rFonts w:ascii="Century Schoolbook" w:hAnsi="Century Schoolbook"/>
        <w:b w:val="0"/>
      </w:rPr>
    </w:pPr>
  </w:p>
  <w:p w:rsidR="009926DF" w:rsidRDefault="00676B6E">
    <w:pPr>
      <w:pStyle w:val="Header"/>
      <w:pBdr>
        <w:bottom w:val="single" w:sz="6" w:space="1" w:color="auto"/>
      </w:pBdr>
      <w:spacing w:after="10"/>
      <w:ind w:left="0" w:firstLine="0"/>
      <w:rPr>
        <w:rFonts w:ascii="Century Schoolbook" w:hAnsi="Century Schoolbook"/>
      </w:rPr>
    </w:pPr>
    <w:r>
      <w:rPr>
        <w:rFonts w:ascii="Century Schoolbook" w:hAnsi="Century Schoolbook"/>
      </w:rPr>
      <w:t xml:space="preserve">Appendix H—Debarment and Suspension </w:t>
    </w:r>
    <w:r>
      <w:rPr>
        <w:rFonts w:ascii="Century Schoolbook" w:hAnsi="Century Schoolbook"/>
      </w:rPr>
      <w:t>Procedures</w:t>
    </w:r>
  </w:p>
  <w:p w:rsidR="009926DF" w:rsidRDefault="00676B6E">
    <w:pPr>
      <w:pStyle w:val="Header"/>
      <w:spacing w:after="10"/>
      <w:ind w:left="0" w:firstLine="0"/>
      <w:rPr>
        <w:rFonts w:ascii="Century Schoolbook" w:hAnsi="Century Schoolbook"/>
        <w:b w:val="0"/>
      </w:rPr>
    </w:pPr>
  </w:p>
  <w:p w:rsidR="009926DF" w:rsidRDefault="00676B6E">
    <w:pPr>
      <w:pStyle w:val="Header"/>
      <w:spacing w:after="10"/>
      <w:ind w:left="0" w:firstLine="0"/>
      <w:rPr>
        <w:rFonts w:ascii="Century Schoolbook" w:hAnsi="Century Schoolbook"/>
        <w:b w:val="0"/>
      </w:rPr>
    </w:pPr>
  </w:p>
  <w:p w:rsidR="009926DF" w:rsidRDefault="00676B6E">
    <w:pPr>
      <w:pStyle w:val="Header"/>
      <w:spacing w:before="10" w:line="40" w:lineRule="exact"/>
      <w:ind w:left="0" w:firstLine="0"/>
      <w:rPr>
        <w:rFonts w:ascii="Arial" w:hAnsi="Arial"/>
        <w:b w:val="0"/>
        <w:position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6DF" w:rsidRDefault="00676B6E">
    <w:pPr>
      <w:pStyle w:val="DFARS"/>
      <w:jc w:val="center"/>
      <w:rPr>
        <w:b/>
      </w:rPr>
    </w:pPr>
    <w:r>
      <w:rPr>
        <w:b/>
      </w:rPr>
      <w:t>Defense Federal Acquisition Regulation Supplement</w:t>
    </w:r>
  </w:p>
  <w:p w:rsidR="009926DF" w:rsidRDefault="00676B6E">
    <w:pPr>
      <w:pStyle w:val="DFARS"/>
      <w:rPr>
        <w:sz w:val="20"/>
      </w:rPr>
    </w:pPr>
  </w:p>
  <w:p w:rsidR="009926DF" w:rsidRDefault="00676B6E">
    <w:pPr>
      <w:pStyle w:val="DFARS"/>
      <w:pBdr>
        <w:bottom w:val="single" w:sz="6" w:space="1" w:color="auto"/>
      </w:pBdr>
      <w:rPr>
        <w:b/>
        <w:sz w:val="22"/>
      </w:rPr>
    </w:pPr>
    <w:r>
      <w:rPr>
        <w:b/>
        <w:sz w:val="22"/>
      </w:rPr>
      <w:t>Appendix H—Debarment and Suspension Procedures</w:t>
    </w:r>
  </w:p>
  <w:p w:rsidR="009926DF" w:rsidRDefault="00676B6E">
    <w:pPr>
      <w:pStyle w:val="DFARS"/>
      <w:rPr>
        <w:sz w:val="20"/>
      </w:rPr>
    </w:pPr>
  </w:p>
  <w:p w:rsidR="009926DF" w:rsidRDefault="00676B6E">
    <w:pPr>
      <w:pStyle w:val="DFARS"/>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6E"/>
    <w:rsid w:val="00505901"/>
    <w:rsid w:val="00676B6E"/>
    <w:rsid w:val="007D6208"/>
    <w:rsid w:val="00850595"/>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3D083-5321-43F3-B56D-07B24980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link w:val="FooterChar"/>
    <w:semiHidden/>
    <w:rsid w:val="00676B6E"/>
    <w:pPr>
      <w:tabs>
        <w:tab w:val="center" w:pos="4320"/>
        <w:tab w:val="right" w:pos="8640"/>
      </w:tabs>
      <w:overflowPunct w:val="0"/>
      <w:autoSpaceDE w:val="0"/>
      <w:autoSpaceDN w:val="0"/>
      <w:adjustRightInd w:val="0"/>
      <w:spacing w:after="0" w:line="240" w:lineRule="auto"/>
      <w:ind w:left="1000" w:hanging="1000"/>
      <w:textAlignment w:val="baseline"/>
    </w:pPr>
    <w:rPr>
      <w:rFonts w:ascii="Times" w:eastAsia="Times New Roman" w:hAnsi="Times" w:cs="Times New Roman"/>
      <w:b/>
      <w:sz w:val="20"/>
      <w:szCs w:val="20"/>
    </w:rPr>
  </w:style>
  <w:style w:type="character" w:customStyle="1" w:styleId="FooterChar">
    <w:name w:val="Footer Char"/>
    <w:basedOn w:val="DefaultParagraphFont"/>
    <w:link w:val="Footer"/>
    <w:semiHidden/>
    <w:rsid w:val="00676B6E"/>
    <w:rPr>
      <w:rFonts w:ascii="Times" w:eastAsia="Times New Roman" w:hAnsi="Times" w:cs="Times New Roman"/>
      <w:b/>
      <w:sz w:val="20"/>
      <w:szCs w:val="20"/>
    </w:rPr>
  </w:style>
  <w:style w:type="paragraph" w:styleId="Header">
    <w:name w:val="header"/>
    <w:basedOn w:val="Normal"/>
    <w:link w:val="HeaderChar"/>
    <w:semiHidden/>
    <w:rsid w:val="00676B6E"/>
    <w:pPr>
      <w:tabs>
        <w:tab w:val="center" w:pos="4320"/>
        <w:tab w:val="right" w:pos="8640"/>
      </w:tabs>
      <w:overflowPunct w:val="0"/>
      <w:autoSpaceDE w:val="0"/>
      <w:autoSpaceDN w:val="0"/>
      <w:adjustRightInd w:val="0"/>
      <w:spacing w:after="0" w:line="240" w:lineRule="auto"/>
      <w:ind w:left="1000" w:hanging="1000"/>
      <w:textAlignment w:val="baseline"/>
    </w:pPr>
    <w:rPr>
      <w:rFonts w:ascii="Times" w:eastAsia="Times New Roman" w:hAnsi="Times" w:cs="Times New Roman"/>
      <w:b/>
      <w:sz w:val="20"/>
      <w:szCs w:val="20"/>
    </w:rPr>
  </w:style>
  <w:style w:type="character" w:customStyle="1" w:styleId="HeaderChar">
    <w:name w:val="Header Char"/>
    <w:basedOn w:val="DefaultParagraphFont"/>
    <w:link w:val="Header"/>
    <w:semiHidden/>
    <w:rsid w:val="00676B6E"/>
    <w:rPr>
      <w:rFonts w:ascii="Times" w:eastAsia="Times New Roman" w:hAnsi="Times" w:cs="Times New Roman"/>
      <w:b/>
      <w:sz w:val="20"/>
      <w:szCs w:val="20"/>
    </w:rPr>
  </w:style>
  <w:style w:type="paragraph" w:customStyle="1" w:styleId="DFARS">
    <w:name w:val="DFARS"/>
    <w:basedOn w:val="Normal"/>
    <w:link w:val="DFARSChar"/>
    <w:rsid w:val="00676B6E"/>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ascii="Century Schoolbook" w:eastAsia="Times New Roman" w:hAnsi="Century Schoolbook" w:cs="Times New Roman"/>
      <w:spacing w:val="-5"/>
      <w:kern w:val="20"/>
      <w:sz w:val="24"/>
      <w:szCs w:val="20"/>
    </w:rPr>
  </w:style>
  <w:style w:type="character" w:customStyle="1" w:styleId="DFARSChar">
    <w:name w:val="DFARS Char"/>
    <w:basedOn w:val="DefaultParagraphFont"/>
    <w:link w:val="DFARS"/>
    <w:rsid w:val="00676B6E"/>
    <w:rPr>
      <w:rFonts w:ascii="Century Schoolbook" w:eastAsia="Times New Roman" w:hAnsi="Century Schoolbook" w:cs="Times New Roman"/>
      <w:spacing w:val="-5"/>
      <w:kern w:val="20"/>
      <w:sz w:val="24"/>
      <w:szCs w:val="20"/>
    </w:rPr>
  </w:style>
  <w:style w:type="paragraph" w:customStyle="1" w:styleId="List1">
    <w:name w:val="List 1"/>
    <w:basedOn w:val="DFARS"/>
    <w:link w:val="List1Char"/>
    <w:rsid w:val="00676B6E"/>
    <w:pPr>
      <w:tabs>
        <w:tab w:val="clear" w:pos="360"/>
        <w:tab w:val="clear" w:pos="810"/>
        <w:tab w:val="clear" w:pos="1210"/>
        <w:tab w:val="clear" w:pos="1656"/>
        <w:tab w:val="clear" w:pos="2131"/>
        <w:tab w:val="clear" w:pos="2520"/>
      </w:tabs>
      <w:spacing w:line="240" w:lineRule="auto"/>
      <w:ind w:left="360" w:hanging="360"/>
      <w:contextualSpacing/>
    </w:pPr>
  </w:style>
  <w:style w:type="character" w:customStyle="1" w:styleId="List1Char">
    <w:name w:val="List 1 Char"/>
    <w:basedOn w:val="DFARSChar"/>
    <w:link w:val="List1"/>
    <w:rsid w:val="00676B6E"/>
    <w:rPr>
      <w:rFonts w:ascii="Century Schoolbook" w:eastAsia="Times New Roman" w:hAnsi="Century Schoolbook" w:cs="Times New Roman"/>
      <w:spacing w:val="-5"/>
      <w:kern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header" Target="header2.xml"/><Relationship Id="rId10" Type="http://schemas.openxmlformats.org/officeDocument/2006/relationships/footer" Target="footer3.xml"/><Relationship Id="rId4" Type="http://schemas.openxmlformats.org/officeDocument/2006/relationships/header" Target="header1.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cp:revision>
  <dcterms:created xsi:type="dcterms:W3CDTF">2020-04-03T21:32:00Z</dcterms:created>
  <dcterms:modified xsi:type="dcterms:W3CDTF">2020-04-03T21:32:00Z</dcterms:modified>
</cp:coreProperties>
</file>