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86685" w14:textId="77777777" w:rsidR="00A910E0" w:rsidRDefault="00A910E0" w:rsidP="009977E9">
      <w:pPr>
        <w:pStyle w:val="Heading1"/>
      </w:pPr>
      <w:bookmarkStart w:id="0" w:name="_Toc37677267"/>
      <w:bookmarkStart w:id="1" w:name="_Toc37755531"/>
      <w:r w:rsidRPr="007B495C">
        <w:t>PART 20</w:t>
      </w:r>
      <w:r>
        <w:t>5</w:t>
      </w:r>
      <w:r w:rsidRPr="007B495C">
        <w:t xml:space="preserve"> - </w:t>
      </w:r>
      <w:r>
        <w:br/>
      </w:r>
      <w:r w:rsidRPr="006B0470">
        <w:t>PUBLICIZING CONTRACT ACTIONS</w:t>
      </w:r>
      <w:bookmarkEnd w:id="0"/>
      <w:bookmarkEnd w:id="1"/>
    </w:p>
    <w:p w14:paraId="59F1E2F8" w14:textId="77777777" w:rsidR="00A910E0" w:rsidRDefault="00A910E0">
      <w:r>
        <w:br w:type="page"/>
      </w:r>
      <w:r>
        <w:lastRenderedPageBreak/>
        <w:br/>
      </w:r>
    </w:p>
    <w:p w14:paraId="2F9D1817" w14:textId="77777777" w:rsidR="00206067" w:rsidRPr="006D7B44" w:rsidRDefault="00206067" w:rsidP="006D7B44">
      <w:pPr>
        <w:jc w:val="center"/>
        <w:rPr>
          <w:b/>
        </w:rPr>
      </w:pPr>
      <w:r w:rsidRPr="006D7B44">
        <w:rPr>
          <w:b/>
        </w:rPr>
        <w:t>Table of Contents</w:t>
      </w:r>
    </w:p>
    <w:p w14:paraId="048C0B8C" w14:textId="7D482BBD" w:rsidR="00DC07EF" w:rsidRDefault="00DC07EF" w:rsidP="00DC07E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"1-4" \n \h \z \u </w:instrText>
      </w:r>
      <w:r>
        <w:rPr>
          <w:rStyle w:val="Hyperlink"/>
          <w:noProof/>
        </w:rPr>
        <w:fldChar w:fldCharType="separate"/>
      </w:r>
      <w:hyperlink w:anchor="_Toc37755531" w:history="1">
        <w:r w:rsidRPr="00C9651A">
          <w:rPr>
            <w:rStyle w:val="Hyperlink"/>
            <w:noProof/>
          </w:rPr>
          <w:t>PART 205 -  PUBLICIZING CONTRACT ACTIONS</w:t>
        </w:r>
      </w:hyperlink>
    </w:p>
    <w:p w14:paraId="0BA3BAAD" w14:textId="524D4511" w:rsidR="00DC07EF" w:rsidRDefault="00DC07EF" w:rsidP="00DC07EF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5532" w:history="1">
        <w:r w:rsidRPr="00C9651A">
          <w:rPr>
            <w:rStyle w:val="Hyperlink"/>
            <w:noProof/>
          </w:rPr>
          <w:t>PGI 205.2--</w:t>
        </w:r>
        <w:r w:rsidRPr="00C9651A">
          <w:rPr>
            <w:rStyle w:val="Hyperlink"/>
            <w:caps/>
            <w:noProof/>
          </w:rPr>
          <w:t>synopses of proposed contract actions</w:t>
        </w:r>
      </w:hyperlink>
    </w:p>
    <w:p w14:paraId="233D36E5" w14:textId="6187A20B" w:rsidR="00DC07EF" w:rsidRDefault="00DC07EF" w:rsidP="00DC07EF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5533" w:history="1">
        <w:r w:rsidRPr="00C9651A">
          <w:rPr>
            <w:rStyle w:val="Hyperlink"/>
            <w:b/>
            <w:noProof/>
          </w:rPr>
          <w:t>PGI 205.207  Preparation and transmittal of synopses.</w:t>
        </w:r>
      </w:hyperlink>
    </w:p>
    <w:p w14:paraId="4F034909" w14:textId="7E6FC3EF" w:rsidR="00A910E0" w:rsidRPr="00A910E0" w:rsidRDefault="00DC07EF" w:rsidP="00A910E0">
      <w:r>
        <w:rPr>
          <w:rStyle w:val="Hyperlink"/>
          <w:noProof/>
        </w:rPr>
        <w:fldChar w:fldCharType="end"/>
      </w:r>
    </w:p>
    <w:p w14:paraId="4C15CC90" w14:textId="77777777" w:rsidR="00A910E0" w:rsidRDefault="00A910E0" w:rsidP="00F00CCA">
      <w:pPr>
        <w:jc w:val="center"/>
      </w:pPr>
      <w:bookmarkStart w:id="2" w:name="BM205_2"/>
      <w:r w:rsidRPr="002356BF">
        <w:rPr>
          <w:i/>
          <w:szCs w:val="24"/>
        </w:rPr>
        <w:t xml:space="preserve">(Revised </w:t>
      </w:r>
      <w:r>
        <w:rPr>
          <w:i/>
          <w:szCs w:val="24"/>
        </w:rPr>
        <w:t>October 14, 2014</w:t>
      </w:r>
      <w:r w:rsidRPr="002356BF">
        <w:rPr>
          <w:i/>
          <w:szCs w:val="24"/>
        </w:rPr>
        <w:t>)</w:t>
      </w:r>
    </w:p>
    <w:p w14:paraId="7B559889" w14:textId="77777777" w:rsidR="00A910E0" w:rsidRDefault="00A910E0" w:rsidP="00F00CCA">
      <w:pPr>
        <w:rPr>
          <w:b/>
        </w:rPr>
      </w:pPr>
      <w:r>
        <w:br/>
      </w:r>
      <w:r w:rsidRPr="00E322B7">
        <w:rPr>
          <w:b/>
        </w:rPr>
        <w:t>PGI 205–PUBLICIZING CONTRACT ACTIONS</w:t>
      </w:r>
    </w:p>
    <w:p w14:paraId="1DC9B303" w14:textId="77777777" w:rsidR="00A910E0" w:rsidRDefault="00A910E0" w:rsidP="00F00CCA">
      <w:pPr>
        <w:pStyle w:val="Heading2"/>
      </w:pPr>
      <w:r>
        <w:rPr>
          <w:b w:val="0"/>
          <w:szCs w:val="24"/>
        </w:rPr>
        <w:br/>
      </w:r>
      <w:bookmarkStart w:id="3" w:name="_Toc37415580"/>
      <w:bookmarkStart w:id="4" w:name="_Toc37677268"/>
      <w:bookmarkStart w:id="5" w:name="_Toc37755532"/>
      <w:r w:rsidRPr="000F04FC">
        <w:rPr>
          <w:szCs w:val="24"/>
        </w:rPr>
        <w:t>PGI 205.2--</w:t>
      </w:r>
      <w:r w:rsidRPr="000F04FC">
        <w:rPr>
          <w:caps/>
          <w:szCs w:val="24"/>
        </w:rPr>
        <w:t>synopses of proposed contract actions</w:t>
      </w:r>
      <w:bookmarkEnd w:id="3"/>
      <w:bookmarkEnd w:id="4"/>
      <w:bookmarkEnd w:id="5"/>
    </w:p>
    <w:p w14:paraId="5DE53BA7" w14:textId="77777777" w:rsidR="00A910E0" w:rsidRDefault="00A910E0" w:rsidP="00F00CCA">
      <w:pPr>
        <w:pStyle w:val="Heading3"/>
      </w:pPr>
      <w:r>
        <w:rPr>
          <w:b/>
          <w:caps/>
          <w:szCs w:val="24"/>
        </w:rPr>
        <w:br/>
      </w:r>
      <w:bookmarkStart w:id="6" w:name="_Toc37415581"/>
      <w:bookmarkStart w:id="7" w:name="_Toc37677269"/>
      <w:bookmarkStart w:id="8" w:name="_Toc37755533"/>
      <w:r w:rsidRPr="000F04FC">
        <w:rPr>
          <w:b/>
          <w:szCs w:val="24"/>
        </w:rPr>
        <w:t xml:space="preserve">PGI </w:t>
      </w:r>
      <w:proofErr w:type="gramStart"/>
      <w:r w:rsidRPr="000F04FC">
        <w:rPr>
          <w:b/>
          <w:szCs w:val="24"/>
        </w:rPr>
        <w:t>205.207  Preparation</w:t>
      </w:r>
      <w:proofErr w:type="gramEnd"/>
      <w:r w:rsidRPr="000F04FC">
        <w:rPr>
          <w:b/>
          <w:szCs w:val="24"/>
        </w:rPr>
        <w:t xml:space="preserve"> and transmittal of synopses.</w:t>
      </w:r>
      <w:bookmarkEnd w:id="6"/>
      <w:bookmarkEnd w:id="7"/>
      <w:bookmarkEnd w:id="8"/>
    </w:p>
    <w:p w14:paraId="3E2E4D09" w14:textId="77777777" w:rsidR="00A910E0" w:rsidRDefault="00A910E0" w:rsidP="00F00CCA">
      <w:pPr>
        <w:pStyle w:val="List1"/>
      </w:pPr>
      <w:r>
        <w:rPr>
          <w:b/>
        </w:rPr>
        <w:br/>
      </w:r>
      <w:r w:rsidRPr="00E322B7">
        <w:t>(a)(</w:t>
      </w:r>
      <w:proofErr w:type="spellStart"/>
      <w:r w:rsidRPr="00E322B7">
        <w:t>i</w:t>
      </w:r>
      <w:proofErr w:type="spellEnd"/>
      <w:proofErr w:type="gramStart"/>
      <w:r w:rsidRPr="00E322B7">
        <w:t xml:space="preserve">)  </w:t>
      </w:r>
      <w:r w:rsidRPr="00E322B7">
        <w:rPr>
          <w:i/>
        </w:rPr>
        <w:t>Notice</w:t>
      </w:r>
      <w:proofErr w:type="gramEnd"/>
      <w:r w:rsidRPr="00E322B7">
        <w:rPr>
          <w:i/>
        </w:rPr>
        <w:t xml:space="preserve"> numbering</w:t>
      </w:r>
      <w:r w:rsidRPr="00E322B7">
        <w:t>.</w:t>
      </w:r>
    </w:p>
    <w:p w14:paraId="114E242B" w14:textId="77777777" w:rsidR="00A910E0" w:rsidRDefault="00A910E0" w:rsidP="00F00CCA">
      <w:pPr>
        <w:pStyle w:val="List6"/>
      </w:pPr>
      <w:r>
        <w:br/>
      </w:r>
      <w:r w:rsidRPr="00E322B7">
        <w:t>(1)  For a particular procurement, when submitting notices at different stages of the acquisition (i.e., sources sought notice, pre-solicitation notice, award notice), ensure the solicitation number is entered exactly the same way in order to allow all to be retrieved when a search is performed.</w:t>
      </w:r>
    </w:p>
    <w:p w14:paraId="7DCE4D8C" w14:textId="77777777" w:rsidR="00A910E0" w:rsidRDefault="00A910E0" w:rsidP="00F00CCA">
      <w:pPr>
        <w:pStyle w:val="List6"/>
      </w:pPr>
      <w:r>
        <w:br/>
      </w:r>
      <w:r w:rsidRPr="00E322B7">
        <w:t>(2)  Use only alpha-numeric characters in the solicitation and award number data elements in the GPE.  Do not include hyphens, slashes, or other special characters.</w:t>
      </w:r>
    </w:p>
    <w:bookmarkEnd w:id="2"/>
    <w:p w14:paraId="6E820272" w14:textId="77777777" w:rsidR="00A910E0" w:rsidRDefault="00A910E0" w:rsidP="00F00CCA">
      <w:pPr>
        <w:pStyle w:val="List1"/>
      </w:pPr>
      <w:r>
        <w:br/>
      </w:r>
      <w:r w:rsidRPr="000F04FC">
        <w:t>(d)</w:t>
      </w:r>
      <w:r w:rsidRPr="00E322B7">
        <w:t xml:space="preserve">  </w:t>
      </w:r>
      <w:r w:rsidRPr="00E322B7">
        <w:rPr>
          <w:i/>
        </w:rPr>
        <w:t>Special notices for small business events</w:t>
      </w:r>
      <w:r w:rsidRPr="00E322B7">
        <w:t xml:space="preserve">.  When advertising an event for small businesses, post a 'special notice' notice type and ensure the "title" data field begins with </w:t>
      </w:r>
      <w:r w:rsidRPr="00E322B7">
        <w:lastRenderedPageBreak/>
        <w:t>"Small Business Event".  This will enable the public to easily search the GPE using the small business event calendar on the website.</w:t>
      </w:r>
    </w:p>
    <w:p w14:paraId="0CA4C2BB" w14:textId="77777777" w:rsidR="00A910E0" w:rsidRPr="00E322B7" w:rsidRDefault="00A910E0" w:rsidP="00F00CCA">
      <w:r>
        <w:br/>
      </w:r>
    </w:p>
    <w:p w14:paraId="27CF4864" w14:textId="77777777" w:rsidR="00850595" w:rsidRDefault="00850595"/>
    <w:sectPr w:rsidR="00850595" w:rsidSect="0078210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F12E31" w14:textId="77777777" w:rsidR="006832D6" w:rsidRDefault="006832D6">
      <w:pPr>
        <w:spacing w:after="0" w:line="240" w:lineRule="auto"/>
      </w:pPr>
      <w:r>
        <w:separator/>
      </w:r>
    </w:p>
  </w:endnote>
  <w:endnote w:type="continuationSeparator" w:id="0">
    <w:p w14:paraId="60E1409E" w14:textId="77777777" w:rsidR="006832D6" w:rsidRDefault="0068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5AE30" w14:textId="77777777" w:rsidR="002356BF" w:rsidRDefault="006832D6">
    <w:pPr>
      <w:pStyle w:val="Footer"/>
      <w:rPr>
        <w:rFonts w:ascii="Century Schoolbook" w:hAnsi="Century Schoolbook"/>
        <w:sz w:val="20"/>
      </w:rPr>
    </w:pPr>
  </w:p>
  <w:p w14:paraId="28483A16" w14:textId="77777777" w:rsidR="002356BF" w:rsidRDefault="006832D6">
    <w:pPr>
      <w:pStyle w:val="Footer"/>
      <w:tabs>
        <w:tab w:val="clear" w:pos="8640"/>
      </w:tabs>
      <w:rPr>
        <w:rFonts w:ascii="Century Schoolbook" w:hAnsi="Century Schoolbook"/>
        <w:b/>
        <w:sz w:val="20"/>
      </w:rPr>
    </w:pPr>
  </w:p>
  <w:p w14:paraId="75E91EE1" w14:textId="77777777" w:rsidR="002356BF" w:rsidRPr="00BC71C0" w:rsidRDefault="00A910E0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Cs w:val="22"/>
      </w:rPr>
    </w:pPr>
    <w:r w:rsidRPr="00BC71C0">
      <w:rPr>
        <w:szCs w:val="22"/>
      </w:rPr>
      <w:t>2004 EDITION</w:t>
    </w:r>
    <w:r w:rsidRPr="00BC71C0">
      <w:rPr>
        <w:szCs w:val="22"/>
      </w:rPr>
      <w:tab/>
    </w:r>
    <w:r w:rsidRPr="00BC71C0">
      <w:rPr>
        <w:szCs w:val="22"/>
      </w:rPr>
      <w:tab/>
      <w:t>2</w:t>
    </w:r>
    <w:r>
      <w:rPr>
        <w:szCs w:val="22"/>
      </w:rPr>
      <w:t>05</w:t>
    </w:r>
    <w:r w:rsidRPr="00BC71C0">
      <w:rPr>
        <w:szCs w:val="22"/>
      </w:rPr>
      <w:t>.</w:t>
    </w:r>
    <w:r>
      <w:rPr>
        <w:szCs w:val="22"/>
      </w:rPr>
      <w:t>2</w:t>
    </w:r>
    <w:r w:rsidRPr="00BC71C0">
      <w:rPr>
        <w:szCs w:val="22"/>
      </w:rPr>
      <w:t>-</w:t>
    </w:r>
    <w:r w:rsidRPr="00BC71C0">
      <w:rPr>
        <w:szCs w:val="22"/>
      </w:rPr>
      <w:pgNum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7EBA5" w14:textId="77777777" w:rsidR="006832D6" w:rsidRDefault="006832D6">
      <w:pPr>
        <w:spacing w:after="0" w:line="240" w:lineRule="auto"/>
      </w:pPr>
      <w:r>
        <w:separator/>
      </w:r>
    </w:p>
  </w:footnote>
  <w:footnote w:type="continuationSeparator" w:id="0">
    <w:p w14:paraId="374EE723" w14:textId="77777777" w:rsidR="006832D6" w:rsidRDefault="00683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B6C10" w14:textId="77777777" w:rsidR="002356BF" w:rsidRDefault="00A910E0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  <w:r w:rsidRPr="002B1BC7">
      <w:rPr>
        <w:sz w:val="28"/>
        <w:szCs w:val="28"/>
      </w:rPr>
      <w:t>DFARS Procedures, Guidance, and Information</w:t>
    </w:r>
  </w:p>
  <w:p w14:paraId="53ED659F" w14:textId="77777777" w:rsidR="002356BF" w:rsidRPr="002B1BC7" w:rsidRDefault="006832D6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</w:p>
  <w:p w14:paraId="55606D5D" w14:textId="77777777" w:rsidR="002356BF" w:rsidRPr="00BC71C0" w:rsidRDefault="00A910E0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Cs w:val="24"/>
      </w:rPr>
    </w:pPr>
    <w:r w:rsidRPr="00BC71C0">
      <w:rPr>
        <w:szCs w:val="24"/>
      </w:rPr>
      <w:t>P</w:t>
    </w:r>
    <w:r>
      <w:rPr>
        <w:szCs w:val="24"/>
      </w:rPr>
      <w:t>GI</w:t>
    </w:r>
    <w:r w:rsidRPr="00BC71C0">
      <w:rPr>
        <w:szCs w:val="24"/>
      </w:rPr>
      <w:t xml:space="preserve"> 2</w:t>
    </w:r>
    <w:r>
      <w:rPr>
        <w:szCs w:val="24"/>
      </w:rPr>
      <w:t>05</w:t>
    </w:r>
    <w:r w:rsidRPr="00BC71C0">
      <w:rPr>
        <w:szCs w:val="24"/>
      </w:rPr>
      <w:t>—</w:t>
    </w:r>
    <w:r>
      <w:rPr>
        <w:szCs w:val="24"/>
      </w:rPr>
      <w:t>Publicizing Contract Actions</w:t>
    </w:r>
  </w:p>
  <w:p w14:paraId="6F506924" w14:textId="77777777" w:rsidR="002356BF" w:rsidRDefault="006832D6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7ADE7A8B" w14:textId="77777777" w:rsidR="002356BF" w:rsidRDefault="006832D6">
    <w:pPr>
      <w:pStyle w:val="Header"/>
      <w:tabs>
        <w:tab w:val="clear" w:pos="8640"/>
        <w:tab w:val="right" w:pos="9260"/>
      </w:tabs>
      <w:rPr>
        <w:rFonts w:ascii="Century Schoolbook" w:hAnsi="Century Schoolbook"/>
        <w:b/>
        <w:sz w:val="20"/>
      </w:rPr>
    </w:pPr>
  </w:p>
  <w:p w14:paraId="44101910" w14:textId="77777777" w:rsidR="002356BF" w:rsidRDefault="006832D6">
    <w:pPr>
      <w:pStyle w:val="Header"/>
      <w:rPr>
        <w:rFonts w:ascii="Century Schoolbook" w:hAnsi="Century Schoolbook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0E0"/>
    <w:rsid w:val="00206067"/>
    <w:rsid w:val="00505901"/>
    <w:rsid w:val="006832D6"/>
    <w:rsid w:val="006D7B44"/>
    <w:rsid w:val="007D6208"/>
    <w:rsid w:val="00850595"/>
    <w:rsid w:val="009136F5"/>
    <w:rsid w:val="00A910E0"/>
    <w:rsid w:val="00B8095C"/>
    <w:rsid w:val="00BF48DE"/>
    <w:rsid w:val="00DC07EF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FDA9B"/>
  <w15:chartTrackingRefBased/>
  <w15:docId w15:val="{A903385B-2AAE-43C6-8A18-66D1A9737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0E0"/>
    <w:pPr>
      <w:keepNext/>
      <w:keepLines/>
      <w:spacing w:before="240" w:after="0" w:afterAutospacing="1" w:line="240" w:lineRule="auto"/>
      <w:jc w:val="center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Heading2">
    <w:name w:val="heading 2"/>
    <w:link w:val="Heading2Char"/>
    <w:uiPriority w:val="9"/>
    <w:semiHidden/>
    <w:unhideWhenUsed/>
    <w:qFormat/>
    <w:rsid w:val="00A910E0"/>
    <w:pPr>
      <w:keepNext/>
      <w:spacing w:before="240" w:after="60" w:line="240" w:lineRule="auto"/>
      <w:outlineLvl w:val="1"/>
    </w:pPr>
    <w:rPr>
      <w:rFonts w:ascii="Arial" w:eastAsiaTheme="majorEastAsia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910E0"/>
    <w:pPr>
      <w:keepNext/>
      <w:tabs>
        <w:tab w:val="left" w:pos="1000"/>
      </w:tabs>
      <w:spacing w:before="120" w:after="120" w:afterAutospacing="1" w:line="240" w:lineRule="auto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0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0E0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10E0"/>
    <w:rPr>
      <w:rFonts w:ascii="Arial" w:eastAsiaTheme="majorEastAsia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910E0"/>
    <w:rPr>
      <w:rFonts w:ascii="Arial" w:eastAsia="Times New Roman" w:hAnsi="Arial" w:cs="Arial"/>
      <w:szCs w:val="20"/>
    </w:rPr>
  </w:style>
  <w:style w:type="paragraph" w:styleId="Footer">
    <w:name w:val="footer"/>
    <w:basedOn w:val="Normal"/>
    <w:link w:val="FooterChar"/>
    <w:rsid w:val="00A910E0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A910E0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rsid w:val="00A910E0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A910E0"/>
    <w:rPr>
      <w:rFonts w:ascii="Arial" w:eastAsia="Times New Roman" w:hAnsi="Arial" w:cs="Arial"/>
      <w:szCs w:val="20"/>
    </w:rPr>
  </w:style>
  <w:style w:type="paragraph" w:customStyle="1" w:styleId="List1">
    <w:name w:val="List 1"/>
    <w:link w:val="List1Char"/>
    <w:rsid w:val="00A910E0"/>
    <w:pPr>
      <w:spacing w:after="0" w:line="240" w:lineRule="auto"/>
      <w:ind w:left="360" w:hanging="360"/>
      <w:contextualSpacing/>
    </w:pPr>
    <w:rPr>
      <w:rFonts w:ascii="Arial" w:eastAsia="Times New Roman" w:hAnsi="Arial" w:cs="Arial"/>
      <w:szCs w:val="24"/>
    </w:rPr>
  </w:style>
  <w:style w:type="character" w:customStyle="1" w:styleId="List1Char">
    <w:name w:val="List 1 Char"/>
    <w:basedOn w:val="Heading3Char"/>
    <w:link w:val="List1"/>
    <w:rsid w:val="00A910E0"/>
    <w:rPr>
      <w:rFonts w:ascii="Arial" w:eastAsia="Times New Roman" w:hAnsi="Arial" w:cs="Arial"/>
      <w:szCs w:val="24"/>
    </w:rPr>
  </w:style>
  <w:style w:type="paragraph" w:customStyle="1" w:styleId="List6">
    <w:name w:val="List 6"/>
    <w:basedOn w:val="List2"/>
    <w:link w:val="List6Char"/>
    <w:rsid w:val="00A910E0"/>
    <w:pPr>
      <w:ind w:left="1800" w:firstLine="0"/>
    </w:pPr>
    <w:rPr>
      <w:rFonts w:eastAsia="Times New Roman"/>
      <w:szCs w:val="24"/>
    </w:rPr>
  </w:style>
  <w:style w:type="character" w:customStyle="1" w:styleId="List6Char">
    <w:name w:val="List 6 Char"/>
    <w:basedOn w:val="List1Char"/>
    <w:link w:val="List6"/>
    <w:rsid w:val="00A910E0"/>
    <w:rPr>
      <w:rFonts w:ascii="Arial" w:eastAsia="Times New Roman" w:hAnsi="Arial" w:cs="Arial"/>
      <w:szCs w:val="24"/>
    </w:rPr>
  </w:style>
  <w:style w:type="paragraph" w:styleId="List2">
    <w:name w:val="List 2"/>
    <w:basedOn w:val="Normal"/>
    <w:uiPriority w:val="99"/>
    <w:semiHidden/>
    <w:unhideWhenUsed/>
    <w:rsid w:val="00A910E0"/>
    <w:pPr>
      <w:ind w:left="72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A910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10E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10E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10E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0E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910E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910E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910E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910E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910E0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060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4</cp:revision>
  <dcterms:created xsi:type="dcterms:W3CDTF">2020-04-10T16:52:00Z</dcterms:created>
  <dcterms:modified xsi:type="dcterms:W3CDTF">2020-04-14T15:18:00Z</dcterms:modified>
</cp:coreProperties>
</file>