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22483" w14:textId="77777777" w:rsidR="00DB6C26" w:rsidRDefault="00DB6C26">
      <w:pPr>
        <w:sectPr w:rsidR="00DB6C26">
          <w:pgSz w:w="12240" w:h="15840"/>
          <w:pgMar w:top="1440" w:right="1440" w:bottom="1440" w:left="1440" w:header="720" w:footer="720" w:gutter="0"/>
          <w:cols w:space="720"/>
          <w:docGrid w:linePitch="360"/>
        </w:sectPr>
      </w:pPr>
    </w:p>
    <w:p w14:paraId="70FF9D37" w14:textId="77777777" w:rsidR="00DB6C26" w:rsidRDefault="00DB6C26" w:rsidP="00364E87">
      <w:pPr>
        <w:pStyle w:val="Heading1"/>
      </w:pPr>
      <w:bookmarkStart w:id="0" w:name="_Toc37677282"/>
      <w:bookmarkStart w:id="1" w:name="_Toc37755459"/>
      <w:r>
        <w:lastRenderedPageBreak/>
        <w:t xml:space="preserve">PGI </w:t>
      </w:r>
      <w:r w:rsidRPr="007B495C">
        <w:t>PART 20</w:t>
      </w:r>
      <w:r>
        <w:t>7</w:t>
      </w:r>
      <w:r w:rsidRPr="007B495C">
        <w:t xml:space="preserve"> - </w:t>
      </w:r>
      <w:r>
        <w:br/>
      </w:r>
      <w:r w:rsidRPr="00D33A5F">
        <w:t>ACQUISITION PLANNING</w:t>
      </w:r>
      <w:bookmarkEnd w:id="0"/>
      <w:bookmarkEnd w:id="1"/>
    </w:p>
    <w:p w14:paraId="193F28D7" w14:textId="77777777" w:rsidR="00DB6C26" w:rsidRDefault="00DB6C26">
      <w:r>
        <w:br w:type="page"/>
      </w:r>
      <w:r>
        <w:lastRenderedPageBreak/>
        <w:br/>
      </w:r>
    </w:p>
    <w:p w14:paraId="270E7C46" w14:textId="77777777" w:rsidR="00DB05B4" w:rsidRPr="007752B5" w:rsidRDefault="00DB05B4" w:rsidP="007752B5">
      <w:pPr>
        <w:jc w:val="center"/>
        <w:rPr>
          <w:b/>
        </w:rPr>
      </w:pPr>
      <w:r w:rsidRPr="007752B5">
        <w:rPr>
          <w:b/>
        </w:rPr>
        <w:t>Table of Contents</w:t>
      </w:r>
    </w:p>
    <w:p w14:paraId="08279533" w14:textId="6F683525" w:rsidR="00181118" w:rsidRDefault="00181118" w:rsidP="00181118">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459" w:history="1">
        <w:r w:rsidRPr="00FE649C">
          <w:rPr>
            <w:rStyle w:val="Hyperlink"/>
            <w:noProof/>
          </w:rPr>
          <w:t>PGI PART 207 -  ACQUISITION PLANNING</w:t>
        </w:r>
      </w:hyperlink>
    </w:p>
    <w:p w14:paraId="71936811" w14:textId="234035A8" w:rsidR="00181118" w:rsidRDefault="00181118" w:rsidP="00181118">
      <w:pPr>
        <w:pStyle w:val="TOC2"/>
        <w:tabs>
          <w:tab w:val="right" w:leader="dot" w:pos="9350"/>
        </w:tabs>
        <w:rPr>
          <w:rFonts w:asciiTheme="minorHAnsi" w:eastAsiaTheme="minorEastAsia" w:hAnsiTheme="minorHAnsi" w:cstheme="minorBidi"/>
          <w:noProof/>
        </w:rPr>
      </w:pPr>
      <w:hyperlink w:anchor="_Toc37755460" w:history="1">
        <w:r w:rsidRPr="00FE649C">
          <w:rPr>
            <w:rStyle w:val="Hyperlink"/>
            <w:iCs/>
            <w:noProof/>
          </w:rPr>
          <w:t>PGI 207.1—ACQUISITION PLANS</w:t>
        </w:r>
      </w:hyperlink>
    </w:p>
    <w:p w14:paraId="3F0C4A43" w14:textId="3B1CB6D1" w:rsidR="00181118" w:rsidRDefault="00181118" w:rsidP="00181118">
      <w:pPr>
        <w:pStyle w:val="TOC3"/>
        <w:tabs>
          <w:tab w:val="right" w:leader="dot" w:pos="9350"/>
        </w:tabs>
        <w:rPr>
          <w:rFonts w:asciiTheme="minorHAnsi" w:eastAsiaTheme="minorEastAsia" w:hAnsiTheme="minorHAnsi" w:cstheme="minorBidi"/>
          <w:noProof/>
        </w:rPr>
      </w:pPr>
      <w:hyperlink w:anchor="_Toc37755461" w:history="1">
        <w:r w:rsidRPr="00FE649C">
          <w:rPr>
            <w:rStyle w:val="Hyperlink"/>
            <w:b/>
            <w:noProof/>
          </w:rPr>
          <w:t>PGI 207.103  Agency-head responsibilities.</w:t>
        </w:r>
      </w:hyperlink>
    </w:p>
    <w:p w14:paraId="5589D05E" w14:textId="6BF7131A" w:rsidR="00181118" w:rsidRDefault="00181118" w:rsidP="00181118">
      <w:pPr>
        <w:pStyle w:val="TOC3"/>
        <w:tabs>
          <w:tab w:val="right" w:leader="dot" w:pos="9350"/>
        </w:tabs>
        <w:rPr>
          <w:rFonts w:asciiTheme="minorHAnsi" w:eastAsiaTheme="minorEastAsia" w:hAnsiTheme="minorHAnsi" w:cstheme="minorBidi"/>
          <w:noProof/>
        </w:rPr>
      </w:pPr>
      <w:hyperlink w:anchor="_Toc37755462" w:history="1">
        <w:r w:rsidRPr="00FE649C">
          <w:rPr>
            <w:rStyle w:val="Hyperlink"/>
            <w:b/>
            <w:noProof/>
          </w:rPr>
          <w:t>PGI 207.105  Contents of written acquisition plans.</w:t>
        </w:r>
      </w:hyperlink>
    </w:p>
    <w:p w14:paraId="230B92CC" w14:textId="4912FEAE" w:rsidR="00181118" w:rsidRDefault="00181118" w:rsidP="00181118">
      <w:pPr>
        <w:pStyle w:val="TOC3"/>
        <w:tabs>
          <w:tab w:val="right" w:leader="dot" w:pos="9350"/>
        </w:tabs>
        <w:rPr>
          <w:rFonts w:asciiTheme="minorHAnsi" w:eastAsiaTheme="minorEastAsia" w:hAnsiTheme="minorHAnsi" w:cstheme="minorBidi"/>
          <w:noProof/>
        </w:rPr>
      </w:pPr>
      <w:hyperlink w:anchor="_Toc37755463" w:history="1">
        <w:r w:rsidRPr="00FE649C">
          <w:rPr>
            <w:rStyle w:val="Hyperlink"/>
            <w:b/>
            <w:noProof/>
          </w:rPr>
          <w:t>PGI 207.171  Component breakout.</w:t>
        </w:r>
      </w:hyperlink>
    </w:p>
    <w:p w14:paraId="0E0B5E20" w14:textId="244993F5" w:rsidR="00181118" w:rsidRDefault="00181118" w:rsidP="00181118">
      <w:pPr>
        <w:pStyle w:val="TOC4"/>
        <w:tabs>
          <w:tab w:val="right" w:leader="dot" w:pos="9350"/>
        </w:tabs>
        <w:rPr>
          <w:rFonts w:asciiTheme="minorHAnsi" w:eastAsiaTheme="minorEastAsia" w:hAnsiTheme="minorHAnsi" w:cstheme="minorBidi"/>
          <w:noProof/>
        </w:rPr>
      </w:pPr>
      <w:hyperlink w:anchor="_Toc37755464" w:history="1">
        <w:r w:rsidRPr="00FE649C">
          <w:rPr>
            <w:rStyle w:val="Hyperlink"/>
            <w:b/>
            <w:noProof/>
          </w:rPr>
          <w:t>PGI 207.171-4  Procedures.</w:t>
        </w:r>
      </w:hyperlink>
    </w:p>
    <w:p w14:paraId="6526A613" w14:textId="5394EE3E" w:rsidR="00181118" w:rsidRDefault="00181118" w:rsidP="00181118">
      <w:pPr>
        <w:pStyle w:val="TOC2"/>
        <w:tabs>
          <w:tab w:val="right" w:leader="dot" w:pos="9350"/>
        </w:tabs>
        <w:rPr>
          <w:rFonts w:asciiTheme="minorHAnsi" w:eastAsiaTheme="minorEastAsia" w:hAnsiTheme="minorHAnsi" w:cstheme="minorBidi"/>
          <w:noProof/>
        </w:rPr>
      </w:pPr>
      <w:hyperlink w:anchor="_Toc37755465" w:history="1">
        <w:r w:rsidRPr="00FE649C">
          <w:rPr>
            <w:rStyle w:val="Hyperlink"/>
            <w:iCs/>
            <w:noProof/>
          </w:rPr>
          <w:t>PGI 207.3—</w:t>
        </w:r>
        <w:r w:rsidRPr="00FE649C">
          <w:rPr>
            <w:rStyle w:val="Hyperlink"/>
            <w:noProof/>
          </w:rPr>
          <w:t>CONTRACTOR VERSUS GOVERNMENT PERFORMANCE</w:t>
        </w:r>
      </w:hyperlink>
    </w:p>
    <w:p w14:paraId="16BE0670" w14:textId="64644DF3" w:rsidR="00181118" w:rsidRDefault="00181118" w:rsidP="00181118">
      <w:pPr>
        <w:pStyle w:val="TOC3"/>
        <w:tabs>
          <w:tab w:val="right" w:leader="dot" w:pos="9350"/>
        </w:tabs>
        <w:rPr>
          <w:rFonts w:asciiTheme="minorHAnsi" w:eastAsiaTheme="minorEastAsia" w:hAnsiTheme="minorHAnsi" w:cstheme="minorBidi"/>
          <w:noProof/>
        </w:rPr>
      </w:pPr>
      <w:hyperlink w:anchor="_Toc37755466" w:history="1">
        <w:r w:rsidRPr="00FE649C">
          <w:rPr>
            <w:rStyle w:val="Hyperlink"/>
            <w:b/>
            <w:noProof/>
          </w:rPr>
          <w:t>PGI 207.302  Policy.</w:t>
        </w:r>
      </w:hyperlink>
    </w:p>
    <w:p w14:paraId="1309C0DF" w14:textId="2376C239" w:rsidR="00181118" w:rsidRDefault="00181118" w:rsidP="00181118">
      <w:pPr>
        <w:pStyle w:val="TOC2"/>
        <w:tabs>
          <w:tab w:val="right" w:leader="dot" w:pos="9350"/>
        </w:tabs>
        <w:rPr>
          <w:rFonts w:asciiTheme="minorHAnsi" w:eastAsiaTheme="minorEastAsia" w:hAnsiTheme="minorHAnsi" w:cstheme="minorBidi"/>
          <w:noProof/>
        </w:rPr>
      </w:pPr>
      <w:hyperlink w:anchor="_Toc37755467" w:history="1">
        <w:r w:rsidRPr="00FE649C">
          <w:rPr>
            <w:rStyle w:val="Hyperlink"/>
            <w:caps/>
            <w:noProof/>
          </w:rPr>
          <w:t>PGI 207.4—equipment lease or purchase</w:t>
        </w:r>
      </w:hyperlink>
    </w:p>
    <w:p w14:paraId="7838D7BE" w14:textId="5C8EB3B6" w:rsidR="00181118" w:rsidRDefault="00181118" w:rsidP="00181118">
      <w:pPr>
        <w:pStyle w:val="TOC3"/>
        <w:tabs>
          <w:tab w:val="right" w:leader="dot" w:pos="9350"/>
        </w:tabs>
        <w:rPr>
          <w:rFonts w:asciiTheme="minorHAnsi" w:eastAsiaTheme="minorEastAsia" w:hAnsiTheme="minorHAnsi" w:cstheme="minorBidi"/>
          <w:noProof/>
        </w:rPr>
      </w:pPr>
      <w:hyperlink w:anchor="_Toc37755468" w:history="1">
        <w:r w:rsidRPr="00FE649C">
          <w:rPr>
            <w:rStyle w:val="Hyperlink"/>
            <w:b/>
            <w:noProof/>
          </w:rPr>
          <w:t>PGI 207.470  Statutory requirements.</w:t>
        </w:r>
      </w:hyperlink>
    </w:p>
    <w:p w14:paraId="37B97EB9" w14:textId="014E0E25" w:rsidR="00181118" w:rsidRDefault="00181118" w:rsidP="00181118">
      <w:pPr>
        <w:pStyle w:val="TOC2"/>
        <w:tabs>
          <w:tab w:val="right" w:leader="dot" w:pos="9350"/>
        </w:tabs>
        <w:rPr>
          <w:rFonts w:asciiTheme="minorHAnsi" w:eastAsiaTheme="minorEastAsia" w:hAnsiTheme="minorHAnsi" w:cstheme="minorBidi"/>
          <w:noProof/>
        </w:rPr>
      </w:pPr>
      <w:hyperlink w:anchor="_Toc37755469" w:history="1">
        <w:r w:rsidRPr="00FE649C">
          <w:rPr>
            <w:rStyle w:val="Hyperlink"/>
            <w:noProof/>
          </w:rPr>
          <w:t>PGI 207.5--INHERENTLY GOVERNMENTAL FUNCTIONS</w:t>
        </w:r>
      </w:hyperlink>
    </w:p>
    <w:p w14:paraId="623F4BDB" w14:textId="3E0E13C5" w:rsidR="00181118" w:rsidRDefault="00181118" w:rsidP="00181118">
      <w:pPr>
        <w:pStyle w:val="TOC3"/>
        <w:tabs>
          <w:tab w:val="right" w:leader="dot" w:pos="9350"/>
        </w:tabs>
        <w:rPr>
          <w:rFonts w:asciiTheme="minorHAnsi" w:eastAsiaTheme="minorEastAsia" w:hAnsiTheme="minorHAnsi" w:cstheme="minorBidi"/>
          <w:noProof/>
        </w:rPr>
      </w:pPr>
      <w:hyperlink w:anchor="_Toc37755470" w:history="1">
        <w:r w:rsidRPr="00FE649C">
          <w:rPr>
            <w:rStyle w:val="Hyperlink"/>
            <w:b/>
            <w:noProof/>
          </w:rPr>
          <w:t>PGI 207.503  Policy.</w:t>
        </w:r>
      </w:hyperlink>
    </w:p>
    <w:p w14:paraId="7882F023" w14:textId="314E09CB" w:rsidR="00DB6C26" w:rsidRPr="00DB6C26" w:rsidRDefault="00181118" w:rsidP="00DB6C26">
      <w:r>
        <w:rPr>
          <w:rStyle w:val="Hyperlink"/>
          <w:noProof/>
        </w:rPr>
        <w:fldChar w:fldCharType="end"/>
      </w:r>
    </w:p>
    <w:p w14:paraId="52436C72" w14:textId="77777777" w:rsidR="00DB6C26" w:rsidRDefault="00DB6C26" w:rsidP="00723A75">
      <w:pPr>
        <w:jc w:val="center"/>
      </w:pPr>
      <w:r w:rsidRPr="009037B9">
        <w:rPr>
          <w:i/>
          <w:szCs w:val="24"/>
        </w:rPr>
        <w:t>(</w:t>
      </w:r>
      <w:bookmarkStart w:id="2" w:name="OLE_LINK1"/>
      <w:bookmarkStart w:id="3" w:name="OLE_LINK2"/>
      <w:r w:rsidRPr="009037B9">
        <w:rPr>
          <w:i/>
          <w:szCs w:val="24"/>
        </w:rPr>
        <w:t xml:space="preserve">Revised </w:t>
      </w:r>
      <w:bookmarkEnd w:id="2"/>
      <w:bookmarkEnd w:id="3"/>
      <w:r>
        <w:rPr>
          <w:i/>
          <w:szCs w:val="24"/>
        </w:rPr>
        <w:t>October 31, 2019</w:t>
      </w:r>
      <w:r w:rsidRPr="009037B9">
        <w:rPr>
          <w:i/>
          <w:szCs w:val="24"/>
        </w:rPr>
        <w:t>)</w:t>
      </w:r>
    </w:p>
    <w:p w14:paraId="7FA42375" w14:textId="77777777" w:rsidR="00DB6C26" w:rsidRDefault="00DB6C26" w:rsidP="00723A75">
      <w:pPr>
        <w:pStyle w:val="Heading2"/>
      </w:pPr>
      <w:r>
        <w:rPr>
          <w:i/>
          <w:szCs w:val="24"/>
        </w:rPr>
        <w:br/>
      </w:r>
      <w:bookmarkStart w:id="4" w:name="_Toc37415597"/>
      <w:bookmarkStart w:id="5" w:name="_Toc37677283"/>
      <w:bookmarkStart w:id="6" w:name="_Toc37755460"/>
      <w:r w:rsidRPr="009037B9">
        <w:rPr>
          <w:iCs/>
        </w:rPr>
        <w:t>PGI 207.1—ACQUISITION PLANS</w:t>
      </w:r>
      <w:bookmarkEnd w:id="4"/>
      <w:bookmarkEnd w:id="5"/>
      <w:bookmarkEnd w:id="6"/>
    </w:p>
    <w:p w14:paraId="56F13BBC" w14:textId="77777777" w:rsidR="00DB6C26" w:rsidRDefault="00DB6C26" w:rsidP="00723A75">
      <w:pPr>
        <w:pStyle w:val="Heading3"/>
      </w:pPr>
      <w:r>
        <w:rPr>
          <w:b/>
          <w:iCs/>
        </w:rPr>
        <w:br/>
      </w:r>
      <w:bookmarkStart w:id="7" w:name="_Toc37415598"/>
      <w:bookmarkStart w:id="8" w:name="_Toc37677284"/>
      <w:bookmarkStart w:id="9" w:name="_Toc37755461"/>
      <w:r w:rsidRPr="009037B9">
        <w:rPr>
          <w:b/>
          <w:szCs w:val="24"/>
        </w:rPr>
        <w:t>PGI 207.103  Agency-head responsibilities.</w:t>
      </w:r>
      <w:bookmarkEnd w:id="7"/>
      <w:bookmarkEnd w:id="8"/>
      <w:bookmarkEnd w:id="9"/>
    </w:p>
    <w:p w14:paraId="7F8D7B6D" w14:textId="77777777" w:rsidR="00DB6C26" w:rsidRDefault="00DB6C26" w:rsidP="00723A75">
      <w:pPr>
        <w:pStyle w:val="List1"/>
      </w:pPr>
      <w:r>
        <w:br/>
      </w:r>
      <w:r w:rsidRPr="009037B9">
        <w:t>(h)  Submit acquisition plans for procurement of conventional ammunition to—</w:t>
      </w:r>
    </w:p>
    <w:p w14:paraId="71C50685" w14:textId="77777777" w:rsidR="00DB6C26" w:rsidRPr="009037B9" w:rsidRDefault="00DB6C26" w:rsidP="00723A75">
      <w:r>
        <w:rPr>
          <w:szCs w:val="24"/>
        </w:rPr>
        <w:br/>
      </w:r>
      <w:r w:rsidRPr="009037B9">
        <w:rPr>
          <w:szCs w:val="24"/>
        </w:rPr>
        <w:tab/>
      </w:r>
      <w:r w:rsidRPr="009037B9">
        <w:rPr>
          <w:szCs w:val="24"/>
        </w:rPr>
        <w:tab/>
      </w:r>
      <w:r w:rsidRPr="009037B9">
        <w:rPr>
          <w:szCs w:val="24"/>
        </w:rPr>
        <w:tab/>
        <w:t>Program Executive Officer, Ammunition</w:t>
      </w:r>
    </w:p>
    <w:p w14:paraId="2E981B52" w14:textId="77777777" w:rsidR="00DB6C26" w:rsidRPr="009037B9" w:rsidRDefault="00DB6C26" w:rsidP="00723A75">
      <w:r w:rsidRPr="009037B9">
        <w:lastRenderedPageBreak/>
        <w:tab/>
      </w:r>
      <w:r w:rsidRPr="009037B9">
        <w:tab/>
      </w:r>
      <w:r w:rsidRPr="009037B9">
        <w:tab/>
        <w:t>ATTN:  SFAE-AMO</w:t>
      </w:r>
    </w:p>
    <w:p w14:paraId="1C5CEE23" w14:textId="77777777" w:rsidR="00DB6C26" w:rsidRPr="009037B9" w:rsidRDefault="00DB6C26" w:rsidP="00723A75">
      <w:r w:rsidRPr="009037B9">
        <w:tab/>
      </w:r>
      <w:r w:rsidRPr="009037B9">
        <w:tab/>
      </w:r>
      <w:r w:rsidRPr="009037B9">
        <w:tab/>
        <w:t>Building 171</w:t>
      </w:r>
    </w:p>
    <w:p w14:paraId="342863EC" w14:textId="77777777" w:rsidR="00DB6C26" w:rsidRDefault="00DB6C26" w:rsidP="00723A75">
      <w:r w:rsidRPr="009037B9">
        <w:tab/>
      </w:r>
      <w:r w:rsidRPr="009037B9">
        <w:tab/>
      </w:r>
      <w:r w:rsidRPr="009037B9">
        <w:tab/>
        <w:t>Picatinny Arsenal, NJ  07806-5000</w:t>
      </w:r>
    </w:p>
    <w:p w14:paraId="0C8E18D9" w14:textId="77777777" w:rsidR="00DB6C26" w:rsidRDefault="00DB6C26" w:rsidP="00723A75">
      <w:r>
        <w:br/>
      </w:r>
      <w:r w:rsidRPr="009037B9">
        <w:tab/>
      </w:r>
      <w:r w:rsidRPr="009037B9">
        <w:tab/>
      </w:r>
      <w:r w:rsidRPr="009037B9">
        <w:tab/>
        <w:t>Telephone:  Commercial (973) 724-7101; DSN 880-7101.</w:t>
      </w:r>
    </w:p>
    <w:p w14:paraId="425BF494" w14:textId="77777777" w:rsidR="00DB6C26" w:rsidRDefault="00DB6C26" w:rsidP="00723A75">
      <w:pPr>
        <w:pStyle w:val="Heading3"/>
      </w:pPr>
      <w:r>
        <w:rPr>
          <w:szCs w:val="24"/>
        </w:rPr>
        <w:br/>
      </w:r>
      <w:bookmarkStart w:id="10" w:name="_Toc37415599"/>
      <w:bookmarkStart w:id="11" w:name="_Toc37677285"/>
      <w:bookmarkStart w:id="12" w:name="_Toc37755462"/>
      <w:r w:rsidRPr="009037B9">
        <w:rPr>
          <w:b/>
          <w:szCs w:val="24"/>
        </w:rPr>
        <w:t>PGI 207.105  Contents of written acquisition plans.</w:t>
      </w:r>
      <w:bookmarkEnd w:id="10"/>
      <w:bookmarkEnd w:id="11"/>
      <w:bookmarkEnd w:id="12"/>
    </w:p>
    <w:p w14:paraId="5CC2B100" w14:textId="77777777" w:rsidR="00DB6C26" w:rsidRDefault="00DB6C26" w:rsidP="00723A75">
      <w:r w:rsidRPr="009037B9">
        <w:rPr>
          <w:szCs w:val="24"/>
        </w:rPr>
        <w:t xml:space="preserve">For acquisitions covered by DFARS </w:t>
      </w:r>
      <w:hyperlink r:id="rId6" w:anchor="207.103" w:history="1">
        <w:r w:rsidRPr="000A4ECB">
          <w:rPr>
            <w:rStyle w:val="Hyperlink"/>
            <w:szCs w:val="24"/>
          </w:rPr>
          <w:t>207.103</w:t>
        </w:r>
      </w:hyperlink>
      <w:r w:rsidRPr="009037B9">
        <w:rPr>
          <w:szCs w:val="24"/>
        </w:rP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w14:paraId="340D21AC" w14:textId="77777777" w:rsidR="00DB6C26" w:rsidRDefault="00DB6C26" w:rsidP="00723A75">
      <w:pPr>
        <w:pStyle w:val="List1"/>
      </w:pPr>
      <w:r>
        <w:rPr>
          <w:b/>
        </w:rPr>
        <w:br/>
      </w:r>
      <w:r w:rsidRPr="009037B9">
        <w:t xml:space="preserve">(a)  </w:t>
      </w:r>
      <w:r w:rsidRPr="009037B9">
        <w:rPr>
          <w:i/>
        </w:rPr>
        <w:t>Acquisition background and objectives</w:t>
      </w:r>
      <w:r w:rsidRPr="009037B9">
        <w:t>.</w:t>
      </w:r>
    </w:p>
    <w:p w14:paraId="76D180B3" w14:textId="77777777" w:rsidR="00DB6C26" w:rsidRDefault="00DB6C26" w:rsidP="00723A75">
      <w:pPr>
        <w:pStyle w:val="List2"/>
      </w:pPr>
      <w:r>
        <w:rPr>
          <w:szCs w:val="24"/>
        </w:rPr>
        <w:br/>
      </w:r>
      <w:r w:rsidRPr="009037B9">
        <w:rPr>
          <w:szCs w:val="24"/>
        </w:rPr>
        <w:t xml:space="preserve">(1)  </w:t>
      </w:r>
      <w:r w:rsidRPr="009037B9">
        <w:rPr>
          <w:i/>
          <w:szCs w:val="24"/>
        </w:rPr>
        <w:t>Statement of need</w:t>
      </w:r>
      <w:r w:rsidRPr="009037B9">
        <w:rPr>
          <w:szCs w:val="24"/>
        </w:rPr>
        <w:t>.  Include—</w:t>
      </w:r>
    </w:p>
    <w:p w14:paraId="5E433C3A" w14:textId="77777777" w:rsidR="00DB6C26" w:rsidRDefault="00DB6C26" w:rsidP="00723A75">
      <w:pPr>
        <w:pStyle w:val="List4"/>
      </w:pPr>
      <w:r>
        <w:rPr>
          <w:szCs w:val="24"/>
        </w:rPr>
        <w:br/>
      </w:r>
      <w:r w:rsidRPr="009037B9">
        <w:rPr>
          <w:szCs w:val="24"/>
        </w:rPr>
        <w:t>(A)  Applicability of an acquisition decision document, a milestone decision review, or a service review, as appropriate.</w:t>
      </w:r>
    </w:p>
    <w:p w14:paraId="546A57CF" w14:textId="77777777" w:rsidR="00DB6C26" w:rsidRDefault="00DB6C26" w:rsidP="00723A75">
      <w:pPr>
        <w:pStyle w:val="List4"/>
      </w:pPr>
      <w:r>
        <w:rPr>
          <w:szCs w:val="24"/>
        </w:rPr>
        <w:br/>
      </w:r>
      <w:r w:rsidRPr="009037B9">
        <w:rPr>
          <w:szCs w:val="24"/>
        </w:rPr>
        <w:t>(B)  The date approval for operational use has been or will be obtained.  If waivers are requested, describe the need for the waivers.</w:t>
      </w:r>
    </w:p>
    <w:p w14:paraId="0EB778C5" w14:textId="77777777" w:rsidR="00DB6C26" w:rsidRDefault="00DB6C26" w:rsidP="00723A75">
      <w:pPr>
        <w:pStyle w:val="List4"/>
      </w:pPr>
      <w:r>
        <w:rPr>
          <w:szCs w:val="24"/>
        </w:rPr>
        <w:br/>
      </w:r>
      <w:r w:rsidRPr="009037B9">
        <w:rPr>
          <w:szCs w:val="24"/>
        </w:rPr>
        <w:t>(C)  A milestone chart depicting the acquisition objectives.</w:t>
      </w:r>
    </w:p>
    <w:p w14:paraId="2FA0C581" w14:textId="77777777" w:rsidR="00DB6C26" w:rsidRDefault="00DB6C26" w:rsidP="00723A75">
      <w:pPr>
        <w:pStyle w:val="List4"/>
      </w:pPr>
      <w:r>
        <w:rPr>
          <w:szCs w:val="24"/>
        </w:rPr>
        <w:br/>
      </w:r>
      <w:r w:rsidRPr="009037B9">
        <w:rPr>
          <w:szCs w:val="24"/>
        </w:rP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w14:paraId="45C5B896" w14:textId="77777777" w:rsidR="00DB6C26" w:rsidRDefault="00DB6C26" w:rsidP="00723A75">
      <w:pPr>
        <w:pStyle w:val="List4"/>
        <w:rPr>
          <w:b/>
        </w:rPr>
      </w:pPr>
      <w:r>
        <w:rPr>
          <w:szCs w:val="24"/>
        </w:rPr>
        <w:lastRenderedPageBreak/>
        <w:br/>
      </w:r>
      <w:r w:rsidRPr="00092428">
        <w:t xml:space="preserve">(E)  </w:t>
      </w:r>
      <w:r w:rsidRPr="00092428">
        <w:rPr>
          <w:i/>
        </w:rPr>
        <w:t>Supplies and services.</w:t>
      </w:r>
      <w:r w:rsidRPr="00092428">
        <w:t xml:space="preserve">  To determine if acquisitions for supplies or services are covered by DFARS </w:t>
      </w:r>
      <w:hyperlink r:id="rId7" w:history="1">
        <w:r w:rsidRPr="000A4ECB">
          <w:rPr>
            <w:rStyle w:val="Hyperlink"/>
          </w:rPr>
          <w:t>208.7</w:t>
        </w:r>
      </w:hyperlink>
      <w:r w:rsidRPr="00092428">
        <w:t xml:space="preserve">, acquisition officials shall use the AbilityOne Program Procurement List published by the Committee for Purchase From People Who Are Blind or Severely Disabled at </w:t>
      </w:r>
      <w:hyperlink w:history="1"/>
      <w:r w:rsidRPr="003B2A39">
        <w:t xml:space="preserve"> </w:t>
      </w:r>
      <w:hyperlink r:id="rId8" w:history="1">
        <w:r w:rsidRPr="003B2A39">
          <w:rPr>
            <w:rStyle w:val="Hyperlink"/>
          </w:rPr>
          <w:t>http://www.abilityone.gov/procurement_list/index.html</w:t>
        </w:r>
      </w:hyperlink>
      <w:r>
        <w:t xml:space="preserve">  (see FAR Part 8.7)</w:t>
      </w:r>
      <w:r w:rsidRPr="00092428">
        <w:t>.</w:t>
      </w:r>
    </w:p>
    <w:p w14:paraId="4D471A59" w14:textId="77777777" w:rsidR="00DB6C26" w:rsidRDefault="00DB6C26" w:rsidP="00723A75">
      <w:pPr>
        <w:pStyle w:val="List2"/>
        <w:rPr>
          <w:b/>
        </w:rPr>
      </w:pPr>
      <w:r>
        <w:rPr>
          <w:b/>
        </w:rPr>
        <w:br/>
      </w:r>
      <w:r w:rsidRPr="002F2069">
        <w:rPr>
          <w:szCs w:val="24"/>
        </w:rPr>
        <w:t>(3)(i)  Life-cycle cost.  When acquiring tents or other temporary structures, consider</w:t>
      </w:r>
      <w:r w:rsidRPr="00C60E38">
        <w:rPr>
          <w:b/>
        </w:rPr>
        <w:t xml:space="preserve"> </w:t>
      </w:r>
      <w:r w:rsidRPr="002458E8">
        <w:t xml:space="preserve">total life-cycle costs in accordance with DFARS </w:t>
      </w:r>
      <w:hyperlink r:id="rId9" w:anchor="215.101" w:history="1">
        <w:r w:rsidRPr="002458E8">
          <w:rPr>
            <w:rStyle w:val="Hyperlink"/>
            <w:szCs w:val="24"/>
          </w:rPr>
          <w:t>215.101</w:t>
        </w:r>
      </w:hyperlink>
      <w:r>
        <w:rPr>
          <w:b/>
        </w:rPr>
        <w:t>.</w:t>
      </w:r>
    </w:p>
    <w:p w14:paraId="3BCAA997" w14:textId="77777777" w:rsidR="00DB6C26" w:rsidRDefault="00DB6C26" w:rsidP="00723A75">
      <w:pPr>
        <w:pStyle w:val="List2"/>
      </w:pPr>
      <w:r>
        <w:rPr>
          <w:b/>
        </w:rPr>
        <w:br/>
      </w:r>
      <w:r w:rsidRPr="009037B9">
        <w:rPr>
          <w:szCs w:val="24"/>
        </w:rPr>
        <w:t xml:space="preserve">(8)  </w:t>
      </w:r>
      <w:r w:rsidRPr="009037B9">
        <w:rPr>
          <w:i/>
          <w:szCs w:val="24"/>
        </w:rPr>
        <w:t>Acquisition streamlining</w:t>
      </w:r>
      <w:r w:rsidRPr="009037B9">
        <w:rPr>
          <w:szCs w:val="24"/>
        </w:rPr>
        <w:t>.  See DoDD 5000.1, The Defense Acquisition System, and the Defense Acquisition Guidebook at</w:t>
      </w:r>
      <w:r>
        <w:rPr>
          <w:szCs w:val="24"/>
        </w:rPr>
        <w:t xml:space="preserve"> </w:t>
      </w:r>
      <w:bookmarkStart w:id="13" w:name="OLE_LINK4"/>
      <w:bookmarkStart w:id="14" w:name="OLE_LINK5"/>
      <w:r>
        <w:rPr>
          <w:szCs w:val="24"/>
        </w:rPr>
        <w:fldChar w:fldCharType="begin"/>
      </w:r>
      <w:r>
        <w:rPr>
          <w:szCs w:val="24"/>
        </w:rPr>
        <w:instrText xml:space="preserve"> HYPERLINK "https://dag.dau.mil/Pages/Default.aspx" </w:instrText>
      </w:r>
      <w:r>
        <w:rPr>
          <w:szCs w:val="24"/>
        </w:rPr>
        <w:fldChar w:fldCharType="separate"/>
      </w:r>
      <w:r w:rsidRPr="006D3560">
        <w:rPr>
          <w:rStyle w:val="Hyperlink"/>
          <w:szCs w:val="24"/>
        </w:rPr>
        <w:t>https://dag.dau.mil/Pages/Default.aspx</w:t>
      </w:r>
      <w:bookmarkEnd w:id="13"/>
      <w:bookmarkEnd w:id="14"/>
      <w:r>
        <w:rPr>
          <w:szCs w:val="24"/>
        </w:rPr>
        <w:fldChar w:fldCharType="end"/>
      </w:r>
      <w:r w:rsidRPr="009037B9">
        <w:rPr>
          <w:szCs w:val="24"/>
        </w:rPr>
        <w:t>.</w:t>
      </w:r>
    </w:p>
    <w:p w14:paraId="68D8D6DA" w14:textId="77777777" w:rsidR="00DB6C26" w:rsidRDefault="00DB6C26" w:rsidP="00723A75">
      <w:pPr>
        <w:pStyle w:val="List1"/>
      </w:pPr>
      <w:r>
        <w:br/>
      </w:r>
      <w:r w:rsidRPr="009037B9">
        <w:t xml:space="preserve">(b)  </w:t>
      </w:r>
      <w:r w:rsidRPr="009037B9">
        <w:rPr>
          <w:i/>
        </w:rPr>
        <w:t>Plan of action</w:t>
      </w:r>
      <w:r w:rsidRPr="009037B9">
        <w:t>.</w:t>
      </w:r>
    </w:p>
    <w:p w14:paraId="61B75098" w14:textId="77777777" w:rsidR="00DB6C26" w:rsidRDefault="00DB6C26" w:rsidP="00723A75">
      <w:pPr>
        <w:pStyle w:val="List2"/>
      </w:pPr>
      <w:r>
        <w:rPr>
          <w:szCs w:val="24"/>
        </w:rPr>
        <w:br/>
      </w:r>
      <w:r w:rsidRPr="000B486C">
        <w:rPr>
          <w:szCs w:val="24"/>
        </w:rPr>
        <w:t xml:space="preserve">(2)  </w:t>
      </w:r>
      <w:r w:rsidRPr="002F2069">
        <w:rPr>
          <w:i/>
          <w:szCs w:val="24"/>
        </w:rPr>
        <w:t>Competition.</w:t>
      </w:r>
      <w:r w:rsidRPr="000B486C">
        <w:rPr>
          <w:szCs w:val="24"/>
        </w:rPr>
        <w:t xml:space="preserve"> For information on various approaches that may be used to competitively fulfill DoD requirements, see the Office of the Under Secretary of Defense for Acquisition, Technology, and Logistics </w:t>
      </w:r>
      <w:bookmarkStart w:id="15" w:name="OLE_LINK3"/>
      <w:bookmarkStart w:id="16" w:name="OLE_LINK6"/>
      <w:r w:rsidRPr="000B486C">
        <w:rPr>
          <w:szCs w:val="24"/>
        </w:rPr>
        <w:fldChar w:fldCharType="begin"/>
      </w:r>
      <w:r>
        <w:rPr>
          <w:szCs w:val="24"/>
        </w:rPr>
        <w:instrText>HYPERLINK "http://bbp.dau.mil/docs/BBP%202-0%20Competition%20Guidelines%20(Published%2022%20Aug%202014).pdf"</w:instrText>
      </w:r>
      <w:r w:rsidRPr="000B486C">
        <w:rPr>
          <w:szCs w:val="24"/>
        </w:rPr>
        <w:fldChar w:fldCharType="separate"/>
      </w:r>
      <w:r w:rsidRPr="000B486C">
        <w:rPr>
          <w:color w:val="0000FF"/>
          <w:szCs w:val="24"/>
          <w:u w:val="single"/>
        </w:rPr>
        <w:t>Guidelines for Creating and Maintaining a Competitive Environment for Supplies and Services in the Department of Defense</w:t>
      </w:r>
      <w:r w:rsidRPr="000B486C">
        <w:rPr>
          <w:szCs w:val="24"/>
        </w:rPr>
        <w:fldChar w:fldCharType="end"/>
      </w:r>
      <w:bookmarkEnd w:id="15"/>
      <w:bookmarkEnd w:id="16"/>
      <w:r w:rsidRPr="000B486C">
        <w:rPr>
          <w:szCs w:val="24"/>
        </w:rPr>
        <w:t>.</w:t>
      </w:r>
    </w:p>
    <w:p w14:paraId="509BCA88" w14:textId="77777777" w:rsidR="00DB6C26" w:rsidRDefault="00DB6C26" w:rsidP="00723A75">
      <w:pPr>
        <w:pStyle w:val="List2"/>
      </w:pPr>
      <w:r>
        <w:rPr>
          <w:szCs w:val="24"/>
        </w:rPr>
        <w:br/>
      </w:r>
      <w:r w:rsidRPr="009037B9">
        <w:rPr>
          <w:szCs w:val="24"/>
        </w:rPr>
        <w:t xml:space="preserve">(4)  </w:t>
      </w:r>
      <w:r w:rsidRPr="009037B9">
        <w:rPr>
          <w:i/>
          <w:szCs w:val="24"/>
        </w:rPr>
        <w:t>Acquisition considerations</w:t>
      </w:r>
      <w:r w:rsidRPr="009037B9">
        <w:rPr>
          <w:szCs w:val="24"/>
        </w:rP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14:paraId="03B5B227" w14:textId="77777777" w:rsidR="00DB6C26" w:rsidRDefault="00DB6C26" w:rsidP="00723A75">
      <w:pPr>
        <w:pStyle w:val="List2"/>
      </w:pPr>
      <w:r>
        <w:rPr>
          <w:szCs w:val="24"/>
        </w:rPr>
        <w:br/>
      </w:r>
      <w:r w:rsidRPr="009037B9">
        <w:rPr>
          <w:szCs w:val="24"/>
        </w:rPr>
        <w:t xml:space="preserve">(5)  </w:t>
      </w:r>
      <w:r w:rsidRPr="009037B9">
        <w:rPr>
          <w:i/>
          <w:szCs w:val="24"/>
        </w:rPr>
        <w:t>Budgeting and funding</w:t>
      </w:r>
      <w:r w:rsidRPr="009037B9">
        <w:rPr>
          <w:szCs w:val="24"/>
        </w:rPr>
        <w:t>.  Include specific references to budget line items and program elements, where applicable, estimated production unit cost, and the total cost for remaining production.</w:t>
      </w:r>
    </w:p>
    <w:p w14:paraId="6C804779" w14:textId="77777777" w:rsidR="00DB6C26" w:rsidRDefault="00DB6C26" w:rsidP="00723A75">
      <w:pPr>
        <w:pStyle w:val="List2"/>
      </w:pPr>
      <w:r>
        <w:rPr>
          <w:szCs w:val="24"/>
        </w:rPr>
        <w:br/>
      </w:r>
      <w:r w:rsidRPr="009037B9">
        <w:rPr>
          <w:szCs w:val="24"/>
        </w:rPr>
        <w:t xml:space="preserve">(6)  </w:t>
      </w:r>
      <w:r w:rsidRPr="009037B9">
        <w:rPr>
          <w:i/>
          <w:szCs w:val="24"/>
        </w:rPr>
        <w:t>Product or service descriptions</w:t>
      </w:r>
      <w:r w:rsidRPr="009037B9">
        <w:rPr>
          <w:szCs w:val="24"/>
        </w:rPr>
        <w:t>.  For development acquisitions, describe the market research undertaken to identify commercial items, commercial items with modifications, or nondevelopmental items (see FAR Part 10) that could satisfy the acquisition objectives.</w:t>
      </w:r>
    </w:p>
    <w:p w14:paraId="1042EDD6" w14:textId="77777777" w:rsidR="00DB6C26" w:rsidRDefault="00DB6C26" w:rsidP="00723A75">
      <w:r>
        <w:rPr>
          <w:szCs w:val="24"/>
        </w:rPr>
        <w:br/>
      </w:r>
      <w:r w:rsidRPr="009037B9">
        <w:rPr>
          <w:szCs w:val="24"/>
        </w:rPr>
        <w:tab/>
      </w:r>
      <w:r w:rsidRPr="009037B9">
        <w:rPr>
          <w:szCs w:val="24"/>
        </w:rPr>
        <w:tab/>
        <w:t>(1</w:t>
      </w:r>
      <w:r>
        <w:rPr>
          <w:szCs w:val="24"/>
        </w:rPr>
        <w:t>4</w:t>
      </w:r>
      <w:r w:rsidRPr="009037B9">
        <w:rPr>
          <w:szCs w:val="24"/>
        </w:rPr>
        <w:t xml:space="preserve">)  </w:t>
      </w:r>
      <w:r w:rsidRPr="009037B9">
        <w:rPr>
          <w:i/>
          <w:szCs w:val="24"/>
        </w:rPr>
        <w:t>Logistics considerations</w:t>
      </w:r>
      <w:r w:rsidRPr="009037B9">
        <w:rPr>
          <w:szCs w:val="24"/>
        </w:rPr>
        <w:t>.</w:t>
      </w:r>
    </w:p>
    <w:p w14:paraId="72AAEE66" w14:textId="77777777" w:rsidR="00DB6C26" w:rsidRDefault="00DB6C26" w:rsidP="00723A75">
      <w:pPr>
        <w:pStyle w:val="List3"/>
      </w:pPr>
      <w:r>
        <w:rPr>
          <w:szCs w:val="24"/>
        </w:rPr>
        <w:lastRenderedPageBreak/>
        <w:br/>
      </w:r>
      <w:r w:rsidRPr="009037B9">
        <w:rPr>
          <w:szCs w:val="24"/>
        </w:rPr>
        <w:t>(i)  Describe the extent of integrated logistics support planning, including total life cycle system management and performance-based logistics.  Reference approved plans.</w:t>
      </w:r>
      <w:r>
        <w:rPr>
          <w:szCs w:val="24"/>
        </w:rPr>
        <w:t xml:space="preserve"> </w:t>
      </w:r>
      <w:r w:rsidRPr="00BE7632">
        <w:rPr>
          <w:szCs w:val="24"/>
        </w:rPr>
        <w:t xml:space="preserve">See </w:t>
      </w:r>
      <w:hyperlink r:id="rId10" w:anchor="245.103-73" w:history="1">
        <w:r w:rsidRPr="00E31D48">
          <w:rPr>
            <w:rStyle w:val="Hyperlink"/>
            <w:szCs w:val="24"/>
          </w:rPr>
          <w:t>PGI 245.103-73</w:t>
        </w:r>
      </w:hyperlink>
      <w:r w:rsidRPr="00E31D48">
        <w:rPr>
          <w:szCs w:val="24"/>
        </w:rPr>
        <w:t xml:space="preserve"> </w:t>
      </w:r>
      <w:r w:rsidRPr="00BE7632">
        <w:rPr>
          <w:szCs w:val="24"/>
        </w:rPr>
        <w:t>for information on reporting requirements for Government inventory held by contractors under sustainment contracts in accordance with DoD Manual 4140.01, Volume 6, DoD Supply Chain Materiel Management Procedures: Materiel Returns, Retention, and Disposition</w:t>
      </w:r>
      <w:r>
        <w:rPr>
          <w:szCs w:val="24"/>
        </w:rPr>
        <w:t>.</w:t>
      </w:r>
    </w:p>
    <w:p w14:paraId="2288C015" w14:textId="77777777" w:rsidR="00DB6C26" w:rsidRDefault="00DB6C26" w:rsidP="00723A75">
      <w:pPr>
        <w:pStyle w:val="List3"/>
      </w:pPr>
      <w:r>
        <w:rPr>
          <w:szCs w:val="24"/>
        </w:rPr>
        <w:br/>
      </w:r>
      <w:r w:rsidRPr="009037B9">
        <w:rPr>
          <w:szCs w:val="24"/>
        </w:rPr>
        <w:t>(ii)</w:t>
      </w:r>
      <w:r>
        <w:rPr>
          <w:szCs w:val="24"/>
        </w:rPr>
        <w:t>(</w:t>
      </w:r>
      <w:r w:rsidRPr="0088474C">
        <w:rPr>
          <w:i/>
          <w:iCs/>
          <w:szCs w:val="24"/>
        </w:rPr>
        <w:t>1</w:t>
      </w:r>
      <w:r>
        <w:rPr>
          <w:szCs w:val="24"/>
        </w:rPr>
        <w:t>)</w:t>
      </w:r>
      <w:r w:rsidRPr="009037B9">
        <w:rPr>
          <w:szCs w:val="24"/>
        </w:rPr>
        <w:t xml:space="preserve">  Discuss the mission profile, reliability, and maintainability (R&amp;M) program plan, R&amp;M predictions, redundancy, qualified parts lists, parts and material qualification, </w:t>
      </w:r>
    </w:p>
    <w:p w14:paraId="733DB75F" w14:textId="77777777" w:rsidR="00DB6C26" w:rsidRDefault="00DB6C26" w:rsidP="00723A75">
      <w:r w:rsidRPr="009037B9">
        <w:rPr>
          <w:szCs w:val="24"/>
        </w:rPr>
        <w:t>R&amp;M requirements imposed on vendors, failure analysis, corrective action and feedback, and R&amp;M design reviews and trade-off studies.  Also discuss corrosion prevention and mitigation plans.</w:t>
      </w:r>
    </w:p>
    <w:p w14:paraId="21B0BE3C" w14:textId="77777777" w:rsidR="00DB6C26" w:rsidRDefault="00DB6C26" w:rsidP="00723A75">
      <w:pPr>
        <w:pStyle w:val="List6"/>
      </w:pPr>
      <w:r>
        <w:br/>
      </w:r>
      <w:r w:rsidRPr="0088474C">
        <w:rPr>
          <w:bCs/>
        </w:rPr>
        <w:t>(</w:t>
      </w:r>
      <w:r w:rsidRPr="0088474C">
        <w:rPr>
          <w:bCs/>
          <w:i/>
        </w:rPr>
        <w:t xml:space="preserve">2)  </w:t>
      </w:r>
      <w:r w:rsidRPr="0088474C">
        <w:rPr>
          <w:bCs/>
        </w:rPr>
        <w:t>See the Under Secretary of Defense Acquisition and Sustainment Policy Memo, dated January 31, 2019, entitled “</w:t>
      </w:r>
      <w:hyperlink r:id="rId11" w:history="1">
        <w:r w:rsidRPr="0088474C">
          <w:rPr>
            <w:rStyle w:val="Hyperlink"/>
            <w:bCs/>
          </w:rPr>
          <w:t>Implementation of 10 U.S.C. 2443—Sustainment Factors in Weapon System Design</w:t>
        </w:r>
      </w:hyperlink>
      <w:r w:rsidRPr="0088474C">
        <w:rPr>
          <w:bCs/>
        </w:rPr>
        <w:t>” and DoD Instruction 5000.02, Operation of the Defense Acquisition System, policies and procedures.</w:t>
      </w:r>
    </w:p>
    <w:p w14:paraId="147ECE0E" w14:textId="77777777" w:rsidR="00DB6C26" w:rsidRDefault="00DB6C26" w:rsidP="00723A75">
      <w:pPr>
        <w:pStyle w:val="List3"/>
      </w:pPr>
      <w:r>
        <w:rPr>
          <w:bCs/>
          <w:szCs w:val="24"/>
        </w:rPr>
        <w:br/>
      </w:r>
      <w:r w:rsidRPr="003605D8">
        <w:rPr>
          <w:szCs w:val="24"/>
        </w:rPr>
        <w:t xml:space="preserve">(iii)  For all acquisitions, see Subpart </w:t>
      </w:r>
      <w:hyperlink r:id="rId12" w:history="1">
        <w:r w:rsidRPr="000A4ECB">
          <w:rPr>
            <w:rStyle w:val="Hyperlink"/>
            <w:szCs w:val="24"/>
          </w:rPr>
          <w:t>227.71</w:t>
        </w:r>
      </w:hyperlink>
      <w:r w:rsidRPr="003605D8">
        <w:rPr>
          <w:szCs w:val="24"/>
        </w:rPr>
        <w:t xml:space="preserve"> regarding technical data and associated license rights, and Subpart </w:t>
      </w:r>
      <w:hyperlink r:id="rId13" w:history="1">
        <w:r w:rsidRPr="000A4ECB">
          <w:rPr>
            <w:rStyle w:val="Hyperlink"/>
            <w:szCs w:val="24"/>
          </w:rPr>
          <w:t>227.72</w:t>
        </w:r>
      </w:hyperlink>
      <w:r w:rsidRPr="003605D8">
        <w:rPr>
          <w:szCs w:val="24"/>
        </w:rPr>
        <w:t xml:space="preserve"> regarding computer software and associated license rights.  For acquisitions involving major weapon systems and subsystems of major weapon systems, see the additional requirements at DFARS </w:t>
      </w:r>
      <w:hyperlink r:id="rId14" w:anchor="207.106" w:history="1">
        <w:r w:rsidRPr="000A4ECB">
          <w:rPr>
            <w:rStyle w:val="Hyperlink"/>
            <w:szCs w:val="24"/>
          </w:rPr>
          <w:t>207.106</w:t>
        </w:r>
      </w:hyperlink>
      <w:r w:rsidRPr="003605D8">
        <w:rPr>
          <w:szCs w:val="24"/>
        </w:rPr>
        <w:t>(S-70).</w:t>
      </w:r>
    </w:p>
    <w:p w14:paraId="5FB3A2C9" w14:textId="77777777" w:rsidR="00DB6C26" w:rsidRDefault="00DB6C26" w:rsidP="00723A75">
      <w:pPr>
        <w:pStyle w:val="List3"/>
      </w:pPr>
      <w:r>
        <w:rPr>
          <w:szCs w:val="24"/>
        </w:rPr>
        <w:br/>
      </w:r>
      <w:r w:rsidRPr="009037B9">
        <w:rPr>
          <w:szCs w:val="24"/>
        </w:rPr>
        <w:t>(iv)  See DoD 4120.24-M, Defense Standardization Program (DSP) Policies and Procedures.</w:t>
      </w:r>
    </w:p>
    <w:p w14:paraId="0978DF9A" w14:textId="77777777" w:rsidR="00DB6C26" w:rsidRDefault="00DB6C26" w:rsidP="00723A75">
      <w:r>
        <w:rPr>
          <w:szCs w:val="24"/>
        </w:rPr>
        <w:br/>
      </w:r>
      <w:r w:rsidRPr="009037B9">
        <w:rPr>
          <w:szCs w:val="24"/>
        </w:rPr>
        <w:tab/>
      </w:r>
      <w:r w:rsidRPr="009037B9">
        <w:rPr>
          <w:szCs w:val="24"/>
        </w:rPr>
        <w:tab/>
      </w:r>
      <w:r w:rsidRPr="009037B9">
        <w:rPr>
          <w:szCs w:val="24"/>
        </w:rPr>
        <w:tab/>
        <w:t>(S-70)  Describe the extent of Computer-Aided Acquisition and Logistics Support (CALS) implementation (see MIL-STD-1840C, Automated Interchange of Technical Information</w:t>
      </w:r>
      <w:r>
        <w:rPr>
          <w:szCs w:val="24"/>
        </w:rPr>
        <w:t>)</w:t>
      </w:r>
      <w:r w:rsidRPr="009037B9">
        <w:rPr>
          <w:szCs w:val="24"/>
        </w:rPr>
        <w:t>.</w:t>
      </w:r>
    </w:p>
    <w:p w14:paraId="7D26BD9B" w14:textId="77777777" w:rsidR="00DB6C26" w:rsidRDefault="00DB6C26" w:rsidP="00723A75">
      <w:r>
        <w:br/>
      </w:r>
      <w:r w:rsidRPr="009037B9">
        <w:tab/>
      </w:r>
      <w:r w:rsidRPr="009037B9">
        <w:tab/>
        <w:t>(1</w:t>
      </w:r>
      <w:r>
        <w:t>7</w:t>
      </w:r>
      <w:r w:rsidRPr="009037B9">
        <w:t xml:space="preserve">)  </w:t>
      </w:r>
      <w:r w:rsidRPr="009037B9">
        <w:rPr>
          <w:i/>
        </w:rPr>
        <w:t>Environmental and energy conservation objectives</w:t>
      </w:r>
      <w:r w:rsidRPr="009037B9">
        <w:t xml:space="preserve">.  </w:t>
      </w:r>
    </w:p>
    <w:p w14:paraId="5244D905" w14:textId="77777777" w:rsidR="00DB6C26" w:rsidRDefault="00DB6C26" w:rsidP="00723A75">
      <w:pPr>
        <w:pStyle w:val="List3"/>
      </w:pPr>
      <w:r>
        <w:rPr>
          <w:szCs w:val="24"/>
        </w:rPr>
        <w:lastRenderedPageBreak/>
        <w:br/>
        <w:t xml:space="preserve">(i)  </w:t>
      </w:r>
      <w:r w:rsidRPr="009037B9">
        <w:rPr>
          <w:szCs w:val="24"/>
        </w:rPr>
        <w:t xml:space="preserve">Discuss actions taken to ensure either elimination of or authorization to use class I ozone-depleting chemicals and substances (see DFARS Subpart </w:t>
      </w:r>
      <w:hyperlink r:id="rId15" w:history="1">
        <w:r w:rsidRPr="000A4ECB">
          <w:rPr>
            <w:rStyle w:val="Hyperlink"/>
            <w:szCs w:val="24"/>
          </w:rPr>
          <w:t>223.8</w:t>
        </w:r>
      </w:hyperlink>
      <w:r w:rsidRPr="009037B9">
        <w:rPr>
          <w:szCs w:val="24"/>
        </w:rPr>
        <w:t xml:space="preserve">).  </w:t>
      </w:r>
    </w:p>
    <w:p w14:paraId="36467C71" w14:textId="77777777" w:rsidR="00DB6C26" w:rsidRDefault="00DB6C26" w:rsidP="00723A75">
      <w:pPr>
        <w:pStyle w:val="List3"/>
      </w:pPr>
      <w:r>
        <w:rPr>
          <w:szCs w:val="24"/>
        </w:rPr>
        <w:br/>
        <w:t xml:space="preserve">(ii)  </w:t>
      </w:r>
      <w:r w:rsidRPr="009037B9">
        <w:rPr>
          <w:szCs w:val="24"/>
        </w:rPr>
        <w:t>Ensure compliance with DoDI 4715.</w:t>
      </w:r>
      <w:r>
        <w:rPr>
          <w:szCs w:val="24"/>
        </w:rPr>
        <w:t>23</w:t>
      </w:r>
      <w:r w:rsidRPr="009037B9">
        <w:rPr>
          <w:szCs w:val="24"/>
        </w:rPr>
        <w:t xml:space="preserve">, </w:t>
      </w:r>
      <w:r>
        <w:rPr>
          <w:szCs w:val="24"/>
        </w:rPr>
        <w:t>Integrated Recycling and Solid Waste Management</w:t>
      </w:r>
      <w:r w:rsidRPr="009037B9">
        <w:rPr>
          <w:szCs w:val="24"/>
        </w:rPr>
        <w:t>.</w:t>
      </w:r>
    </w:p>
    <w:p w14:paraId="4920DCE8" w14:textId="77777777" w:rsidR="00DB6C26" w:rsidRDefault="00DB6C26" w:rsidP="00723A75">
      <w:r>
        <w:rPr>
          <w:szCs w:val="24"/>
        </w:rPr>
        <w:br/>
      </w:r>
      <w:r w:rsidRPr="009037B9">
        <w:rPr>
          <w:szCs w:val="24"/>
        </w:rPr>
        <w:tab/>
      </w:r>
      <w:r w:rsidRPr="009037B9">
        <w:rPr>
          <w:szCs w:val="24"/>
        </w:rPr>
        <w:tab/>
        <w:t>(</w:t>
      </w:r>
      <w:r>
        <w:rPr>
          <w:szCs w:val="24"/>
        </w:rPr>
        <w:t>20</w:t>
      </w:r>
      <w:r w:rsidRPr="009037B9">
        <w:rPr>
          <w:szCs w:val="24"/>
        </w:rPr>
        <w:t xml:space="preserve">)  </w:t>
      </w:r>
      <w:r w:rsidRPr="009037B9">
        <w:rPr>
          <w:i/>
          <w:szCs w:val="24"/>
        </w:rPr>
        <w:t>Other considerations</w:t>
      </w:r>
      <w:r w:rsidRPr="009037B9">
        <w:rPr>
          <w:szCs w:val="24"/>
        </w:rPr>
        <w:t>.</w:t>
      </w:r>
    </w:p>
    <w:p w14:paraId="0CC792AA" w14:textId="77777777" w:rsidR="00DB6C26" w:rsidRDefault="00DB6C26" w:rsidP="00723A75">
      <w:pPr>
        <w:pStyle w:val="List4"/>
      </w:pPr>
      <w:r>
        <w:rPr>
          <w:szCs w:val="24"/>
        </w:rPr>
        <w:br/>
      </w:r>
      <w:r w:rsidRPr="009037B9">
        <w:rPr>
          <w:szCs w:val="24"/>
        </w:rPr>
        <w:t xml:space="preserve">(A)  </w:t>
      </w:r>
      <w:r w:rsidRPr="00316B81">
        <w:rPr>
          <w:i/>
          <w:szCs w:val="24"/>
        </w:rPr>
        <w:t>National Technology and Industrial Base</w:t>
      </w:r>
      <w:r w:rsidRPr="009037B9">
        <w:rPr>
          <w:szCs w:val="24"/>
        </w:rPr>
        <w:t>.  For major defense acquisition programs, address the following (</w:t>
      </w:r>
      <w:r>
        <w:rPr>
          <w:szCs w:val="24"/>
        </w:rPr>
        <w:t>10 U.S.C. 2506</w:t>
      </w:r>
      <w:r w:rsidRPr="009037B9">
        <w:rPr>
          <w:szCs w:val="24"/>
        </w:rPr>
        <w:t>)—</w:t>
      </w:r>
    </w:p>
    <w:p w14:paraId="5F524A30" w14:textId="77777777" w:rsidR="00DB6C26" w:rsidRDefault="00DB6C26" w:rsidP="00723A75">
      <w:pPr>
        <w:pStyle w:val="List6"/>
      </w:pPr>
      <w:r>
        <w:br/>
      </w:r>
      <w:r w:rsidRPr="009037B9">
        <w:rPr>
          <w:i/>
        </w:rPr>
        <w:t>(1)</w:t>
      </w:r>
      <w:r w:rsidRPr="009037B9">
        <w:t xml:space="preserve">  An analysis of the capabilities of the national technology and industrial base to develop, produce, maintain, and support such program, including consideration of the following factors related to foreign dependency (</w:t>
      </w:r>
      <w:r>
        <w:t>10 U.S.C. 2505</w:t>
      </w:r>
      <w:r w:rsidRPr="009037B9">
        <w:t>)—</w:t>
      </w:r>
    </w:p>
    <w:p w14:paraId="72F509BF" w14:textId="77777777" w:rsidR="00DB6C26" w:rsidRDefault="00DB6C26" w:rsidP="00723A75">
      <w:pPr>
        <w:pStyle w:val="List5"/>
      </w:pPr>
      <w:r>
        <w:rPr>
          <w:szCs w:val="24"/>
        </w:rPr>
        <w:br/>
      </w:r>
      <w:r w:rsidRPr="009037B9">
        <w:rPr>
          <w:i/>
          <w:szCs w:val="24"/>
        </w:rPr>
        <w:t>(i)</w:t>
      </w:r>
      <w:r w:rsidRPr="009037B9">
        <w:rPr>
          <w:szCs w:val="24"/>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3D83DD52" w14:textId="77777777" w:rsidR="00DB6C26" w:rsidRDefault="00DB6C26" w:rsidP="00723A75">
      <w:pPr>
        <w:pStyle w:val="List5"/>
      </w:pPr>
      <w:r>
        <w:rPr>
          <w:szCs w:val="24"/>
        </w:rPr>
        <w:br/>
      </w:r>
      <w:r w:rsidRPr="009037B9">
        <w:rPr>
          <w:i/>
          <w:szCs w:val="24"/>
        </w:rPr>
        <w:t>(ii)</w:t>
      </w:r>
      <w:r w:rsidRPr="009037B9">
        <w:rPr>
          <w:szCs w:val="24"/>
        </w:rPr>
        <w:t xml:space="preserve">  The identification of items specified in paragraph (b)(19)(A)</w:t>
      </w:r>
      <w:r w:rsidRPr="009037B9">
        <w:rPr>
          <w:i/>
          <w:szCs w:val="24"/>
        </w:rPr>
        <w:t>(1)(i)</w:t>
      </w:r>
      <w:r w:rsidRPr="009037B9">
        <w:rPr>
          <w:szCs w:val="24"/>
        </w:rPr>
        <w:t xml:space="preserve"> of this section that are available only from sources outside the national technology and industrial base.</w:t>
      </w:r>
    </w:p>
    <w:p w14:paraId="06CE733A" w14:textId="77777777" w:rsidR="00DB6C26" w:rsidRDefault="00DB6C26" w:rsidP="00723A75">
      <w:pPr>
        <w:pStyle w:val="List7"/>
      </w:pPr>
      <w:r>
        <w:br/>
      </w:r>
      <w:r w:rsidRPr="009037B9">
        <w:rPr>
          <w:i/>
        </w:rPr>
        <w:t>(iii)</w:t>
      </w:r>
      <w:r w:rsidRPr="009037B9">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392722C8" w14:textId="77777777" w:rsidR="00DB6C26" w:rsidRDefault="00DB6C26" w:rsidP="00723A75">
      <w:pPr>
        <w:pStyle w:val="List5"/>
      </w:pPr>
      <w:r>
        <w:rPr>
          <w:szCs w:val="24"/>
        </w:rPr>
        <w:lastRenderedPageBreak/>
        <w:br/>
      </w:r>
      <w:r w:rsidRPr="009037B9">
        <w:rPr>
          <w:i/>
          <w:szCs w:val="24"/>
        </w:rPr>
        <w:t>(iv)</w:t>
      </w:r>
      <w:r w:rsidRPr="009037B9">
        <w:rPr>
          <w:szCs w:val="24"/>
        </w:rPr>
        <w:t xml:space="preserve">  The effects on the national technology and industrial base that result from foreign acquisition of firms in the United States.</w:t>
      </w:r>
    </w:p>
    <w:p w14:paraId="2D6E1AAA" w14:textId="77777777" w:rsidR="00DB6C26" w:rsidRDefault="00DB6C26" w:rsidP="00723A75">
      <w:pPr>
        <w:pStyle w:val="List6"/>
      </w:pPr>
      <w:r>
        <w:br/>
      </w:r>
      <w:r w:rsidRPr="009037B9">
        <w:rPr>
          <w:i/>
        </w:rPr>
        <w:t>(2)</w:t>
      </w:r>
      <w:r w:rsidRPr="009037B9">
        <w:t xml:space="preserve">  Consideration of requirements for efficient manufacture during the design and production of the systems to be procured under the program.</w:t>
      </w:r>
    </w:p>
    <w:p w14:paraId="7401B496" w14:textId="77777777" w:rsidR="00DB6C26" w:rsidRDefault="00DB6C26" w:rsidP="00723A75">
      <w:pPr>
        <w:pStyle w:val="List6"/>
      </w:pPr>
      <w:r>
        <w:br/>
      </w:r>
      <w:r w:rsidRPr="009037B9">
        <w:rPr>
          <w:i/>
        </w:rPr>
        <w:t>(3)</w:t>
      </w:r>
      <w:r w:rsidRPr="009037B9">
        <w:t xml:space="preserve">  The use of advanced manufacturing technology, processes, and systems during the research and development phase and the production phase of the program.</w:t>
      </w:r>
    </w:p>
    <w:p w14:paraId="0079CD9D" w14:textId="77777777" w:rsidR="00DB6C26" w:rsidRDefault="00DB6C26" w:rsidP="00723A75">
      <w:pPr>
        <w:pStyle w:val="List6"/>
      </w:pPr>
      <w:r>
        <w:br/>
      </w:r>
      <w:r w:rsidRPr="009037B9">
        <w:rPr>
          <w:i/>
        </w:rPr>
        <w:t>(4)</w:t>
      </w:r>
      <w:r w:rsidRPr="009037B9">
        <w:t xml:space="preserve">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5BD1C1E5" w14:textId="77777777" w:rsidR="00DB6C26" w:rsidRDefault="00DB6C26" w:rsidP="00723A75">
      <w:pPr>
        <w:pStyle w:val="List6"/>
      </w:pPr>
      <w:r>
        <w:br/>
      </w:r>
      <w:r w:rsidRPr="009037B9">
        <w:rPr>
          <w:i/>
        </w:rPr>
        <w:t>(5)</w:t>
      </w:r>
      <w:r w:rsidRPr="009037B9">
        <w:t xml:space="preserve">  Methods to encourage investment by U.S. domestic sources in advanced manufacturing technology production equipment and processes through—</w:t>
      </w:r>
    </w:p>
    <w:p w14:paraId="1908616F" w14:textId="77777777" w:rsidR="00DB6C26" w:rsidRDefault="00DB6C26" w:rsidP="00723A75">
      <w:pPr>
        <w:pStyle w:val="List5"/>
      </w:pPr>
      <w:r>
        <w:rPr>
          <w:szCs w:val="24"/>
        </w:rPr>
        <w:br/>
      </w:r>
      <w:r w:rsidRPr="009037B9">
        <w:rPr>
          <w:i/>
          <w:szCs w:val="24"/>
        </w:rPr>
        <w:t>(i)</w:t>
      </w:r>
      <w:r w:rsidRPr="009037B9">
        <w:rPr>
          <w:szCs w:val="24"/>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8EAC33" w14:textId="77777777" w:rsidR="00DB6C26" w:rsidRDefault="00DB6C26" w:rsidP="00723A75">
      <w:pPr>
        <w:pStyle w:val="List5"/>
      </w:pPr>
      <w:r>
        <w:rPr>
          <w:szCs w:val="24"/>
        </w:rPr>
        <w:br/>
      </w:r>
      <w:r w:rsidRPr="009037B9">
        <w:rPr>
          <w:i/>
          <w:szCs w:val="24"/>
        </w:rPr>
        <w:t>(ii)</w:t>
      </w:r>
      <w:r w:rsidRPr="009037B9">
        <w:rPr>
          <w:szCs w:val="24"/>
        </w:rPr>
        <w:t xml:space="preserve">  Increased emphasis in source selection on the efficiency of production.</w:t>
      </w:r>
    </w:p>
    <w:p w14:paraId="0971084F" w14:textId="77777777" w:rsidR="00DB6C26" w:rsidRDefault="00DB6C26" w:rsidP="00723A75">
      <w:pPr>
        <w:pStyle w:val="List6"/>
      </w:pPr>
      <w:r>
        <w:br/>
      </w:r>
      <w:r w:rsidRPr="009037B9">
        <w:rPr>
          <w:i/>
        </w:rPr>
        <w:t>(6)</w:t>
      </w:r>
      <w:r w:rsidRPr="009037B9">
        <w:t xml:space="preserve">  Expanded use of commercial manufacturing processes rather than processes specified by DoD.</w:t>
      </w:r>
    </w:p>
    <w:p w14:paraId="505861D7" w14:textId="77777777" w:rsidR="00DB6C26" w:rsidRDefault="00DB6C26" w:rsidP="00723A75">
      <w:pPr>
        <w:pStyle w:val="List6"/>
      </w:pPr>
      <w:r>
        <w:br/>
      </w:r>
      <w:r w:rsidRPr="009037B9">
        <w:rPr>
          <w:i/>
        </w:rPr>
        <w:t>(7)</w:t>
      </w:r>
      <w:r w:rsidRPr="009037B9">
        <w:t xml:space="preserve">  Elimination of barriers to, and facilitation of, the integrated manufacture of commercial items and items being produced under DoD contracts.</w:t>
      </w:r>
    </w:p>
    <w:p w14:paraId="69AE5636" w14:textId="77777777" w:rsidR="00DB6C26" w:rsidRDefault="00DB6C26" w:rsidP="00723A75">
      <w:pPr>
        <w:pStyle w:val="List6"/>
      </w:pPr>
      <w:r>
        <w:lastRenderedPageBreak/>
        <w:br/>
      </w:r>
      <w:r w:rsidRPr="009037B9">
        <w:rPr>
          <w:i/>
        </w:rPr>
        <w:t>(8)</w:t>
      </w:r>
      <w:r w:rsidRPr="009037B9">
        <w:t xml:space="preserve">  Expanded use of commercial items, commercial items with modifications, or to the extent commercial items are not available, nondevelopmental items (see FAR Part 10).</w:t>
      </w:r>
    </w:p>
    <w:p w14:paraId="602E3F0A" w14:textId="77777777" w:rsidR="00DB6C26" w:rsidRDefault="00DB6C26" w:rsidP="00723A75">
      <w:pPr>
        <w:pStyle w:val="List6"/>
      </w:pPr>
      <w:r>
        <w:br/>
      </w:r>
      <w:r w:rsidRPr="009037B9">
        <w:rPr>
          <w:i/>
        </w:rPr>
        <w:t>(</w:t>
      </w:r>
      <w:r>
        <w:rPr>
          <w:i/>
        </w:rPr>
        <w:t>9</w:t>
      </w:r>
      <w:r w:rsidRPr="009037B9">
        <w:rPr>
          <w:i/>
        </w:rPr>
        <w:t>)</w:t>
      </w:r>
      <w:r w:rsidRPr="009037B9">
        <w:t xml:space="preserve">  </w:t>
      </w:r>
      <w:r>
        <w:t xml:space="preserve">Acquisition </w:t>
      </w:r>
      <w:r w:rsidRPr="009037B9">
        <w:t xml:space="preserve">of </w:t>
      </w:r>
      <w:r>
        <w:t xml:space="preserve">major weapon systems as </w:t>
      </w:r>
      <w:r w:rsidRPr="009037B9">
        <w:t>commercial items</w:t>
      </w:r>
      <w:r>
        <w:t xml:space="preserve"> (see DFARS Subpart </w:t>
      </w:r>
      <w:hyperlink r:id="rId16" w:history="1">
        <w:r w:rsidRPr="001975F0">
          <w:rPr>
            <w:rStyle w:val="Hyperlink"/>
          </w:rPr>
          <w:t>234.70</w:t>
        </w:r>
      </w:hyperlink>
      <w:r>
        <w:t>).</w:t>
      </w:r>
    </w:p>
    <w:p w14:paraId="69355246" w14:textId="77777777" w:rsidR="00DB6C26" w:rsidRDefault="00DB6C26" w:rsidP="00723A75">
      <w:pPr>
        <w:pStyle w:val="List4"/>
      </w:pPr>
      <w:r>
        <w:rPr>
          <w:szCs w:val="24"/>
        </w:rPr>
        <w:br/>
      </w:r>
      <w:r w:rsidRPr="009037B9">
        <w:rPr>
          <w:szCs w:val="24"/>
        </w:rPr>
        <w:t xml:space="preserve">(B)  </w:t>
      </w:r>
      <w:r w:rsidRPr="00316B81">
        <w:rPr>
          <w:i/>
          <w:szCs w:val="24"/>
        </w:rPr>
        <w:t>Industrial Capability (IC)</w:t>
      </w:r>
      <w:r w:rsidRPr="009037B9">
        <w:rPr>
          <w:szCs w:val="24"/>
        </w:rPr>
        <w:t>.</w:t>
      </w:r>
    </w:p>
    <w:p w14:paraId="3DA239FF" w14:textId="77777777" w:rsidR="00DB6C26" w:rsidRDefault="00DB6C26" w:rsidP="00723A75">
      <w:pPr>
        <w:pStyle w:val="List6"/>
      </w:pPr>
      <w:r>
        <w:br/>
      </w:r>
      <w:r w:rsidRPr="009037B9">
        <w:rPr>
          <w:i/>
        </w:rPr>
        <w:t>(1)</w:t>
      </w:r>
      <w:r w:rsidRPr="009037B9">
        <w:t xml:space="preserve">  Provide the program’s IC strategy that assesses the capability of the U.S. industrial base to achieve identified surge and mobilization goals.  If no IC strategy has been developed, provide supporting rationale for this position.</w:t>
      </w:r>
    </w:p>
    <w:p w14:paraId="1397BB10" w14:textId="77777777" w:rsidR="00DB6C26" w:rsidRDefault="00DB6C26" w:rsidP="00723A75">
      <w:pPr>
        <w:pStyle w:val="List6"/>
      </w:pPr>
      <w:r>
        <w:br/>
      </w:r>
      <w:r w:rsidRPr="009037B9">
        <w:rPr>
          <w:i/>
        </w:rPr>
        <w:t>(2)</w:t>
      </w:r>
      <w:r w:rsidRPr="009037B9">
        <w:t xml:space="preserve">  If</w:t>
      </w:r>
      <w:r>
        <w:t>,</w:t>
      </w:r>
      <w:r w:rsidRPr="009037B9">
        <w:t xml:space="preserve">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3EF01CF8" w14:textId="77777777" w:rsidR="00DB6C26" w:rsidRDefault="00DB6C26" w:rsidP="00723A75">
      <w:pPr>
        <w:pStyle w:val="List6"/>
      </w:pPr>
      <w:r>
        <w:br/>
      </w:r>
      <w:r w:rsidRPr="009037B9">
        <w:rPr>
          <w:i/>
        </w:rPr>
        <w:t>(3)</w:t>
      </w:r>
      <w:r w:rsidRPr="009037B9">
        <w:t xml:space="preserve">  If the program involves peacetime and wartime hardware configurations that are supported by logistics support plans, identify their impact on the IC plan.</w:t>
      </w:r>
    </w:p>
    <w:p w14:paraId="1C942CDD" w14:textId="77777777" w:rsidR="00DB6C26" w:rsidRDefault="00DB6C26" w:rsidP="00723A75">
      <w:pPr>
        <w:pStyle w:val="List4"/>
      </w:pPr>
      <w:r>
        <w:rPr>
          <w:szCs w:val="24"/>
        </w:rPr>
        <w:br/>
      </w:r>
      <w:r w:rsidRPr="009037B9">
        <w:rPr>
          <w:szCs w:val="24"/>
        </w:rPr>
        <w:t>(</w:t>
      </w:r>
      <w:r>
        <w:rPr>
          <w:szCs w:val="24"/>
        </w:rPr>
        <w:t>C</w:t>
      </w:r>
      <w:r w:rsidRPr="009037B9">
        <w:rPr>
          <w:szCs w:val="24"/>
        </w:rPr>
        <w:t xml:space="preserve">)  </w:t>
      </w:r>
      <w:r w:rsidRPr="00316B81">
        <w:rPr>
          <w:i/>
          <w:szCs w:val="24"/>
        </w:rPr>
        <w:t>Special considerations for acquisition planning for crisis situations.</w:t>
      </w:r>
      <w:r w:rsidRPr="009037B9">
        <w:rPr>
          <w:szCs w:val="24"/>
        </w:rPr>
        <w:t xml:space="preserve">  Ensure that the requirements of DoD Instruction </w:t>
      </w:r>
      <w:r>
        <w:rPr>
          <w:szCs w:val="24"/>
        </w:rPr>
        <w:t>1100.22</w:t>
      </w:r>
      <w:r w:rsidRPr="009037B9">
        <w:rPr>
          <w:szCs w:val="24"/>
        </w:rPr>
        <w:t xml:space="preserve">, </w:t>
      </w:r>
      <w:r>
        <w:rPr>
          <w:szCs w:val="24"/>
        </w:rPr>
        <w:t>Policy and Procedures for Determining Workforce Mix</w:t>
      </w:r>
      <w:r w:rsidRPr="009037B9">
        <w:rPr>
          <w:szCs w:val="24"/>
        </w:rPr>
        <w:t>, are addressed.  Also—</w:t>
      </w:r>
    </w:p>
    <w:p w14:paraId="7B89DACC" w14:textId="77777777" w:rsidR="00DB6C26" w:rsidRDefault="00DB6C26" w:rsidP="00723A75">
      <w:pPr>
        <w:pStyle w:val="List6"/>
      </w:pPr>
      <w:r>
        <w:br/>
      </w:r>
      <w:r w:rsidRPr="00192556">
        <w:t>(</w:t>
      </w:r>
      <w:r w:rsidRPr="00192556">
        <w:rPr>
          <w:i/>
        </w:rPr>
        <w:t>1</w:t>
      </w:r>
      <w:r w:rsidRPr="00192556">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w14:paraId="729BAD02" w14:textId="77777777" w:rsidR="00DB6C26" w:rsidRDefault="00DB6C26" w:rsidP="00723A75">
      <w:pPr>
        <w:pStyle w:val="List6"/>
      </w:pPr>
      <w:r>
        <w:lastRenderedPageBreak/>
        <w:br/>
      </w:r>
      <w:r w:rsidRPr="00192556">
        <w:t>(</w:t>
      </w:r>
      <w:r w:rsidRPr="00192556">
        <w:rPr>
          <w:i/>
        </w:rPr>
        <w:t>2</w:t>
      </w:r>
      <w:r w:rsidRPr="00192556">
        <w:t xml:space="preserve">)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  </w:t>
      </w:r>
    </w:p>
    <w:p w14:paraId="59490AF4" w14:textId="77777777" w:rsidR="00DB6C26" w:rsidRDefault="00DB6C26" w:rsidP="00723A75">
      <w:pPr>
        <w:pStyle w:val="List6"/>
      </w:pPr>
      <w:r>
        <w:br/>
      </w:r>
      <w:r w:rsidRPr="00192556">
        <w:t>(</w:t>
      </w:r>
      <w:r w:rsidRPr="00192556">
        <w:rPr>
          <w:i/>
        </w:rPr>
        <w:t>3</w:t>
      </w:r>
      <w:r w:rsidRPr="00192556">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w14:paraId="62361BC3" w14:textId="77777777" w:rsidR="00DB6C26" w:rsidRDefault="00DB6C26" w:rsidP="00723A75">
      <w:pPr>
        <w:pStyle w:val="List6"/>
      </w:pPr>
      <w:r>
        <w:br/>
      </w:r>
      <w:r w:rsidRPr="00192556">
        <w:t>(</w:t>
      </w:r>
      <w:r w:rsidRPr="00192556">
        <w:rPr>
          <w:i/>
        </w:rPr>
        <w:t>4</w:t>
      </w:r>
      <w:r w:rsidRPr="00192556">
        <w:t xml:space="preserve">)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  </w:t>
      </w:r>
    </w:p>
    <w:p w14:paraId="50D401F9" w14:textId="77777777" w:rsidR="00DB6C26" w:rsidRDefault="00DB6C26" w:rsidP="00723A75">
      <w:pPr>
        <w:pStyle w:val="List6"/>
      </w:pPr>
      <w:r>
        <w:br/>
      </w:r>
      <w:r w:rsidRPr="00192556">
        <w:t>(</w:t>
      </w:r>
      <w:r w:rsidRPr="00192556">
        <w:rPr>
          <w:i/>
        </w:rPr>
        <w:t>5</w:t>
      </w:r>
      <w:r w:rsidRPr="00192556">
        <w:t xml:space="preserve">)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  </w:t>
      </w:r>
    </w:p>
    <w:p w14:paraId="705C8A24" w14:textId="77777777" w:rsidR="00DB6C26" w:rsidRDefault="00DB6C26" w:rsidP="00723A75">
      <w:pPr>
        <w:pStyle w:val="List6"/>
      </w:pPr>
      <w:r>
        <w:br/>
      </w:r>
      <w:r w:rsidRPr="00192556">
        <w:t>(</w:t>
      </w:r>
      <w:r w:rsidRPr="00192556">
        <w:rPr>
          <w:i/>
        </w:rPr>
        <w:t>6</w:t>
      </w:r>
      <w:r w:rsidRPr="00192556">
        <w:t xml:space="preserve">)  If the combatant commander’s contingency plan requires military members to replace contractor employees during a crisis or contingency, acquisition planning must consider whether the contract should require the contractor to train military members to do that. </w:t>
      </w:r>
    </w:p>
    <w:p w14:paraId="292C7B5E" w14:textId="77777777" w:rsidR="00DB6C26" w:rsidRDefault="00DB6C26" w:rsidP="00723A75">
      <w:pPr>
        <w:pStyle w:val="List6"/>
      </w:pPr>
      <w:r>
        <w:lastRenderedPageBreak/>
        <w:br/>
      </w:r>
      <w:r w:rsidRPr="00192556">
        <w:t>(</w:t>
      </w:r>
      <w:r w:rsidRPr="00192556">
        <w:rPr>
          <w:i/>
        </w:rPr>
        <w:t>7</w:t>
      </w:r>
      <w:r w:rsidRPr="00192556">
        <w:t xml:space="preserve">)  For acquisitions that have or may have some portion of delivery of items or performance in a foreign country, address considerations and requirements set forth in DFARS </w:t>
      </w:r>
      <w:hyperlink r:id="rId17" w:anchor="225.370" w:history="1">
        <w:r w:rsidRPr="00423851">
          <w:rPr>
            <w:rStyle w:val="Hyperlink"/>
          </w:rPr>
          <w:t>225.370</w:t>
        </w:r>
      </w:hyperlink>
      <w:r w:rsidRPr="00192556">
        <w:t xml:space="preserve">, Contracts requiring performance or delivery in a foreign country; </w:t>
      </w:r>
      <w:hyperlink r:id="rId18" w:anchor="225.371" w:history="1">
        <w:r w:rsidRPr="00423851">
          <w:rPr>
            <w:rStyle w:val="Hyperlink"/>
          </w:rPr>
          <w:t>225.371</w:t>
        </w:r>
      </w:hyperlink>
      <w:r w:rsidRPr="00192556">
        <w:t xml:space="preserve">, Contractor personnel </w:t>
      </w:r>
      <w:r>
        <w:t>supporting</w:t>
      </w:r>
      <w:r w:rsidRPr="00192556">
        <w:t xml:space="preserve"> U.S. Armed Forces deployed outside the United States;</w:t>
      </w:r>
      <w:r>
        <w:t xml:space="preserve"> </w:t>
      </w:r>
      <w:hyperlink r:id="rId19" w:anchor="225.372" w:history="1">
        <w:r w:rsidRPr="00423851">
          <w:rPr>
            <w:rStyle w:val="Hyperlink"/>
          </w:rPr>
          <w:t>225.372</w:t>
        </w:r>
      </w:hyperlink>
      <w:r>
        <w:t>, Antiterrorism/force protection,</w:t>
      </w:r>
      <w:r w:rsidRPr="00192556">
        <w:t xml:space="preserve"> and </w:t>
      </w:r>
      <w:hyperlink r:id="rId20" w:anchor="225.373" w:history="1">
        <w:r w:rsidRPr="00423851">
          <w:rPr>
            <w:rStyle w:val="Hyperlink"/>
          </w:rPr>
          <w:t>225.373</w:t>
        </w:r>
      </w:hyperlink>
      <w:r w:rsidRPr="00192556">
        <w:t>, Contract administration in support of contingency operations.</w:t>
      </w:r>
    </w:p>
    <w:p w14:paraId="2A859B64" w14:textId="77777777" w:rsidR="00DB6C26" w:rsidRDefault="00DB6C26" w:rsidP="00723A75">
      <w:pPr>
        <w:pStyle w:val="List6"/>
      </w:pPr>
      <w:r>
        <w:br/>
      </w:r>
      <w:r w:rsidRPr="00192556">
        <w:t>(</w:t>
      </w:r>
      <w:r w:rsidRPr="00192556">
        <w:rPr>
          <w:i/>
        </w:rPr>
        <w:t>8</w:t>
      </w:r>
      <w:r w:rsidRPr="00192556">
        <w:t>)  Contract administration planning considerations for contracts in support of contingency operations.</w:t>
      </w:r>
    </w:p>
    <w:p w14:paraId="62A727CA" w14:textId="77777777" w:rsidR="00DB6C26" w:rsidRDefault="00DB6C26" w:rsidP="00723A75">
      <w:pPr>
        <w:pStyle w:val="List5"/>
      </w:pPr>
      <w:r>
        <w:rPr>
          <w:szCs w:val="24"/>
        </w:rPr>
        <w:br/>
      </w:r>
      <w:r w:rsidRPr="00192556">
        <w:rPr>
          <w:szCs w:val="24"/>
        </w:rPr>
        <w:t>(</w:t>
      </w:r>
      <w:r w:rsidRPr="00192556">
        <w:rPr>
          <w:i/>
          <w:szCs w:val="24"/>
        </w:rPr>
        <w:t>i</w:t>
      </w:r>
      <w:r w:rsidRPr="00192556">
        <w:rPr>
          <w:szCs w:val="24"/>
        </w:rPr>
        <w:t xml:space="preserve">)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 </w:t>
      </w:r>
    </w:p>
    <w:p w14:paraId="41AE4FC4" w14:textId="77777777" w:rsidR="00DB6C26" w:rsidRDefault="00DB6C26" w:rsidP="00723A75">
      <w:pPr>
        <w:pStyle w:val="List5"/>
      </w:pPr>
      <w:r>
        <w:rPr>
          <w:szCs w:val="24"/>
        </w:rPr>
        <w:br/>
      </w:r>
      <w:r w:rsidRPr="00192556">
        <w:rPr>
          <w:szCs w:val="24"/>
        </w:rPr>
        <w:t>(</w:t>
      </w:r>
      <w:r w:rsidRPr="00192556">
        <w:rPr>
          <w:i/>
          <w:szCs w:val="24"/>
        </w:rPr>
        <w:t>ii</w:t>
      </w:r>
      <w:r w:rsidRPr="00192556">
        <w:rPr>
          <w:szCs w:val="24"/>
        </w:rPr>
        <w:t xml:space="preserve">)  If contract delivery of items or performance in support of contingency operations will or may occur in an austere, uncertain, or hostile environment, address the need for logistics support of contract administration and oversight personnel.  </w:t>
      </w:r>
    </w:p>
    <w:p w14:paraId="5736F4CF" w14:textId="77777777" w:rsidR="00DB6C26" w:rsidRDefault="00DB6C26" w:rsidP="00723A75">
      <w:pPr>
        <w:pStyle w:val="List7"/>
      </w:pPr>
      <w:r>
        <w:br/>
      </w:r>
      <w:r w:rsidRPr="00192556">
        <w:t>(</w:t>
      </w:r>
      <w:r w:rsidRPr="00192556">
        <w:rPr>
          <w:i/>
        </w:rPr>
        <w:t>iii</w:t>
      </w:r>
      <w:r w:rsidRPr="00192556">
        <w:t xml:space="preserve">)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21" w:history="1">
        <w:r w:rsidRPr="00AE54EF">
          <w:rPr>
            <w:rStyle w:val="Hyperlink"/>
          </w:rPr>
          <w:t>http://www.acq.osd.mil/dpap/pacc/cc/areas_of_responsibility.html</w:t>
        </w:r>
      </w:hyperlink>
      <w:r>
        <w:t xml:space="preserve"> .</w:t>
      </w:r>
    </w:p>
    <w:p w14:paraId="725A8489" w14:textId="77777777" w:rsidR="00DB6C26" w:rsidRDefault="00DB6C26" w:rsidP="00723A75">
      <w:pPr>
        <w:pStyle w:val="List5"/>
      </w:pPr>
      <w:r>
        <w:rPr>
          <w:szCs w:val="24"/>
        </w:rPr>
        <w:br/>
        <w:t>(</w:t>
      </w:r>
      <w:r w:rsidRPr="00A54F2C">
        <w:rPr>
          <w:i/>
          <w:szCs w:val="24"/>
        </w:rPr>
        <w:t>iv</w:t>
      </w:r>
      <w:r>
        <w:rPr>
          <w:szCs w:val="24"/>
        </w:rPr>
        <w:t xml:space="preserve">)  </w:t>
      </w:r>
      <w:r w:rsidRPr="00A54F2C">
        <w:rPr>
          <w:szCs w:val="24"/>
        </w:rPr>
        <w:t xml:space="preserve">When contracts are awarded for performance in a contingency area, the head of the contracting activity is responsible for planning to ensure that </w:t>
      </w:r>
      <w:r w:rsidRPr="00A54F2C">
        <w:rPr>
          <w:szCs w:val="24"/>
        </w:rPr>
        <w:lastRenderedPageBreak/>
        <w:t>contingency contracts will be closed in a timely manner considering personnel turnover and preaward, contract administration, and other contracting workload.  A plan for reachback support of contract closeouts should be included, if required.</w:t>
      </w:r>
    </w:p>
    <w:p w14:paraId="159B65B9" w14:textId="77777777" w:rsidR="00DB6C26" w:rsidRDefault="00DB6C26" w:rsidP="00723A75">
      <w:pPr>
        <w:pStyle w:val="List6"/>
      </w:pPr>
      <w:r>
        <w:br/>
      </w:r>
      <w:r w:rsidRPr="000312F1">
        <w:t>(</w:t>
      </w:r>
      <w:r w:rsidRPr="000312F1">
        <w:rPr>
          <w:i/>
        </w:rPr>
        <w:t>9</w:t>
      </w:r>
      <w:r w:rsidRPr="000312F1">
        <w:t xml:space="preserve">)  For contracts that will incorporate the clause at </w:t>
      </w:r>
      <w:r w:rsidRPr="00565A58">
        <w:t>DFARS</w:t>
      </w:r>
      <w:r>
        <w:t xml:space="preserve"> </w:t>
      </w:r>
      <w:hyperlink r:id="rId22" w:anchor="252.225-7040" w:history="1">
        <w:r w:rsidRPr="00764453">
          <w:rPr>
            <w:rStyle w:val="Hyperlink"/>
          </w:rPr>
          <w:t>252.225-7040</w:t>
        </w:r>
      </w:hyperlink>
      <w:r w:rsidRPr="000312F1">
        <w:t xml:space="preserve">, Contractor Personnel </w:t>
      </w:r>
      <w:r w:rsidRPr="00565A58">
        <w:t>Supporting</w:t>
      </w:r>
      <w:r w:rsidRPr="000312F1">
        <w:t xml:space="preserve"> U.S. Armed Forces Deployed Outside the United States,</w:t>
      </w:r>
      <w:r>
        <w:t xml:space="preserve"> </w:t>
      </w:r>
      <w:r w:rsidRPr="000312F1">
        <w:t xml:space="preserve">in accordance with </w:t>
      </w:r>
      <w:r>
        <w:t xml:space="preserve">DFARS </w:t>
      </w:r>
      <w:hyperlink r:id="rId23" w:anchor="225.371-5" w:history="1">
        <w:r w:rsidRPr="00423851">
          <w:rPr>
            <w:rStyle w:val="Hyperlink"/>
          </w:rPr>
          <w:t>225.371-5</w:t>
        </w:r>
      </w:hyperlink>
      <w:r w:rsidRPr="000312F1">
        <w:t>(a), or otherwise require accountability for contractor</w:t>
      </w:r>
      <w:r>
        <w:t xml:space="preserve"> </w:t>
      </w:r>
      <w:r w:rsidRPr="000312F1">
        <w:t>personnel, consider the requirements and resources necessary for both the Government</w:t>
      </w:r>
      <w:r>
        <w:t xml:space="preserve"> </w:t>
      </w:r>
      <w:r w:rsidRPr="000312F1">
        <w:t>and contractor to keep the Synchronized Predeployment and Operational Tracker (SPOT) current in accordance with the SPOT business rules available at the website pro</w:t>
      </w:r>
      <w:r>
        <w:t xml:space="preserve">vided at </w:t>
      </w:r>
      <w:hyperlink r:id="rId24" w:history="1">
        <w:r w:rsidRPr="00D77677">
          <w:rPr>
            <w:rStyle w:val="Hyperlink"/>
          </w:rPr>
          <w:t>http://www.acq.osd.mil/log/PS/ctr_mgt_accountability.html</w:t>
        </w:r>
      </w:hyperlink>
      <w:r w:rsidRPr="00D77677">
        <w:t>.</w:t>
      </w:r>
    </w:p>
    <w:p w14:paraId="059A17B1" w14:textId="77777777" w:rsidR="00DB6C26" w:rsidRDefault="00DB6C26" w:rsidP="00723A75">
      <w:pPr>
        <w:pStyle w:val="List6"/>
      </w:pPr>
      <w:r>
        <w:br/>
        <w:t>(</w:t>
      </w:r>
      <w:r w:rsidRPr="00750F29">
        <w:rPr>
          <w:i/>
        </w:rPr>
        <w:t>10</w:t>
      </w:r>
      <w:r>
        <w:t xml:space="preserve">)  </w:t>
      </w:r>
      <w:r w:rsidRPr="00750F29">
        <w:rPr>
          <w:iCs/>
        </w:rPr>
        <w:t xml:space="preserve">For contracts that will incorporate the clause at FAR 52.222-50, Combating Trafficking in Persons, consider the requirements and resources necessary for both the Government and contractor to implement and maintain compliance with Federal and DoD </w:t>
      </w:r>
      <w:r>
        <w:rPr>
          <w:iCs/>
        </w:rPr>
        <w:t>t</w:t>
      </w:r>
      <w:r w:rsidRPr="00750F29">
        <w:rPr>
          <w:iCs/>
        </w:rPr>
        <w:t xml:space="preserve">rafficking in </w:t>
      </w:r>
      <w:r>
        <w:rPr>
          <w:iCs/>
        </w:rPr>
        <w:t>p</w:t>
      </w:r>
      <w:r w:rsidRPr="00750F29">
        <w:rPr>
          <w:iCs/>
        </w:rPr>
        <w:t xml:space="preserve">ersons requirements, including </w:t>
      </w:r>
      <w:hyperlink r:id="rId25" w:anchor="222.1703" w:history="1">
        <w:r w:rsidRPr="005D3AA3">
          <w:rPr>
            <w:rStyle w:val="Hyperlink"/>
            <w:iCs/>
          </w:rPr>
          <w:t>PGI 222.1703</w:t>
        </w:r>
      </w:hyperlink>
      <w:r w:rsidRPr="00750F29">
        <w:rPr>
          <w:iCs/>
        </w:rPr>
        <w:t>.</w:t>
      </w:r>
    </w:p>
    <w:p w14:paraId="038B9E99" w14:textId="77777777" w:rsidR="00DB6C26" w:rsidRDefault="00DB6C26" w:rsidP="00723A75">
      <w:pPr>
        <w:pStyle w:val="List4"/>
      </w:pPr>
      <w:bookmarkStart w:id="17" w:name="BM207_1"/>
      <w:r>
        <w:rPr>
          <w:szCs w:val="24"/>
        </w:rPr>
        <w:br/>
        <w:t xml:space="preserve">(D)  </w:t>
      </w:r>
      <w:r w:rsidRPr="00316B81">
        <w:rPr>
          <w:i/>
          <w:szCs w:val="24"/>
        </w:rPr>
        <w:t>Software and software maintenance.</w:t>
      </w:r>
      <w:r>
        <w:rPr>
          <w:szCs w:val="24"/>
        </w:rPr>
        <w:t xml:space="preserve">  When acquiring software or software maintenance, see DFARS </w:t>
      </w:r>
      <w:hyperlink r:id="rId26" w:anchor="212.212" w:history="1">
        <w:r w:rsidRPr="00B92D27">
          <w:rPr>
            <w:rStyle w:val="Hyperlink"/>
            <w:szCs w:val="24"/>
          </w:rPr>
          <w:t>212.212</w:t>
        </w:r>
      </w:hyperlink>
      <w:r>
        <w:rPr>
          <w:szCs w:val="24"/>
        </w:rPr>
        <w:t>.</w:t>
      </w:r>
    </w:p>
    <w:p w14:paraId="1E4FF707" w14:textId="77777777" w:rsidR="00DB6C26" w:rsidRDefault="00DB6C26" w:rsidP="00723A75">
      <w:pPr>
        <w:pStyle w:val="List4"/>
      </w:pPr>
      <w:r>
        <w:rPr>
          <w:szCs w:val="24"/>
        </w:rPr>
        <w:br/>
      </w:r>
      <w:r w:rsidRPr="00060576">
        <w:rPr>
          <w:szCs w:val="24"/>
        </w:rPr>
        <w:t>(</w:t>
      </w:r>
      <w:r>
        <w:rPr>
          <w:szCs w:val="24"/>
        </w:rPr>
        <w:t>E</w:t>
      </w:r>
      <w:r w:rsidRPr="00060576">
        <w:rPr>
          <w:szCs w:val="24"/>
        </w:rPr>
        <w:t xml:space="preserve">)  </w:t>
      </w:r>
      <w:r w:rsidRPr="00060576">
        <w:rPr>
          <w:i/>
          <w:szCs w:val="24"/>
        </w:rPr>
        <w:t>Procurement Support for Theater Security Cooperation Efforts</w:t>
      </w:r>
      <w:r w:rsidRPr="00060576">
        <w:rPr>
          <w:szCs w:val="24"/>
        </w:rP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w:t>
      </w:r>
      <w:hyperlink r:id="rId27" w:history="1">
        <w:r w:rsidRPr="005D3AA3">
          <w:rPr>
            <w:rStyle w:val="Hyperlink"/>
            <w:szCs w:val="24"/>
          </w:rPr>
          <w:t>PGI 225.78</w:t>
        </w:r>
      </w:hyperlink>
      <w:r w:rsidRPr="00060576">
        <w:rPr>
          <w:szCs w:val="24"/>
        </w:rPr>
        <w:t xml:space="preserve">).  Planners shall take the following steps:  </w:t>
      </w:r>
    </w:p>
    <w:p w14:paraId="7CC477CB" w14:textId="77777777" w:rsidR="00DB6C26" w:rsidRDefault="00DB6C26" w:rsidP="00723A75">
      <w:pPr>
        <w:pStyle w:val="List6"/>
      </w:pPr>
      <w:r>
        <w:br/>
      </w:r>
      <w:r w:rsidRPr="00060576">
        <w:t>(</w:t>
      </w:r>
      <w:r w:rsidRPr="00060576">
        <w:rPr>
          <w:i/>
        </w:rPr>
        <w:t>1</w:t>
      </w:r>
      <w:r w:rsidRPr="00060576">
        <w:t xml:space="preserve">)  Become familiar </w:t>
      </w:r>
      <w:r w:rsidRPr="00FC3424">
        <w:t xml:space="preserve">with DoS Cable 11 STATE 030953, “Procurement Roles and Responsibilities – General Services Officer and DoD Personnel” </w:t>
      </w:r>
      <w:r w:rsidRPr="00060576">
        <w:t xml:space="preserve">(see also DFARS </w:t>
      </w:r>
      <w:hyperlink r:id="rId28" w:history="1">
        <w:r w:rsidRPr="005D3AA3">
          <w:rPr>
            <w:rStyle w:val="Hyperlink"/>
          </w:rPr>
          <w:t>PGI 225.78</w:t>
        </w:r>
      </w:hyperlink>
      <w:r w:rsidRPr="00060576">
        <w:t>).</w:t>
      </w:r>
    </w:p>
    <w:p w14:paraId="1834A60D" w14:textId="77777777" w:rsidR="00DB6C26" w:rsidRDefault="00DB6C26" w:rsidP="00723A75">
      <w:pPr>
        <w:pStyle w:val="List6"/>
      </w:pPr>
      <w:r>
        <w:lastRenderedPageBreak/>
        <w:br/>
      </w:r>
      <w:r w:rsidRPr="00060576">
        <w:t>(</w:t>
      </w:r>
      <w:r w:rsidRPr="00060576">
        <w:rPr>
          <w:i/>
        </w:rPr>
        <w:t>2</w:t>
      </w:r>
      <w:r w:rsidRPr="00060576">
        <w:t>)  Request general guidance from the combatant-command coordinator on past practices in the particular location for which procurement support is to be requested;</w:t>
      </w:r>
    </w:p>
    <w:p w14:paraId="36D30B94" w14:textId="77777777" w:rsidR="00DB6C26" w:rsidRDefault="00DB6C26" w:rsidP="00723A75">
      <w:pPr>
        <w:pStyle w:val="List6"/>
      </w:pPr>
      <w:r>
        <w:br/>
      </w:r>
      <w:r w:rsidRPr="00060576">
        <w:t>(</w:t>
      </w:r>
      <w:r w:rsidRPr="00060576">
        <w:rPr>
          <w:i/>
        </w:rPr>
        <w:t>3</w:t>
      </w:r>
      <w:r w:rsidRPr="00060576">
        <w:t>)  Contact the Defense Attaché Office and/or General Services Officer (normally the embassy/consulate contracting officer) at the DoS mission at least 60 days prior to the requirement, or as soon as practicable, to obtain information on–</w:t>
      </w:r>
    </w:p>
    <w:p w14:paraId="596FF1D9" w14:textId="77777777" w:rsidR="00DB6C26" w:rsidRDefault="00DB6C26" w:rsidP="00723A75">
      <w:pPr>
        <w:pStyle w:val="List5"/>
      </w:pPr>
      <w:r>
        <w:rPr>
          <w:szCs w:val="24"/>
        </w:rPr>
        <w:br/>
      </w:r>
      <w:r w:rsidRPr="00060576">
        <w:rPr>
          <w:szCs w:val="24"/>
        </w:rPr>
        <w:t>(</w:t>
      </w:r>
      <w:r w:rsidRPr="00060576">
        <w:rPr>
          <w:i/>
          <w:szCs w:val="24"/>
        </w:rPr>
        <w:t>i</w:t>
      </w:r>
      <w:r w:rsidRPr="00060576">
        <w:rPr>
          <w:szCs w:val="24"/>
        </w:rPr>
        <w:t>)  Availability of, and procedures associated with, requesting DoS mission procurement support;</w:t>
      </w:r>
    </w:p>
    <w:p w14:paraId="369DFDCE" w14:textId="77777777" w:rsidR="00DB6C26" w:rsidRDefault="00DB6C26" w:rsidP="00723A75">
      <w:pPr>
        <w:pStyle w:val="List5"/>
      </w:pPr>
      <w:r>
        <w:rPr>
          <w:szCs w:val="24"/>
        </w:rPr>
        <w:br/>
      </w:r>
      <w:r w:rsidRPr="00060576">
        <w:rPr>
          <w:szCs w:val="24"/>
        </w:rPr>
        <w:t>(</w:t>
      </w:r>
      <w:r w:rsidRPr="00060576">
        <w:rPr>
          <w:i/>
          <w:szCs w:val="24"/>
        </w:rPr>
        <w:t>ii</w:t>
      </w:r>
      <w:r w:rsidRPr="00060576">
        <w:rPr>
          <w:szCs w:val="24"/>
        </w:rPr>
        <w:t xml:space="preserve">)  Local sources of supplies and services; and </w:t>
      </w:r>
    </w:p>
    <w:p w14:paraId="661E97DB" w14:textId="77777777" w:rsidR="00DB6C26" w:rsidRDefault="00DB6C26" w:rsidP="00723A75">
      <w:pPr>
        <w:pStyle w:val="List7"/>
      </w:pPr>
      <w:r>
        <w:br/>
      </w:r>
      <w:r w:rsidRPr="00060576">
        <w:t>(</w:t>
      </w:r>
      <w:r w:rsidRPr="00060576">
        <w:rPr>
          <w:i/>
        </w:rPr>
        <w:t>iii</w:t>
      </w:r>
      <w:r w:rsidRPr="00060576">
        <w:t xml:space="preserve">)  Business payment practices to support DoD procurement of specific theater security cooperation procurement requirements. </w:t>
      </w:r>
    </w:p>
    <w:p w14:paraId="3EB4AC76" w14:textId="77777777" w:rsidR="00DB6C26" w:rsidRDefault="00DB6C26" w:rsidP="00723A75">
      <w:pPr>
        <w:pStyle w:val="List6"/>
      </w:pPr>
      <w:r>
        <w:br/>
      </w:r>
      <w:r w:rsidRPr="00060576">
        <w:t>(</w:t>
      </w:r>
      <w:r w:rsidRPr="00060576">
        <w:rPr>
          <w:i/>
        </w:rPr>
        <w:t>4</w:t>
      </w:r>
      <w:r w:rsidRPr="00060576">
        <w:t xml:space="preserve">)  Ascertain whether payment support is available from the DoS mission.  </w:t>
      </w:r>
    </w:p>
    <w:p w14:paraId="34490708" w14:textId="77777777" w:rsidR="00DB6C26" w:rsidRDefault="00DB6C26" w:rsidP="00723A75">
      <w:pPr>
        <w:pStyle w:val="List6"/>
      </w:pPr>
      <w:r>
        <w:br/>
      </w:r>
      <w:r w:rsidRPr="00060576">
        <w:t>(</w:t>
      </w:r>
      <w:r w:rsidRPr="00060576">
        <w:rPr>
          <w:i/>
        </w:rPr>
        <w:t>5</w:t>
      </w:r>
      <w:r w:rsidRPr="00060576">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bookmarkEnd w:id="17"/>
    </w:p>
    <w:p w14:paraId="709F816A" w14:textId="77777777" w:rsidR="00DB6C26" w:rsidRPr="009037B9" w:rsidRDefault="00DB6C26" w:rsidP="00723A75">
      <w:pPr>
        <w:pStyle w:val="Heading3"/>
      </w:pPr>
      <w:r>
        <w:rPr>
          <w:szCs w:val="24"/>
        </w:rPr>
        <w:br/>
      </w:r>
      <w:bookmarkStart w:id="18" w:name="_Toc37415600"/>
      <w:bookmarkStart w:id="19" w:name="_Toc37677286"/>
      <w:bookmarkStart w:id="20" w:name="APD"/>
      <w:bookmarkStart w:id="21" w:name="_Toc37755463"/>
      <w:r w:rsidRPr="009037B9">
        <w:rPr>
          <w:b/>
          <w:szCs w:val="24"/>
        </w:rPr>
        <w:t>PGI 207.171  Component breakout.</w:t>
      </w:r>
      <w:bookmarkEnd w:id="18"/>
      <w:bookmarkEnd w:id="19"/>
      <w:bookmarkEnd w:id="21"/>
      <w:r w:rsidRPr="009037B9">
        <w:rPr>
          <w:b/>
          <w:szCs w:val="24"/>
        </w:rPr>
        <w:t xml:space="preserve"> </w:t>
      </w:r>
    </w:p>
    <w:p w14:paraId="3234B299" w14:textId="77777777" w:rsidR="00DB6C26" w:rsidRPr="009037B9" w:rsidRDefault="00DB6C26" w:rsidP="0088474C">
      <w:pPr>
        <w:tabs>
          <w:tab w:val="left" w:pos="360"/>
          <w:tab w:val="left" w:pos="810"/>
          <w:tab w:val="left" w:pos="1210"/>
          <w:tab w:val="left" w:pos="1656"/>
          <w:tab w:val="left" w:pos="2131"/>
          <w:tab w:val="left" w:pos="2520"/>
        </w:tabs>
        <w:rPr>
          <w:b/>
          <w:spacing w:val="-5"/>
          <w:kern w:val="20"/>
          <w:szCs w:val="24"/>
        </w:rPr>
      </w:pPr>
      <w:r w:rsidRPr="009037B9">
        <w:rPr>
          <w:spacing w:val="-5"/>
          <w:kern w:val="20"/>
          <w:szCs w:val="24"/>
        </w:rPr>
        <w:t> </w:t>
      </w:r>
    </w:p>
    <w:p w14:paraId="2AB4716C" w14:textId="77777777" w:rsidR="00DB6C26" w:rsidRDefault="00DB6C26" w:rsidP="00723A75">
      <w:pPr>
        <w:pStyle w:val="Heading4"/>
      </w:pPr>
      <w:bookmarkStart w:id="22" w:name="_Toc37677287"/>
      <w:bookmarkStart w:id="23" w:name="_Toc37755464"/>
      <w:r w:rsidRPr="009037B9">
        <w:rPr>
          <w:b/>
        </w:rPr>
        <w:t>PGI 207.171-4  Procedures.</w:t>
      </w:r>
      <w:bookmarkEnd w:id="22"/>
      <w:bookmarkEnd w:id="23"/>
      <w:r w:rsidRPr="009037B9">
        <w:rPr>
          <w:b/>
        </w:rPr>
        <w:t xml:space="preserve"> </w:t>
      </w:r>
    </w:p>
    <w:p w14:paraId="67700DE7" w14:textId="77777777" w:rsidR="00DB6C26" w:rsidRPr="009037B9" w:rsidRDefault="00DB6C26" w:rsidP="00723A75">
      <w:pPr>
        <w:pStyle w:val="List2"/>
        <w:rPr>
          <w:b/>
        </w:rPr>
      </w:pPr>
      <w:r>
        <w:rPr>
          <w:b/>
          <w:szCs w:val="24"/>
        </w:rPr>
        <w:br/>
      </w:r>
      <w:r w:rsidRPr="009037B9">
        <w:rPr>
          <w:spacing w:val="-5"/>
          <w:kern w:val="20"/>
          <w:szCs w:val="24"/>
        </w:rPr>
        <w:t xml:space="preserve">(1)  </w:t>
      </w:r>
      <w:r w:rsidRPr="009037B9">
        <w:rPr>
          <w:i/>
          <w:spacing w:val="-5"/>
          <w:kern w:val="20"/>
          <w:szCs w:val="24"/>
        </w:rPr>
        <w:t>Responsibility</w:t>
      </w:r>
      <w:r w:rsidRPr="009037B9">
        <w:rPr>
          <w:spacing w:val="-5"/>
          <w:kern w:val="20"/>
          <w:szCs w:val="24"/>
        </w:rPr>
        <w:t>.</w:t>
      </w:r>
    </w:p>
    <w:p w14:paraId="50D256AC" w14:textId="77777777" w:rsidR="00DB6C26" w:rsidRPr="009037B9" w:rsidRDefault="00DB6C26" w:rsidP="00723A75">
      <w:pPr>
        <w:pStyle w:val="List1"/>
      </w:pPr>
      <w:r w:rsidRPr="009037B9">
        <w:rPr>
          <w:spacing w:val="-5"/>
          <w:kern w:val="20"/>
        </w:rPr>
        <w:t> </w:t>
      </w:r>
    </w:p>
    <w:p w14:paraId="3053D2B6" w14:textId="77777777" w:rsidR="00DB6C26" w:rsidRDefault="00DB6C26" w:rsidP="00723A75">
      <w:pPr>
        <w:pStyle w:val="List1"/>
      </w:pPr>
      <w:r w:rsidRPr="009037B9">
        <w:lastRenderedPageBreak/>
        <w:t>(i)  Agencies are responsible for ensuring that—</w:t>
      </w:r>
    </w:p>
    <w:p w14:paraId="1AC75BDF" w14:textId="77777777" w:rsidR="00DB6C26" w:rsidRPr="009037B9" w:rsidRDefault="00DB6C26" w:rsidP="00723A75">
      <w:pPr>
        <w:pStyle w:val="List4"/>
        <w:rPr>
          <w:b/>
        </w:rPr>
      </w:pPr>
      <w:r>
        <w:rPr>
          <w:b/>
          <w:spacing w:val="-5"/>
          <w:kern w:val="20"/>
          <w:szCs w:val="24"/>
        </w:rPr>
        <w:br/>
      </w:r>
      <w:r w:rsidRPr="009037B9">
        <w:rPr>
          <w:spacing w:val="-5"/>
          <w:kern w:val="20"/>
          <w:szCs w:val="24"/>
        </w:rPr>
        <w:t xml:space="preserve">(A)  Breakout reviews are performed on components meeting the criteria in DFARS </w:t>
      </w:r>
      <w:hyperlink r:id="rId29" w:anchor="207.171-3" w:history="1">
        <w:r w:rsidRPr="00A42BCC">
          <w:rPr>
            <w:rStyle w:val="Hyperlink"/>
            <w:spacing w:val="-5"/>
            <w:kern w:val="20"/>
            <w:szCs w:val="24"/>
          </w:rPr>
          <w:t>207.171-3</w:t>
        </w:r>
      </w:hyperlink>
      <w:r w:rsidRPr="009037B9">
        <w:rPr>
          <w:spacing w:val="-5"/>
          <w:kern w:val="20"/>
          <w:szCs w:val="24"/>
        </w:rPr>
        <w:t>(a) and (b);</w:t>
      </w:r>
    </w:p>
    <w:p w14:paraId="6D1C45FD" w14:textId="77777777" w:rsidR="00DB6C26" w:rsidRPr="009037B9" w:rsidRDefault="00DB6C26" w:rsidP="00723A75">
      <w:pPr>
        <w:pStyle w:val="List4"/>
        <w:rPr>
          <w:b/>
        </w:rPr>
      </w:pPr>
      <w:r w:rsidRPr="009037B9">
        <w:rPr>
          <w:spacing w:val="-5"/>
          <w:kern w:val="20"/>
          <w:szCs w:val="24"/>
        </w:rPr>
        <w:t> </w:t>
      </w:r>
    </w:p>
    <w:p w14:paraId="70B5DBCA" w14:textId="77777777" w:rsidR="00DB6C26" w:rsidRPr="009037B9" w:rsidRDefault="00DB6C26" w:rsidP="00723A75">
      <w:pPr>
        <w:pStyle w:val="List4"/>
        <w:rPr>
          <w:b/>
        </w:rPr>
      </w:pPr>
      <w:r w:rsidRPr="009037B9">
        <w:t>(B)  Components susceptible to breakout are earmarked for consideration in future acquisitions;</w:t>
      </w:r>
    </w:p>
    <w:p w14:paraId="0BBDCF58" w14:textId="77777777" w:rsidR="00DB6C26" w:rsidRPr="009037B9" w:rsidRDefault="00DB6C26" w:rsidP="00723A75">
      <w:pPr>
        <w:pStyle w:val="List4"/>
        <w:rPr>
          <w:b/>
        </w:rPr>
      </w:pPr>
      <w:r w:rsidRPr="009037B9">
        <w:rPr>
          <w:spacing w:val="-5"/>
          <w:kern w:val="20"/>
          <w:szCs w:val="24"/>
        </w:rPr>
        <w:t> </w:t>
      </w:r>
    </w:p>
    <w:p w14:paraId="0BC8194C" w14:textId="77777777" w:rsidR="00DB6C26" w:rsidRPr="009037B9" w:rsidRDefault="00DB6C26" w:rsidP="00723A75">
      <w:pPr>
        <w:pStyle w:val="List4"/>
        <w:rPr>
          <w:b/>
        </w:rPr>
      </w:pPr>
      <w:r w:rsidRPr="009037B9">
        <w:t>(C)  Components earmarked for breakout are considered during requirements determination and appropriate decisions are made; and</w:t>
      </w:r>
    </w:p>
    <w:p w14:paraId="167F202D" w14:textId="77777777" w:rsidR="00DB6C26" w:rsidRPr="009037B9" w:rsidRDefault="00DB6C26" w:rsidP="00723A75">
      <w:pPr>
        <w:pStyle w:val="List4"/>
        <w:rPr>
          <w:b/>
        </w:rPr>
      </w:pPr>
      <w:r w:rsidRPr="009037B9">
        <w:rPr>
          <w:spacing w:val="-5"/>
          <w:kern w:val="20"/>
          <w:szCs w:val="24"/>
        </w:rPr>
        <w:t> </w:t>
      </w:r>
    </w:p>
    <w:p w14:paraId="26020E3B" w14:textId="77777777" w:rsidR="00DB6C26" w:rsidRPr="009037B9" w:rsidRDefault="00DB6C26" w:rsidP="00723A75">
      <w:pPr>
        <w:pStyle w:val="List4"/>
        <w:rPr>
          <w:b/>
        </w:rPr>
      </w:pPr>
      <w:r w:rsidRPr="009037B9">
        <w:t>(D)  Components are broken out when required.</w:t>
      </w:r>
    </w:p>
    <w:p w14:paraId="37E8A388" w14:textId="77777777" w:rsidR="00DB6C26" w:rsidRPr="009037B9" w:rsidRDefault="00DB6C26" w:rsidP="00723A75">
      <w:pPr>
        <w:pStyle w:val="List3"/>
        <w:rPr>
          <w:b/>
        </w:rPr>
      </w:pPr>
      <w:r w:rsidRPr="009037B9">
        <w:rPr>
          <w:spacing w:val="-5"/>
          <w:kern w:val="20"/>
          <w:szCs w:val="24"/>
        </w:rPr>
        <w:t> </w:t>
      </w:r>
    </w:p>
    <w:p w14:paraId="72D677CA" w14:textId="77777777" w:rsidR="00DB6C26" w:rsidRPr="009037B9" w:rsidRDefault="00DB6C26" w:rsidP="00723A75">
      <w:pPr>
        <w:pStyle w:val="List3"/>
        <w:rPr>
          <w:b/>
        </w:rPr>
      </w:pPr>
      <w:r w:rsidRPr="009037B9">
        <w:t>(ii)  The program manager or other official responsible for the material program concerned is responsible for breakout selection, review, and decision.</w:t>
      </w:r>
    </w:p>
    <w:p w14:paraId="28BE62FD" w14:textId="77777777" w:rsidR="00DB6C26" w:rsidRPr="009037B9" w:rsidRDefault="00DB6C26" w:rsidP="00723A75">
      <w:pPr>
        <w:pStyle w:val="List3"/>
        <w:rPr>
          <w:b/>
        </w:rPr>
      </w:pPr>
      <w:r w:rsidRPr="009037B9">
        <w:rPr>
          <w:spacing w:val="-5"/>
          <w:kern w:val="20"/>
          <w:szCs w:val="24"/>
        </w:rPr>
        <w:t> </w:t>
      </w:r>
    </w:p>
    <w:p w14:paraId="2AE85F40" w14:textId="77777777" w:rsidR="00DB6C26" w:rsidRPr="009037B9" w:rsidRDefault="00DB6C26" w:rsidP="00723A75">
      <w:pPr>
        <w:pStyle w:val="List3"/>
        <w:rPr>
          <w:b/>
        </w:rPr>
      </w:pPr>
      <w:r w:rsidRPr="009037B9">
        <w:t>(iii)  The contracting officer or buyer and other specialists (e.g., small business specialist, engineering, production, logistics, and maintenance) support the program manager in implementing the breakout program.</w:t>
      </w:r>
    </w:p>
    <w:p w14:paraId="2F9ADDD6" w14:textId="77777777" w:rsidR="00DB6C26" w:rsidRPr="009037B9" w:rsidRDefault="00DB6C26" w:rsidP="00723A75">
      <w:pPr>
        <w:pStyle w:val="List2"/>
        <w:rPr>
          <w:b/>
        </w:rPr>
      </w:pPr>
      <w:r w:rsidRPr="009037B9">
        <w:rPr>
          <w:spacing w:val="-5"/>
          <w:kern w:val="20"/>
          <w:szCs w:val="24"/>
        </w:rPr>
        <w:t> </w:t>
      </w:r>
    </w:p>
    <w:p w14:paraId="633D2E6F" w14:textId="77777777" w:rsidR="00DB6C26" w:rsidRPr="009037B9" w:rsidRDefault="00DB6C26" w:rsidP="00723A75">
      <w:pPr>
        <w:pStyle w:val="List2"/>
        <w:rPr>
          <w:b/>
        </w:rPr>
      </w:pPr>
      <w:r w:rsidRPr="009037B9">
        <w:t xml:space="preserve">(2)  </w:t>
      </w:r>
      <w:r w:rsidRPr="009037B9">
        <w:rPr>
          <w:i/>
        </w:rPr>
        <w:t>Breakout review and decision.</w:t>
      </w:r>
    </w:p>
    <w:p w14:paraId="3D2B5468" w14:textId="77777777" w:rsidR="00DB6C26" w:rsidRPr="009037B9" w:rsidRDefault="00DB6C26" w:rsidP="00723A75">
      <w:pPr>
        <w:pStyle w:val="List1"/>
      </w:pPr>
      <w:r w:rsidRPr="009037B9">
        <w:rPr>
          <w:spacing w:val="-5"/>
          <w:kern w:val="20"/>
        </w:rPr>
        <w:t> </w:t>
      </w:r>
    </w:p>
    <w:p w14:paraId="4251EBD4" w14:textId="77777777" w:rsidR="00DB6C26" w:rsidRPr="009037B9" w:rsidRDefault="00DB6C26" w:rsidP="00723A75">
      <w:pPr>
        <w:pStyle w:val="List1"/>
      </w:pPr>
      <w:r w:rsidRPr="009037B9">
        <w:t>(i)  A breakout review and decision includes—</w:t>
      </w:r>
    </w:p>
    <w:p w14:paraId="5BD0F9E2" w14:textId="77777777" w:rsidR="00DB6C26" w:rsidRPr="009037B9" w:rsidRDefault="00DB6C26" w:rsidP="00723A75">
      <w:pPr>
        <w:pStyle w:val="List4"/>
        <w:rPr>
          <w:b/>
        </w:rPr>
      </w:pPr>
      <w:r w:rsidRPr="009037B9">
        <w:rPr>
          <w:spacing w:val="-5"/>
          <w:kern w:val="20"/>
          <w:szCs w:val="24"/>
        </w:rPr>
        <w:t> </w:t>
      </w:r>
    </w:p>
    <w:p w14:paraId="7B0F3315" w14:textId="77777777" w:rsidR="00DB6C26" w:rsidRPr="009037B9" w:rsidRDefault="00DB6C26" w:rsidP="00723A75">
      <w:pPr>
        <w:pStyle w:val="List4"/>
        <w:rPr>
          <w:b/>
        </w:rPr>
      </w:pPr>
      <w:r w:rsidRPr="009037B9">
        <w:t>(A)  An assessment of the potential risks to the end item from possibilities such as delayed delivery and reduced reliability of the component;</w:t>
      </w:r>
    </w:p>
    <w:p w14:paraId="1127A09F" w14:textId="77777777" w:rsidR="00DB6C26" w:rsidRPr="009037B9" w:rsidRDefault="00DB6C26" w:rsidP="00723A75">
      <w:pPr>
        <w:pStyle w:val="List4"/>
        <w:rPr>
          <w:b/>
        </w:rPr>
      </w:pPr>
      <w:r w:rsidRPr="009037B9">
        <w:rPr>
          <w:spacing w:val="-5"/>
          <w:kern w:val="20"/>
          <w:szCs w:val="24"/>
        </w:rPr>
        <w:t> </w:t>
      </w:r>
    </w:p>
    <w:p w14:paraId="3849AE22" w14:textId="77777777" w:rsidR="00DB6C26" w:rsidRPr="009037B9" w:rsidRDefault="00DB6C26" w:rsidP="00723A75">
      <w:pPr>
        <w:pStyle w:val="List4"/>
        <w:rPr>
          <w:b/>
        </w:rPr>
      </w:pPr>
      <w:r w:rsidRPr="009037B9">
        <w:t>(B)  A calculation of estimated net cost savings (i.e., estimated acquisition savings less any offsetting costs); and</w:t>
      </w:r>
    </w:p>
    <w:p w14:paraId="7DAA14EE" w14:textId="77777777" w:rsidR="00DB6C26" w:rsidRPr="009037B9" w:rsidRDefault="00DB6C26" w:rsidP="00723A75">
      <w:pPr>
        <w:pStyle w:val="List4"/>
        <w:rPr>
          <w:b/>
        </w:rPr>
      </w:pPr>
      <w:r w:rsidRPr="009037B9">
        <w:rPr>
          <w:spacing w:val="-5"/>
          <w:kern w:val="20"/>
          <w:szCs w:val="24"/>
        </w:rPr>
        <w:t> </w:t>
      </w:r>
    </w:p>
    <w:p w14:paraId="00F1F2B7" w14:textId="77777777" w:rsidR="00DB6C26" w:rsidRPr="009037B9" w:rsidRDefault="00DB6C26" w:rsidP="00723A75">
      <w:pPr>
        <w:pStyle w:val="List4"/>
        <w:rPr>
          <w:b/>
        </w:rPr>
      </w:pPr>
      <w:r w:rsidRPr="009037B9">
        <w:t>(C)  An analysis of the technical, operational, logistics, and administrative factors involved.</w:t>
      </w:r>
    </w:p>
    <w:p w14:paraId="5CF8FA85" w14:textId="77777777" w:rsidR="00DB6C26" w:rsidRPr="009037B9" w:rsidRDefault="00DB6C26" w:rsidP="00723A75">
      <w:pPr>
        <w:pStyle w:val="List3"/>
        <w:rPr>
          <w:b/>
        </w:rPr>
      </w:pPr>
      <w:r w:rsidRPr="009037B9">
        <w:rPr>
          <w:spacing w:val="-5"/>
          <w:kern w:val="20"/>
          <w:szCs w:val="24"/>
        </w:rPr>
        <w:t> </w:t>
      </w:r>
    </w:p>
    <w:p w14:paraId="56AFA851" w14:textId="77777777" w:rsidR="00DB6C26" w:rsidRPr="009037B9" w:rsidRDefault="00DB6C26" w:rsidP="00723A75">
      <w:pPr>
        <w:pStyle w:val="List3"/>
        <w:rPr>
          <w:b/>
        </w:rPr>
      </w:pPr>
      <w:r w:rsidRPr="009037B9">
        <w:t>(ii)  The decision must be supported by adequate explanatory information, including an assessment by the end item contractor when feasible.</w:t>
      </w:r>
    </w:p>
    <w:p w14:paraId="2BD9153A" w14:textId="77777777" w:rsidR="00DB6C26" w:rsidRPr="009037B9" w:rsidRDefault="00DB6C26" w:rsidP="00723A75">
      <w:pPr>
        <w:pStyle w:val="List3"/>
        <w:rPr>
          <w:b/>
        </w:rPr>
      </w:pPr>
      <w:r w:rsidRPr="009037B9">
        <w:rPr>
          <w:spacing w:val="-5"/>
          <w:kern w:val="20"/>
          <w:szCs w:val="24"/>
        </w:rPr>
        <w:t> </w:t>
      </w:r>
    </w:p>
    <w:p w14:paraId="421017D4" w14:textId="77777777" w:rsidR="00DB6C26" w:rsidRPr="009037B9" w:rsidRDefault="00DB6C26" w:rsidP="00723A75">
      <w:pPr>
        <w:pStyle w:val="List3"/>
        <w:rPr>
          <w:b/>
        </w:rPr>
      </w:pPr>
      <w:r w:rsidRPr="009037B9">
        <w:t>(iii)  The following questions should be used in the decision process:</w:t>
      </w:r>
    </w:p>
    <w:p w14:paraId="7E6EFDF9" w14:textId="77777777" w:rsidR="00DB6C26" w:rsidRPr="009037B9" w:rsidRDefault="00DB6C26" w:rsidP="00723A75">
      <w:pPr>
        <w:pStyle w:val="List4"/>
        <w:rPr>
          <w:b/>
        </w:rPr>
      </w:pPr>
      <w:r w:rsidRPr="009037B9">
        <w:rPr>
          <w:spacing w:val="-5"/>
          <w:kern w:val="20"/>
          <w:szCs w:val="24"/>
        </w:rPr>
        <w:lastRenderedPageBreak/>
        <w:t> </w:t>
      </w:r>
    </w:p>
    <w:p w14:paraId="0312311F" w14:textId="77777777" w:rsidR="00DB6C26" w:rsidRPr="009037B9" w:rsidRDefault="00DB6C26" w:rsidP="00723A75">
      <w:pPr>
        <w:pStyle w:val="List4"/>
        <w:rPr>
          <w:b/>
        </w:rPr>
      </w:pPr>
      <w:r w:rsidRPr="009037B9">
        <w:t>(A)  Is the end item contractor likely to do further design or engineering effort on the component?</w:t>
      </w:r>
    </w:p>
    <w:p w14:paraId="6BF328E2" w14:textId="77777777" w:rsidR="00DB6C26" w:rsidRPr="009037B9" w:rsidRDefault="00DB6C26" w:rsidP="00723A75">
      <w:pPr>
        <w:pStyle w:val="List4"/>
        <w:rPr>
          <w:b/>
        </w:rPr>
      </w:pPr>
      <w:r w:rsidRPr="009037B9">
        <w:rPr>
          <w:spacing w:val="-5"/>
          <w:kern w:val="20"/>
          <w:szCs w:val="24"/>
        </w:rPr>
        <w:t> </w:t>
      </w:r>
    </w:p>
    <w:p w14:paraId="6A744FE7" w14:textId="77777777" w:rsidR="00DB6C26" w:rsidRPr="009037B9" w:rsidRDefault="00DB6C26" w:rsidP="00723A75">
      <w:pPr>
        <w:pStyle w:val="List4"/>
        <w:rPr>
          <w:b/>
        </w:rPr>
      </w:pPr>
      <w:r w:rsidRPr="009037B9">
        <w:t>(B)  Is a suitable data package available with rights to use it for Government acquisition?  (Note that breakout may be warranted even though competitive acquisition is not possible.)</w:t>
      </w:r>
    </w:p>
    <w:p w14:paraId="0B2A2DC2" w14:textId="77777777" w:rsidR="00DB6C26" w:rsidRPr="009037B9" w:rsidRDefault="00DB6C26" w:rsidP="00723A75">
      <w:pPr>
        <w:pStyle w:val="List4"/>
        <w:rPr>
          <w:b/>
        </w:rPr>
      </w:pPr>
      <w:r w:rsidRPr="009037B9">
        <w:rPr>
          <w:spacing w:val="-5"/>
          <w:kern w:val="20"/>
          <w:szCs w:val="24"/>
        </w:rPr>
        <w:t> </w:t>
      </w:r>
    </w:p>
    <w:p w14:paraId="6C2A20F9" w14:textId="77777777" w:rsidR="00DB6C26" w:rsidRPr="009037B9" w:rsidRDefault="00DB6C26" w:rsidP="00723A75">
      <w:pPr>
        <w:pStyle w:val="List4"/>
        <w:rPr>
          <w:b/>
        </w:rPr>
      </w:pPr>
      <w:r w:rsidRPr="009037B9">
        <w:t>(C)  Can any quality control and reliability problems of the component be resolved without requiring effort by the end item contractor?</w:t>
      </w:r>
    </w:p>
    <w:p w14:paraId="273FE4D3" w14:textId="77777777" w:rsidR="00DB6C26" w:rsidRPr="009037B9" w:rsidRDefault="00DB6C26" w:rsidP="00723A75">
      <w:pPr>
        <w:pStyle w:val="List4"/>
        <w:rPr>
          <w:b/>
        </w:rPr>
      </w:pPr>
      <w:r w:rsidRPr="009037B9">
        <w:rPr>
          <w:spacing w:val="-5"/>
          <w:kern w:val="20"/>
          <w:szCs w:val="24"/>
        </w:rPr>
        <w:t> </w:t>
      </w:r>
    </w:p>
    <w:p w14:paraId="593A2993" w14:textId="77777777" w:rsidR="00DB6C26" w:rsidRPr="009037B9" w:rsidRDefault="00DB6C26" w:rsidP="00723A75">
      <w:pPr>
        <w:pStyle w:val="List4"/>
        <w:rPr>
          <w:b/>
        </w:rPr>
      </w:pPr>
      <w:r w:rsidRPr="009037B9">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w14:paraId="2759CBB7" w14:textId="77777777" w:rsidR="00DB6C26" w:rsidRPr="009037B9" w:rsidRDefault="00DB6C26" w:rsidP="00723A75">
      <w:pPr>
        <w:pStyle w:val="List4"/>
        <w:rPr>
          <w:b/>
        </w:rPr>
      </w:pPr>
      <w:r w:rsidRPr="009037B9">
        <w:rPr>
          <w:spacing w:val="-5"/>
          <w:kern w:val="20"/>
          <w:szCs w:val="24"/>
        </w:rPr>
        <w:t> </w:t>
      </w:r>
    </w:p>
    <w:p w14:paraId="3AE8E0C1" w14:textId="77777777" w:rsidR="00DB6C26" w:rsidRPr="009037B9" w:rsidRDefault="00DB6C26" w:rsidP="00723A75">
      <w:pPr>
        <w:pStyle w:val="List4"/>
        <w:rPr>
          <w:b/>
        </w:rPr>
      </w:pPr>
      <w:r w:rsidRPr="009037B9">
        <w:t>(E)  Will breakout impair logistics support (e.g., by jeopardizing standardization of components)?</w:t>
      </w:r>
    </w:p>
    <w:p w14:paraId="13032B93" w14:textId="77777777" w:rsidR="00DB6C26" w:rsidRPr="009037B9" w:rsidRDefault="00DB6C26" w:rsidP="00723A75">
      <w:pPr>
        <w:pStyle w:val="List4"/>
        <w:rPr>
          <w:b/>
        </w:rPr>
      </w:pPr>
      <w:r w:rsidRPr="009037B9">
        <w:rPr>
          <w:spacing w:val="-5"/>
          <w:kern w:val="20"/>
          <w:szCs w:val="24"/>
        </w:rPr>
        <w:t> </w:t>
      </w:r>
    </w:p>
    <w:p w14:paraId="7BAB699C" w14:textId="77777777" w:rsidR="00DB6C26" w:rsidRPr="009037B9" w:rsidRDefault="00DB6C26" w:rsidP="00723A75">
      <w:pPr>
        <w:pStyle w:val="List4"/>
        <w:rPr>
          <w:b/>
        </w:rPr>
      </w:pPr>
      <w:r w:rsidRPr="009037B9">
        <w:t>(F)  Will breakout unduly fragment administration, management, or performance of the end item contract (e.g., by complicating production scheduling or preventing identification of responsibility for end item failure caused by a defective component)?</w:t>
      </w:r>
    </w:p>
    <w:p w14:paraId="79FF8340" w14:textId="77777777" w:rsidR="00DB6C26" w:rsidRPr="009037B9" w:rsidRDefault="00DB6C26" w:rsidP="00723A75">
      <w:pPr>
        <w:pStyle w:val="List4"/>
        <w:rPr>
          <w:b/>
        </w:rPr>
      </w:pPr>
      <w:r w:rsidRPr="009037B9">
        <w:rPr>
          <w:spacing w:val="-5"/>
          <w:kern w:val="20"/>
          <w:szCs w:val="24"/>
        </w:rPr>
        <w:t> </w:t>
      </w:r>
    </w:p>
    <w:p w14:paraId="5A5B1892" w14:textId="77777777" w:rsidR="00DB6C26" w:rsidRPr="009037B9" w:rsidRDefault="00DB6C26" w:rsidP="00723A75">
      <w:pPr>
        <w:pStyle w:val="List4"/>
        <w:rPr>
          <w:b/>
        </w:rPr>
      </w:pPr>
      <w:r w:rsidRPr="009037B9">
        <w:t>(G)  Can breakout be accomplished without jeopardizing delivery requirements of the end item?</w:t>
      </w:r>
    </w:p>
    <w:p w14:paraId="73CA8FA6" w14:textId="77777777" w:rsidR="00DB6C26" w:rsidRPr="009037B9" w:rsidRDefault="00DB6C26" w:rsidP="00723A75">
      <w:pPr>
        <w:pStyle w:val="List4"/>
        <w:rPr>
          <w:b/>
        </w:rPr>
      </w:pPr>
      <w:r w:rsidRPr="009037B9">
        <w:rPr>
          <w:spacing w:val="-5"/>
          <w:kern w:val="20"/>
          <w:szCs w:val="24"/>
        </w:rPr>
        <w:t> </w:t>
      </w:r>
    </w:p>
    <w:p w14:paraId="3CF5C1C0" w14:textId="77777777" w:rsidR="00DB6C26" w:rsidRPr="009037B9" w:rsidRDefault="00DB6C26" w:rsidP="00723A75">
      <w:pPr>
        <w:pStyle w:val="List4"/>
        <w:rPr>
          <w:b/>
        </w:rPr>
      </w:pPr>
      <w:r w:rsidRPr="009037B9">
        <w:t>(H)  If a decision is made to break out a component, can advance acquisition funds be made available to provide the new source any necessary additional lead time?</w:t>
      </w:r>
    </w:p>
    <w:p w14:paraId="3B16B2B3" w14:textId="77777777" w:rsidR="00DB6C26" w:rsidRPr="009037B9" w:rsidRDefault="00DB6C26" w:rsidP="00723A75">
      <w:pPr>
        <w:pStyle w:val="List4"/>
        <w:rPr>
          <w:b/>
        </w:rPr>
      </w:pPr>
      <w:r w:rsidRPr="009037B9">
        <w:rPr>
          <w:spacing w:val="-5"/>
          <w:kern w:val="20"/>
          <w:szCs w:val="24"/>
        </w:rPr>
        <w:t> </w:t>
      </w:r>
    </w:p>
    <w:p w14:paraId="70D24F98" w14:textId="77777777" w:rsidR="00DB6C26" w:rsidRPr="009037B9" w:rsidRDefault="00DB6C26" w:rsidP="00723A75">
      <w:pPr>
        <w:pStyle w:val="List4"/>
        <w:rPr>
          <w:b/>
        </w:rPr>
      </w:pPr>
      <w:r w:rsidRPr="009037B9">
        <w:t>(I)  Is there a source other than the present manufacturer capable of supplying the component?</w:t>
      </w:r>
    </w:p>
    <w:p w14:paraId="4F4480DD" w14:textId="77777777" w:rsidR="00DB6C26" w:rsidRPr="009037B9" w:rsidRDefault="00DB6C26" w:rsidP="00723A75">
      <w:pPr>
        <w:pStyle w:val="List4"/>
        <w:rPr>
          <w:b/>
        </w:rPr>
      </w:pPr>
      <w:r w:rsidRPr="009037B9">
        <w:rPr>
          <w:spacing w:val="-5"/>
          <w:kern w:val="20"/>
          <w:szCs w:val="24"/>
        </w:rPr>
        <w:t> </w:t>
      </w:r>
    </w:p>
    <w:p w14:paraId="121087DD" w14:textId="77777777" w:rsidR="00DB6C26" w:rsidRPr="009037B9" w:rsidRDefault="00DB6C26" w:rsidP="00723A75">
      <w:pPr>
        <w:pStyle w:val="List4"/>
        <w:rPr>
          <w:b/>
        </w:rPr>
      </w:pPr>
      <w:r w:rsidRPr="009037B9">
        <w:lastRenderedPageBreak/>
        <w:t>(J)  Has the component been (or is it going to be) acquired directly by the Government as a support item in the supply system or as Government-furnished equipment in other end items?</w:t>
      </w:r>
    </w:p>
    <w:p w14:paraId="1F38DA24" w14:textId="77777777" w:rsidR="00DB6C26" w:rsidRPr="009037B9" w:rsidRDefault="00DB6C26" w:rsidP="00723A75">
      <w:pPr>
        <w:pStyle w:val="List4"/>
        <w:rPr>
          <w:b/>
        </w:rPr>
      </w:pPr>
      <w:r w:rsidRPr="009037B9">
        <w:rPr>
          <w:spacing w:val="-5"/>
          <w:kern w:val="20"/>
          <w:szCs w:val="24"/>
        </w:rPr>
        <w:t> </w:t>
      </w:r>
    </w:p>
    <w:p w14:paraId="63155B09" w14:textId="77777777" w:rsidR="00DB6C26" w:rsidRPr="009037B9" w:rsidRDefault="00DB6C26" w:rsidP="00723A75">
      <w:pPr>
        <w:pStyle w:val="List4"/>
        <w:rPr>
          <w:b/>
        </w:rPr>
      </w:pPr>
      <w:r w:rsidRPr="009037B9">
        <w:t>(K)  Will the financial risks and other responsibilities assumed by the Government after breakout be acceptable?</w:t>
      </w:r>
    </w:p>
    <w:p w14:paraId="45525ECE" w14:textId="77777777" w:rsidR="00DB6C26" w:rsidRPr="009037B9" w:rsidRDefault="00DB6C26" w:rsidP="00723A75">
      <w:pPr>
        <w:pStyle w:val="List4"/>
        <w:rPr>
          <w:b/>
        </w:rPr>
      </w:pPr>
      <w:r w:rsidRPr="009037B9">
        <w:rPr>
          <w:spacing w:val="-5"/>
          <w:kern w:val="20"/>
          <w:szCs w:val="24"/>
        </w:rPr>
        <w:t> </w:t>
      </w:r>
    </w:p>
    <w:p w14:paraId="040BEC51" w14:textId="77777777" w:rsidR="00DB6C26" w:rsidRPr="009037B9" w:rsidRDefault="00DB6C26" w:rsidP="00723A75">
      <w:pPr>
        <w:pStyle w:val="List4"/>
        <w:rPr>
          <w:b/>
        </w:rPr>
      </w:pPr>
      <w:r w:rsidRPr="009037B9">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w14:paraId="58758CFB" w14:textId="77777777" w:rsidR="00DB6C26" w:rsidRPr="009037B9" w:rsidRDefault="00DB6C26" w:rsidP="00723A75">
      <w:pPr>
        <w:pStyle w:val="List3"/>
        <w:rPr>
          <w:b/>
        </w:rPr>
      </w:pPr>
      <w:r w:rsidRPr="009037B9">
        <w:rPr>
          <w:spacing w:val="-5"/>
          <w:kern w:val="20"/>
          <w:szCs w:val="24"/>
        </w:rPr>
        <w:t> </w:t>
      </w:r>
    </w:p>
    <w:p w14:paraId="30AE63CF" w14:textId="77777777" w:rsidR="00DB6C26" w:rsidRPr="009037B9" w:rsidRDefault="00DB6C26" w:rsidP="00723A75">
      <w:pPr>
        <w:pStyle w:val="List3"/>
        <w:rPr>
          <w:b/>
        </w:rPr>
      </w:pPr>
      <w:r w:rsidRPr="009037B9">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w14:paraId="2D37C1E2" w14:textId="77777777" w:rsidR="00DB6C26" w:rsidRPr="009037B9" w:rsidRDefault="00DB6C26" w:rsidP="00723A75">
      <w:pPr>
        <w:pStyle w:val="List2"/>
        <w:rPr>
          <w:b/>
        </w:rPr>
      </w:pPr>
      <w:r w:rsidRPr="009037B9">
        <w:rPr>
          <w:spacing w:val="-5"/>
          <w:kern w:val="20"/>
          <w:szCs w:val="24"/>
        </w:rPr>
        <w:t> </w:t>
      </w:r>
    </w:p>
    <w:p w14:paraId="4F15D218" w14:textId="77777777" w:rsidR="00DB6C26" w:rsidRPr="009037B9" w:rsidRDefault="00DB6C26" w:rsidP="00723A75">
      <w:pPr>
        <w:pStyle w:val="List2"/>
        <w:rPr>
          <w:b/>
        </w:rPr>
      </w:pPr>
      <w:r w:rsidRPr="009037B9">
        <w:t xml:space="preserve">(3)  </w:t>
      </w:r>
      <w:r w:rsidRPr="009037B9">
        <w:rPr>
          <w:i/>
        </w:rPr>
        <w:t>Records</w:t>
      </w:r>
      <w:r w:rsidRPr="009037B9">
        <w:t>.</w:t>
      </w:r>
    </w:p>
    <w:p w14:paraId="1329B824" w14:textId="77777777" w:rsidR="00DB6C26" w:rsidRPr="009037B9" w:rsidRDefault="00DB6C26" w:rsidP="00723A75">
      <w:pPr>
        <w:pStyle w:val="List1"/>
      </w:pPr>
      <w:r w:rsidRPr="009037B9">
        <w:rPr>
          <w:spacing w:val="-5"/>
          <w:kern w:val="20"/>
        </w:rPr>
        <w:t> </w:t>
      </w:r>
    </w:p>
    <w:p w14:paraId="4289F340" w14:textId="77777777" w:rsidR="00DB6C26" w:rsidRPr="009037B9" w:rsidRDefault="00DB6C26" w:rsidP="00723A75">
      <w:pPr>
        <w:pStyle w:val="List1"/>
      </w:pPr>
      <w:r w:rsidRPr="009037B9">
        <w:t>(i)  The contracting activity shall maintain records on components reviewed for breakout.  Records should evidence whether the components—</w:t>
      </w:r>
    </w:p>
    <w:p w14:paraId="4145C49A" w14:textId="77777777" w:rsidR="00DB6C26" w:rsidRPr="009037B9" w:rsidRDefault="00DB6C26" w:rsidP="00723A75">
      <w:pPr>
        <w:pStyle w:val="List4"/>
        <w:rPr>
          <w:b/>
        </w:rPr>
      </w:pPr>
      <w:r w:rsidRPr="009037B9">
        <w:rPr>
          <w:spacing w:val="-5"/>
          <w:kern w:val="20"/>
          <w:szCs w:val="24"/>
        </w:rPr>
        <w:t> </w:t>
      </w:r>
    </w:p>
    <w:p w14:paraId="2C94266E" w14:textId="77777777" w:rsidR="00DB6C26" w:rsidRPr="009037B9" w:rsidRDefault="00DB6C26" w:rsidP="00723A75">
      <w:pPr>
        <w:pStyle w:val="List4"/>
        <w:rPr>
          <w:b/>
        </w:rPr>
      </w:pPr>
      <w:r w:rsidRPr="009037B9">
        <w:t>(A)  Have no potential for breakout;</w:t>
      </w:r>
    </w:p>
    <w:p w14:paraId="4A9325AC" w14:textId="77777777" w:rsidR="00DB6C26" w:rsidRPr="009037B9" w:rsidRDefault="00DB6C26" w:rsidP="00723A75">
      <w:pPr>
        <w:pStyle w:val="List4"/>
        <w:rPr>
          <w:b/>
        </w:rPr>
      </w:pPr>
      <w:r w:rsidRPr="009037B9">
        <w:rPr>
          <w:spacing w:val="-5"/>
          <w:kern w:val="20"/>
          <w:szCs w:val="24"/>
        </w:rPr>
        <w:t> </w:t>
      </w:r>
    </w:p>
    <w:p w14:paraId="0A191DEA" w14:textId="77777777" w:rsidR="00DB6C26" w:rsidRPr="009037B9" w:rsidRDefault="00DB6C26" w:rsidP="00723A75">
      <w:pPr>
        <w:pStyle w:val="List4"/>
        <w:rPr>
          <w:b/>
        </w:rPr>
      </w:pPr>
      <w:r w:rsidRPr="009037B9">
        <w:t>(B)  Have been earmarked as potential breakout candidates; or</w:t>
      </w:r>
    </w:p>
    <w:p w14:paraId="009D591A" w14:textId="77777777" w:rsidR="00DB6C26" w:rsidRPr="009037B9" w:rsidRDefault="00DB6C26" w:rsidP="00723A75">
      <w:pPr>
        <w:pStyle w:val="List4"/>
        <w:rPr>
          <w:b/>
        </w:rPr>
      </w:pPr>
      <w:r w:rsidRPr="009037B9">
        <w:rPr>
          <w:spacing w:val="-5"/>
          <w:kern w:val="20"/>
          <w:szCs w:val="24"/>
        </w:rPr>
        <w:t> </w:t>
      </w:r>
    </w:p>
    <w:p w14:paraId="2F6FEBAD" w14:textId="77777777" w:rsidR="00DB6C26" w:rsidRPr="009037B9" w:rsidRDefault="00DB6C26" w:rsidP="00723A75">
      <w:pPr>
        <w:pStyle w:val="List4"/>
        <w:rPr>
          <w:b/>
        </w:rPr>
      </w:pPr>
      <w:r w:rsidRPr="009037B9">
        <w:t>(C)  Have been, or will be, broken out.</w:t>
      </w:r>
    </w:p>
    <w:p w14:paraId="73B10C49" w14:textId="77777777" w:rsidR="00DB6C26" w:rsidRPr="009037B9" w:rsidRDefault="00DB6C26" w:rsidP="00723A75">
      <w:pPr>
        <w:pStyle w:val="List3"/>
        <w:rPr>
          <w:b/>
        </w:rPr>
      </w:pPr>
      <w:r w:rsidRPr="009037B9">
        <w:rPr>
          <w:spacing w:val="-5"/>
          <w:kern w:val="20"/>
          <w:szCs w:val="24"/>
        </w:rPr>
        <w:t> </w:t>
      </w:r>
    </w:p>
    <w:p w14:paraId="6A3139F3" w14:textId="77777777" w:rsidR="00DB6C26" w:rsidRPr="009037B9" w:rsidRDefault="00DB6C26" w:rsidP="00723A75">
      <w:pPr>
        <w:pStyle w:val="List3"/>
        <w:rPr>
          <w:b/>
        </w:rPr>
      </w:pPr>
      <w:r w:rsidRPr="009037B9">
        <w:t>(ii)  The program manager or other designated official must sign the records.</w:t>
      </w:r>
    </w:p>
    <w:p w14:paraId="7D891762" w14:textId="77777777" w:rsidR="00DB6C26" w:rsidRPr="009037B9" w:rsidRDefault="00DB6C26" w:rsidP="00723A75">
      <w:pPr>
        <w:pStyle w:val="List3"/>
        <w:rPr>
          <w:b/>
        </w:rPr>
      </w:pPr>
      <w:r w:rsidRPr="009037B9">
        <w:rPr>
          <w:spacing w:val="-5"/>
          <w:kern w:val="20"/>
          <w:szCs w:val="24"/>
        </w:rPr>
        <w:t> </w:t>
      </w:r>
    </w:p>
    <w:p w14:paraId="0F531153" w14:textId="77777777" w:rsidR="00DB6C26" w:rsidRDefault="00DB6C26" w:rsidP="00723A75">
      <w:pPr>
        <w:pStyle w:val="List3"/>
        <w:rPr>
          <w:b/>
        </w:rPr>
      </w:pPr>
      <w:r w:rsidRPr="009037B9">
        <w:t xml:space="preserve">(iii)  Records must reflect the facts and conditions of the case, including any assessment by the contractor, and the basis for the decision.  The records must contain the assessments, calculations, and analyses discussed in paragraph 2 of this section, </w:t>
      </w:r>
      <w:r w:rsidRPr="009037B9">
        <w:lastRenderedPageBreak/>
        <w:t>including the trade-off analysis between savings and increased risk to the Government because of responsibility for Government-furnished equipment.</w:t>
      </w:r>
      <w:bookmarkEnd w:id="20"/>
    </w:p>
    <w:p w14:paraId="00CC6769" w14:textId="77777777" w:rsidR="00DB6C26" w:rsidRPr="009037B9" w:rsidRDefault="00DB6C26" w:rsidP="00723A75">
      <w:r>
        <w:br/>
      </w:r>
    </w:p>
    <w:p w14:paraId="3CA7DAD8" w14:textId="77777777" w:rsidR="00DB6C26" w:rsidRDefault="00DB6C26">
      <w:pPr>
        <w:sectPr w:rsidR="00DB6C26" w:rsidSect="0050328D">
          <w:headerReference w:type="default" r:id="rId30"/>
          <w:footerReference w:type="default" r:id="rId31"/>
          <w:pgSz w:w="12240" w:h="15840"/>
          <w:pgMar w:top="1440" w:right="1440" w:bottom="1440" w:left="1440" w:header="720" w:footer="720" w:gutter="0"/>
          <w:cols w:space="720"/>
          <w:docGrid w:linePitch="360"/>
        </w:sectPr>
      </w:pPr>
    </w:p>
    <w:p w14:paraId="0E83770D" w14:textId="77777777" w:rsidR="00DB6C26" w:rsidRDefault="00DB6C26" w:rsidP="00C85E55">
      <w:pPr>
        <w:jc w:val="center"/>
      </w:pPr>
      <w:r w:rsidRPr="009037B9">
        <w:rPr>
          <w:i/>
          <w:szCs w:val="24"/>
        </w:rPr>
        <w:lastRenderedPageBreak/>
        <w:t>(</w:t>
      </w:r>
      <w:r>
        <w:rPr>
          <w:i/>
          <w:szCs w:val="24"/>
        </w:rPr>
        <w:t>Added</w:t>
      </w:r>
      <w:r w:rsidRPr="009037B9">
        <w:rPr>
          <w:i/>
          <w:szCs w:val="24"/>
        </w:rPr>
        <w:t xml:space="preserve"> </w:t>
      </w:r>
      <w:r>
        <w:rPr>
          <w:i/>
          <w:szCs w:val="24"/>
        </w:rPr>
        <w:t>June 7, 2016</w:t>
      </w:r>
      <w:r w:rsidRPr="009037B9">
        <w:rPr>
          <w:i/>
          <w:szCs w:val="24"/>
        </w:rPr>
        <w:t>)</w:t>
      </w:r>
    </w:p>
    <w:p w14:paraId="647ADFD9" w14:textId="77777777" w:rsidR="00DB6C26" w:rsidRDefault="00DB6C26" w:rsidP="00C85E55">
      <w:pPr>
        <w:pStyle w:val="Heading2"/>
      </w:pPr>
      <w:r>
        <w:rPr>
          <w:i/>
          <w:szCs w:val="24"/>
        </w:rPr>
        <w:br/>
      </w:r>
      <w:bookmarkStart w:id="24" w:name="_Toc37415601"/>
      <w:bookmarkStart w:id="25" w:name="_Toc37677288"/>
      <w:bookmarkStart w:id="26" w:name="_Toc37755465"/>
      <w:r w:rsidRPr="009037B9">
        <w:rPr>
          <w:iCs/>
        </w:rPr>
        <w:t>PGI 207.</w:t>
      </w:r>
      <w:r>
        <w:rPr>
          <w:iCs/>
        </w:rPr>
        <w:t>3</w:t>
      </w:r>
      <w:r w:rsidRPr="009037B9">
        <w:rPr>
          <w:iCs/>
        </w:rPr>
        <w:t>—</w:t>
      </w:r>
      <w:r w:rsidRPr="0049704B">
        <w:t>CONTRACTOR VERSUS GOVERNMENT PERFORMANCE</w:t>
      </w:r>
      <w:bookmarkEnd w:id="24"/>
      <w:bookmarkEnd w:id="25"/>
      <w:bookmarkEnd w:id="26"/>
    </w:p>
    <w:p w14:paraId="58EA7587" w14:textId="77777777" w:rsidR="00DB6C26" w:rsidRDefault="00DB6C26" w:rsidP="00C85E55">
      <w:pPr>
        <w:pStyle w:val="Heading3"/>
      </w:pPr>
      <w:r>
        <w:rPr>
          <w:b/>
          <w:iCs/>
        </w:rPr>
        <w:br/>
      </w:r>
      <w:bookmarkStart w:id="27" w:name="_Toc37415602"/>
      <w:bookmarkStart w:id="28" w:name="_Toc37677289"/>
      <w:bookmarkStart w:id="29" w:name="_Toc37755466"/>
      <w:r w:rsidRPr="0049704B">
        <w:rPr>
          <w:b/>
          <w:szCs w:val="24"/>
        </w:rPr>
        <w:t xml:space="preserve">PGI </w:t>
      </w:r>
      <w:r w:rsidRPr="00C85E55">
        <w:rPr>
          <w:b/>
        </w:rPr>
        <w:t xml:space="preserve">207.302  </w:t>
      </w:r>
      <w:r w:rsidRPr="0049704B">
        <w:rPr>
          <w:b/>
          <w:szCs w:val="24"/>
        </w:rPr>
        <w:t>Policy.</w:t>
      </w:r>
      <w:bookmarkEnd w:id="27"/>
      <w:bookmarkEnd w:id="28"/>
      <w:bookmarkEnd w:id="29"/>
    </w:p>
    <w:p w14:paraId="35AB92E3" w14:textId="77777777" w:rsidR="00DB6C26" w:rsidRPr="00504AE2" w:rsidRDefault="00DB6C26" w:rsidP="00C85E55">
      <w:r>
        <w:rPr>
          <w:b/>
          <w:szCs w:val="24"/>
        </w:rPr>
        <w:br/>
      </w:r>
      <w:r w:rsidRPr="00504AE2">
        <w:rPr>
          <w:szCs w:val="24"/>
        </w:rPr>
        <w:t>See the memorandum from Assistant Secretary of Defense (Manpower and Reserve Affairs) dated April 21, 2016, entitled “</w:t>
      </w:r>
      <w:hyperlink r:id="rId32" w:history="1">
        <w:r w:rsidRPr="00474F0E">
          <w:rPr>
            <w:rStyle w:val="Hyperlink"/>
            <w:szCs w:val="24"/>
          </w:rPr>
          <w:t>Update on OMB Circular A-76 Public-Private Competition Prohibitions-FY 2016</w:t>
        </w:r>
      </w:hyperlink>
      <w:r w:rsidRPr="00504AE2">
        <w:rPr>
          <w:szCs w:val="24"/>
        </w:rPr>
        <w:t>,” regarding the ongoing Governmentwide moratorium and restrictions on public-private competitions.  The restrictions prohibit the conversion of any work currently performed (or designated for performance) by civilian personnel to contract performance.</w:t>
      </w:r>
    </w:p>
    <w:p w14:paraId="122ED5F3" w14:textId="77777777" w:rsidR="00DB6C26" w:rsidRDefault="00DB6C26">
      <w:pPr>
        <w:sectPr w:rsidR="00DB6C26" w:rsidSect="00B93624">
          <w:headerReference w:type="default" r:id="rId33"/>
          <w:footerReference w:type="default" r:id="rId34"/>
          <w:pgSz w:w="12240" w:h="15840"/>
          <w:pgMar w:top="1440" w:right="1440" w:bottom="1440" w:left="1440" w:header="720" w:footer="720" w:gutter="0"/>
          <w:cols w:space="720"/>
          <w:docGrid w:linePitch="360"/>
        </w:sectPr>
      </w:pPr>
    </w:p>
    <w:p w14:paraId="29D289B2" w14:textId="77777777" w:rsidR="00DB6C26" w:rsidRDefault="00DB6C26" w:rsidP="009E3969">
      <w:pPr>
        <w:jc w:val="center"/>
      </w:pPr>
      <w:r>
        <w:rPr>
          <w:i/>
          <w:szCs w:val="24"/>
        </w:rPr>
        <w:lastRenderedPageBreak/>
        <w:t>(Added July 15, 2009)</w:t>
      </w:r>
    </w:p>
    <w:p w14:paraId="0CF930E8" w14:textId="77777777" w:rsidR="00DB6C26" w:rsidRDefault="00DB6C26" w:rsidP="009E3969">
      <w:pPr>
        <w:pStyle w:val="Heading2"/>
      </w:pPr>
      <w:r>
        <w:rPr>
          <w:i/>
          <w:szCs w:val="24"/>
        </w:rPr>
        <w:br/>
      </w:r>
      <w:bookmarkStart w:id="30" w:name="_Toc37415603"/>
      <w:bookmarkStart w:id="31" w:name="_Toc37677290"/>
      <w:bookmarkStart w:id="32" w:name="_Toc37755467"/>
      <w:r w:rsidRPr="006A06D2">
        <w:rPr>
          <w:caps/>
        </w:rPr>
        <w:t>PGI 207.4—equipment lease or purchase</w:t>
      </w:r>
      <w:bookmarkEnd w:id="30"/>
      <w:bookmarkEnd w:id="31"/>
      <w:bookmarkEnd w:id="32"/>
    </w:p>
    <w:p w14:paraId="4ED5F372" w14:textId="77777777" w:rsidR="00DB6C26" w:rsidRDefault="00DB6C26" w:rsidP="009E3969">
      <w:pPr>
        <w:pStyle w:val="Heading3"/>
      </w:pPr>
      <w:r>
        <w:rPr>
          <w:b/>
          <w:caps/>
        </w:rPr>
        <w:br/>
      </w:r>
      <w:bookmarkStart w:id="33" w:name="_Toc37415604"/>
      <w:bookmarkStart w:id="34" w:name="_Toc37677291"/>
      <w:bookmarkStart w:id="35" w:name="_Toc37755468"/>
      <w:r w:rsidRPr="006A06D2">
        <w:rPr>
          <w:b/>
        </w:rPr>
        <w:t>PGI 207.470  Statutory requirements.</w:t>
      </w:r>
      <w:bookmarkEnd w:id="33"/>
      <w:bookmarkEnd w:id="34"/>
      <w:bookmarkEnd w:id="35"/>
    </w:p>
    <w:p w14:paraId="00E93AFA" w14:textId="77777777" w:rsidR="00DB6C26" w:rsidRDefault="00DB6C26" w:rsidP="009E3969">
      <w:r>
        <w:rPr>
          <w:b/>
        </w:rPr>
        <w:br/>
      </w:r>
      <w:r w:rsidRPr="006A06D2">
        <w:tab/>
        <w:t>The contracting officer should obtain additional information on the definition of “substantial termination liability” by contacting the servicing legal adviser.</w:t>
      </w:r>
    </w:p>
    <w:p w14:paraId="0E884524" w14:textId="77777777" w:rsidR="00DB6C26" w:rsidRPr="002339C6" w:rsidRDefault="00DB6C26" w:rsidP="009E3969">
      <w:pPr>
        <w:rPr>
          <w:szCs w:val="24"/>
        </w:rPr>
      </w:pPr>
      <w:r>
        <w:br/>
      </w:r>
    </w:p>
    <w:p w14:paraId="1CD13206" w14:textId="77777777" w:rsidR="00DB6C26" w:rsidRDefault="00DB6C26">
      <w:pPr>
        <w:sectPr w:rsidR="00DB6C26" w:rsidSect="002A0B28">
          <w:headerReference w:type="default" r:id="rId35"/>
          <w:footerReference w:type="default" r:id="rId36"/>
          <w:pgSz w:w="12240" w:h="15840"/>
          <w:pgMar w:top="1440" w:right="1440" w:bottom="1440" w:left="1440" w:header="720" w:footer="720" w:gutter="0"/>
          <w:cols w:space="720"/>
          <w:docGrid w:linePitch="360"/>
        </w:sectPr>
      </w:pPr>
    </w:p>
    <w:p w14:paraId="2078DB26" w14:textId="77777777" w:rsidR="00DB6C26" w:rsidRDefault="00DB6C26" w:rsidP="00B96662">
      <w:pPr>
        <w:pStyle w:val="Heading2"/>
      </w:pPr>
      <w:bookmarkStart w:id="36" w:name="_Toc37415605"/>
      <w:bookmarkStart w:id="37" w:name="_Toc37677292"/>
      <w:bookmarkStart w:id="38" w:name="_Toc37755469"/>
      <w:r w:rsidRPr="00AE0FBD">
        <w:lastRenderedPageBreak/>
        <w:t>PGI 207.5</w:t>
      </w:r>
      <w:r w:rsidRPr="00B62F45">
        <w:rPr>
          <w:szCs w:val="24"/>
        </w:rPr>
        <w:t>--</w:t>
      </w:r>
      <w:r w:rsidRPr="00AE0FBD">
        <w:t>INHERENTLY GOVERNMENTAL FUNCTIONS</w:t>
      </w:r>
      <w:bookmarkEnd w:id="36"/>
      <w:bookmarkEnd w:id="37"/>
      <w:bookmarkEnd w:id="38"/>
    </w:p>
    <w:p w14:paraId="577BFD29" w14:textId="77777777" w:rsidR="00DB6C26" w:rsidRDefault="00DB6C26" w:rsidP="00B96662">
      <w:pPr>
        <w:pStyle w:val="Heading3"/>
      </w:pPr>
      <w:r>
        <w:rPr>
          <w:b/>
        </w:rPr>
        <w:br/>
      </w:r>
      <w:bookmarkStart w:id="39" w:name="_Toc37415606"/>
      <w:bookmarkStart w:id="40" w:name="_Toc37677293"/>
      <w:bookmarkStart w:id="41" w:name="_Toc37755470"/>
      <w:r w:rsidRPr="00AE0FBD">
        <w:rPr>
          <w:b/>
        </w:rPr>
        <w:t>PGI 207.503  Policy.</w:t>
      </w:r>
      <w:bookmarkEnd w:id="39"/>
      <w:bookmarkEnd w:id="40"/>
      <w:bookmarkEnd w:id="41"/>
    </w:p>
    <w:p w14:paraId="4AABE081" w14:textId="77777777" w:rsidR="00DB6C26" w:rsidRDefault="00DB6C26" w:rsidP="00C326C9">
      <w:pPr>
        <w:pStyle w:val="dfars"/>
        <w:spacing w:line="240" w:lineRule="auto"/>
        <w:rPr>
          <w:rFonts w:ascii="Arial" w:hAnsi="Arial"/>
        </w:rPr>
      </w:pPr>
      <w:r>
        <w:rPr>
          <w:rFonts w:ascii="Arial" w:hAnsi="Arial"/>
          <w:b w:val="0"/>
        </w:rPr>
        <w:br/>
      </w:r>
      <w:r w:rsidRPr="00195214">
        <w:rPr>
          <w:rFonts w:ascii="Arial" w:hAnsi="Arial"/>
          <w:iCs/>
        </w:rPr>
        <w:t xml:space="preserve">(S-70)  </w:t>
      </w:r>
      <w:hyperlink r:id="rId37" w:history="1">
        <w:r w:rsidRPr="00195214">
          <w:rPr>
            <w:rStyle w:val="Hyperlink"/>
            <w:rFonts w:ascii="Arial" w:hAnsi="Arial"/>
            <w:iCs/>
          </w:rPr>
          <w:t>Section 804 of the National Defense Authorization Act for Fiscal Year 2005 (Public Law 108-375)</w:t>
        </w:r>
      </w:hyperlink>
      <w:r>
        <w:rPr>
          <w:rFonts w:ascii="Arial" w:hAnsi="Arial"/>
          <w:iCs/>
        </w:rPr>
        <w:t xml:space="preserve"> </w:t>
      </w:r>
      <w:r w:rsidRPr="00AE0FBD">
        <w:rPr>
          <w:rFonts w:ascii="Arial" w:hAnsi="Arial"/>
          <w:iCs/>
        </w:rPr>
        <w:t xml:space="preserve">limits contractor performance of acquisition functions closely associated with inherently Governmental functions (see related </w:t>
      </w:r>
      <w:hyperlink r:id="rId38" w:history="1">
        <w:r w:rsidRPr="00AE0FBD">
          <w:rPr>
            <w:rStyle w:val="Hyperlink"/>
            <w:rFonts w:ascii="Arial" w:hAnsi="Arial"/>
            <w:iCs/>
          </w:rPr>
          <w:t>conference language</w:t>
        </w:r>
      </w:hyperlink>
      <w:r w:rsidRPr="00AE0FBD">
        <w:rPr>
          <w:rFonts w:ascii="Arial" w:hAnsi="Arial"/>
          <w:iCs/>
        </w:rPr>
        <w:t>).</w:t>
      </w:r>
    </w:p>
    <w:p w14:paraId="3ED0857D" w14:textId="77777777" w:rsidR="00DB6C26" w:rsidRPr="002339C6" w:rsidRDefault="00DB6C26" w:rsidP="00B96662">
      <w:pPr>
        <w:rPr>
          <w:szCs w:val="24"/>
        </w:rPr>
      </w:pPr>
      <w:r>
        <w:br/>
      </w:r>
    </w:p>
    <w:p w14:paraId="609DD0F8" w14:textId="77777777" w:rsidR="00850595" w:rsidRDefault="00850595"/>
    <w:sectPr w:rsidR="00850595" w:rsidSect="00796996">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C0D65" w14:textId="77777777" w:rsidR="004C54FD" w:rsidRDefault="004C54FD">
      <w:pPr>
        <w:spacing w:after="0" w:line="240" w:lineRule="auto"/>
      </w:pPr>
      <w:r>
        <w:separator/>
      </w:r>
    </w:p>
  </w:endnote>
  <w:endnote w:type="continuationSeparator" w:id="0">
    <w:p w14:paraId="0AB0A125" w14:textId="77777777" w:rsidR="004C54FD" w:rsidRDefault="004C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4B3C" w14:textId="77777777" w:rsidR="003A45D6" w:rsidRDefault="004C54FD">
    <w:pPr>
      <w:pStyle w:val="Footer"/>
      <w:rPr>
        <w:rFonts w:ascii="Century Schoolbook" w:hAnsi="Century Schoolbook"/>
        <w:sz w:val="20"/>
      </w:rPr>
    </w:pPr>
  </w:p>
  <w:p w14:paraId="7A803B1F" w14:textId="77777777" w:rsidR="003A45D6" w:rsidRDefault="004C54FD">
    <w:pPr>
      <w:pStyle w:val="Footer"/>
      <w:tabs>
        <w:tab w:val="clear" w:pos="8640"/>
      </w:tabs>
      <w:rPr>
        <w:rFonts w:ascii="Century Schoolbook" w:hAnsi="Century Schoolbook"/>
        <w:b/>
        <w:sz w:val="20"/>
      </w:rPr>
    </w:pPr>
  </w:p>
  <w:p w14:paraId="24691DE8" w14:textId="77777777" w:rsidR="003A45D6" w:rsidRPr="00BC71C0" w:rsidRDefault="00DB6C2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07</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646D" w14:textId="77777777" w:rsidR="003A45D6" w:rsidRDefault="004C54FD">
    <w:pPr>
      <w:pStyle w:val="Footer"/>
      <w:rPr>
        <w:rFonts w:ascii="Century Schoolbook" w:hAnsi="Century Schoolbook"/>
        <w:sz w:val="20"/>
      </w:rPr>
    </w:pPr>
  </w:p>
  <w:p w14:paraId="1F3C89A8" w14:textId="77777777" w:rsidR="003A45D6" w:rsidRDefault="004C54FD">
    <w:pPr>
      <w:pStyle w:val="Footer"/>
      <w:tabs>
        <w:tab w:val="clear" w:pos="8640"/>
      </w:tabs>
      <w:rPr>
        <w:rFonts w:ascii="Century Schoolbook" w:hAnsi="Century Schoolbook"/>
        <w:b/>
        <w:sz w:val="20"/>
      </w:rPr>
    </w:pPr>
  </w:p>
  <w:p w14:paraId="7079C69F" w14:textId="77777777" w:rsidR="003A45D6" w:rsidRPr="00BC71C0" w:rsidRDefault="00DB6C2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07</w:t>
    </w:r>
    <w:r w:rsidRPr="00BC71C0">
      <w:rPr>
        <w:szCs w:val="22"/>
      </w:rPr>
      <w:t>.</w:t>
    </w:r>
    <w:r>
      <w:rPr>
        <w:szCs w:val="22"/>
      </w:rPr>
      <w:t>3</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E5F48" w14:textId="77777777" w:rsidR="00A5425F" w:rsidRDefault="004C54FD">
    <w:pPr>
      <w:pStyle w:val="Footer"/>
      <w:rPr>
        <w:rFonts w:ascii="Century Schoolbook" w:hAnsi="Century Schoolbook"/>
        <w:sz w:val="20"/>
      </w:rPr>
    </w:pPr>
  </w:p>
  <w:p w14:paraId="587A3FDF" w14:textId="77777777" w:rsidR="00A5425F" w:rsidRDefault="004C54FD">
    <w:pPr>
      <w:pStyle w:val="Footer"/>
      <w:tabs>
        <w:tab w:val="clear" w:pos="8640"/>
      </w:tabs>
      <w:rPr>
        <w:rFonts w:ascii="Century Schoolbook" w:hAnsi="Century Schoolbook"/>
        <w:b/>
        <w:sz w:val="20"/>
      </w:rPr>
    </w:pPr>
  </w:p>
  <w:p w14:paraId="64F12B72" w14:textId="77777777" w:rsidR="00A5425F" w:rsidRPr="00BC71C0" w:rsidRDefault="00DB6C2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07</w:t>
    </w:r>
    <w:r w:rsidRPr="00BC71C0">
      <w:rPr>
        <w:szCs w:val="22"/>
      </w:rPr>
      <w:t>.</w:t>
    </w:r>
    <w:r>
      <w:rPr>
        <w:szCs w:val="22"/>
      </w:rPr>
      <w:t>4</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5DAC6" w14:textId="77777777" w:rsidR="00A5425F" w:rsidRDefault="004C54FD">
    <w:pPr>
      <w:pStyle w:val="Footer"/>
      <w:rPr>
        <w:rFonts w:ascii="Century Schoolbook" w:hAnsi="Century Schoolbook"/>
        <w:sz w:val="20"/>
      </w:rPr>
    </w:pPr>
  </w:p>
  <w:p w14:paraId="7706DB82" w14:textId="77777777" w:rsidR="00A5425F" w:rsidRDefault="004C54FD">
    <w:pPr>
      <w:pStyle w:val="Footer"/>
      <w:tabs>
        <w:tab w:val="clear" w:pos="8640"/>
      </w:tabs>
      <w:rPr>
        <w:rFonts w:ascii="Century Schoolbook" w:hAnsi="Century Schoolbook"/>
        <w:b/>
        <w:sz w:val="20"/>
      </w:rPr>
    </w:pPr>
  </w:p>
  <w:p w14:paraId="5D1FF48C" w14:textId="77777777" w:rsidR="00A5425F" w:rsidRPr="00BC71C0" w:rsidRDefault="00DB6C2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07</w:t>
    </w:r>
    <w:r w:rsidRPr="00BC71C0">
      <w:rPr>
        <w:szCs w:val="22"/>
      </w:rPr>
      <w:t>.</w:t>
    </w:r>
    <w:r>
      <w:rPr>
        <w:szCs w:val="22"/>
      </w:rPr>
      <w:t>5</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61B9F" w14:textId="77777777" w:rsidR="004C54FD" w:rsidRDefault="004C54FD">
      <w:pPr>
        <w:spacing w:after="0" w:line="240" w:lineRule="auto"/>
      </w:pPr>
      <w:r>
        <w:separator/>
      </w:r>
    </w:p>
  </w:footnote>
  <w:footnote w:type="continuationSeparator" w:id="0">
    <w:p w14:paraId="6EF44FEF" w14:textId="77777777" w:rsidR="004C54FD" w:rsidRDefault="004C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6EAE9" w14:textId="77777777" w:rsidR="003A45D6" w:rsidRDefault="00DB6C26" w:rsidP="003E6AA4">
    <w:pPr>
      <w:pStyle w:val="Header"/>
      <w:tabs>
        <w:tab w:val="clear" w:pos="8640"/>
        <w:tab w:val="left" w:pos="4590"/>
      </w:tabs>
      <w:jc w:val="center"/>
      <w:rPr>
        <w:sz w:val="28"/>
        <w:szCs w:val="28"/>
      </w:rPr>
    </w:pPr>
    <w:r w:rsidRPr="002B1BC7">
      <w:rPr>
        <w:sz w:val="28"/>
        <w:szCs w:val="28"/>
      </w:rPr>
      <w:t>DFARS Procedures, Guidance, and Information</w:t>
    </w:r>
  </w:p>
  <w:p w14:paraId="57FEBD57" w14:textId="77777777" w:rsidR="003A45D6" w:rsidRPr="002B1BC7" w:rsidRDefault="004C54FD" w:rsidP="003E6AA4">
    <w:pPr>
      <w:pStyle w:val="Header"/>
      <w:tabs>
        <w:tab w:val="clear" w:pos="8640"/>
        <w:tab w:val="left" w:pos="4590"/>
      </w:tabs>
      <w:jc w:val="center"/>
      <w:rPr>
        <w:sz w:val="28"/>
        <w:szCs w:val="28"/>
      </w:rPr>
    </w:pPr>
  </w:p>
  <w:p w14:paraId="62B2A47F" w14:textId="77777777" w:rsidR="003A45D6" w:rsidRPr="00BC71C0" w:rsidRDefault="00DB6C2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07</w:t>
    </w:r>
    <w:r w:rsidRPr="00BC71C0">
      <w:rPr>
        <w:szCs w:val="24"/>
      </w:rPr>
      <w:t>—</w:t>
    </w:r>
    <w:r>
      <w:rPr>
        <w:szCs w:val="24"/>
      </w:rPr>
      <w:t>Acquisition Planning</w:t>
    </w:r>
  </w:p>
  <w:p w14:paraId="7A5D7992" w14:textId="77777777" w:rsidR="003A45D6" w:rsidRDefault="004C54FD">
    <w:pPr>
      <w:pStyle w:val="Header"/>
      <w:tabs>
        <w:tab w:val="clear" w:pos="8640"/>
        <w:tab w:val="right" w:pos="9260"/>
      </w:tabs>
      <w:spacing w:before="20" w:line="20" w:lineRule="exact"/>
      <w:rPr>
        <w:rFonts w:ascii="Geneva" w:hAnsi="Geneva"/>
        <w:b/>
        <w:position w:val="6"/>
        <w:sz w:val="18"/>
      </w:rPr>
    </w:pPr>
  </w:p>
  <w:p w14:paraId="6F0DC348" w14:textId="77777777" w:rsidR="003A45D6" w:rsidRDefault="004C54FD">
    <w:pPr>
      <w:pStyle w:val="Header"/>
      <w:tabs>
        <w:tab w:val="clear" w:pos="8640"/>
        <w:tab w:val="right" w:pos="9260"/>
      </w:tabs>
      <w:rPr>
        <w:rFonts w:ascii="Century Schoolbook" w:hAnsi="Century Schoolbook"/>
        <w:b/>
        <w:sz w:val="20"/>
      </w:rPr>
    </w:pPr>
  </w:p>
  <w:p w14:paraId="7E099B10" w14:textId="77777777" w:rsidR="003A45D6" w:rsidRDefault="004C54FD">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57766" w14:textId="77777777" w:rsidR="003A45D6" w:rsidRDefault="00DB6C26" w:rsidP="003E6AA4">
    <w:pPr>
      <w:pStyle w:val="Header"/>
      <w:tabs>
        <w:tab w:val="clear" w:pos="8640"/>
        <w:tab w:val="left" w:pos="4590"/>
      </w:tabs>
      <w:jc w:val="center"/>
      <w:rPr>
        <w:sz w:val="28"/>
        <w:szCs w:val="28"/>
      </w:rPr>
    </w:pPr>
    <w:r w:rsidRPr="002B1BC7">
      <w:rPr>
        <w:sz w:val="28"/>
        <w:szCs w:val="28"/>
      </w:rPr>
      <w:t>DFARS Procedures, Guidance, and Information</w:t>
    </w:r>
  </w:p>
  <w:p w14:paraId="24227D5E" w14:textId="77777777" w:rsidR="003A45D6" w:rsidRPr="002B1BC7" w:rsidRDefault="004C54FD" w:rsidP="003E6AA4">
    <w:pPr>
      <w:pStyle w:val="Header"/>
      <w:tabs>
        <w:tab w:val="clear" w:pos="8640"/>
        <w:tab w:val="left" w:pos="4590"/>
      </w:tabs>
      <w:jc w:val="center"/>
      <w:rPr>
        <w:sz w:val="28"/>
        <w:szCs w:val="28"/>
      </w:rPr>
    </w:pPr>
  </w:p>
  <w:p w14:paraId="5A30358C" w14:textId="77777777" w:rsidR="003A45D6" w:rsidRPr="00BC71C0" w:rsidRDefault="00DB6C2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07</w:t>
    </w:r>
    <w:r w:rsidRPr="00BC71C0">
      <w:rPr>
        <w:szCs w:val="24"/>
      </w:rPr>
      <w:t>—</w:t>
    </w:r>
    <w:r>
      <w:rPr>
        <w:szCs w:val="24"/>
      </w:rPr>
      <w:t>Acquisition Planning</w:t>
    </w:r>
  </w:p>
  <w:p w14:paraId="068310C2" w14:textId="77777777" w:rsidR="003A45D6" w:rsidRDefault="004C54FD">
    <w:pPr>
      <w:pStyle w:val="Header"/>
      <w:tabs>
        <w:tab w:val="clear" w:pos="8640"/>
        <w:tab w:val="right" w:pos="9260"/>
      </w:tabs>
      <w:spacing w:before="20" w:line="20" w:lineRule="exact"/>
      <w:rPr>
        <w:rFonts w:ascii="Geneva" w:hAnsi="Geneva"/>
        <w:b/>
        <w:position w:val="6"/>
        <w:sz w:val="18"/>
      </w:rPr>
    </w:pPr>
  </w:p>
  <w:p w14:paraId="6D268E3B" w14:textId="77777777" w:rsidR="003A45D6" w:rsidRDefault="004C54FD">
    <w:pPr>
      <w:pStyle w:val="Header"/>
      <w:tabs>
        <w:tab w:val="clear" w:pos="8640"/>
        <w:tab w:val="right" w:pos="9260"/>
      </w:tabs>
      <w:rPr>
        <w:rFonts w:ascii="Century Schoolbook" w:hAnsi="Century Schoolbook"/>
        <w:b/>
        <w:sz w:val="20"/>
      </w:rPr>
    </w:pPr>
  </w:p>
  <w:p w14:paraId="7B2B70A1" w14:textId="77777777" w:rsidR="003A45D6" w:rsidRDefault="004C54FD">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94D9E" w14:textId="77777777" w:rsidR="00A5425F" w:rsidRDefault="00DB6C26" w:rsidP="003E6AA4">
    <w:pPr>
      <w:pStyle w:val="Header"/>
      <w:tabs>
        <w:tab w:val="clear" w:pos="8640"/>
        <w:tab w:val="left" w:pos="4590"/>
      </w:tabs>
      <w:jc w:val="center"/>
      <w:rPr>
        <w:sz w:val="28"/>
        <w:szCs w:val="28"/>
      </w:rPr>
    </w:pPr>
    <w:r w:rsidRPr="002B1BC7">
      <w:rPr>
        <w:sz w:val="28"/>
        <w:szCs w:val="28"/>
      </w:rPr>
      <w:t>DFARS Procedures, Guidance, and Information</w:t>
    </w:r>
  </w:p>
  <w:p w14:paraId="45C380C3" w14:textId="77777777" w:rsidR="00A5425F" w:rsidRPr="002B1BC7" w:rsidRDefault="004C54FD" w:rsidP="003E6AA4">
    <w:pPr>
      <w:pStyle w:val="Header"/>
      <w:tabs>
        <w:tab w:val="clear" w:pos="8640"/>
        <w:tab w:val="left" w:pos="4590"/>
      </w:tabs>
      <w:jc w:val="center"/>
      <w:rPr>
        <w:sz w:val="28"/>
        <w:szCs w:val="28"/>
      </w:rPr>
    </w:pPr>
  </w:p>
  <w:p w14:paraId="782F94EC" w14:textId="77777777" w:rsidR="00A5425F" w:rsidRPr="00BC71C0" w:rsidRDefault="00DB6C2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07</w:t>
    </w:r>
    <w:r w:rsidRPr="00BC71C0">
      <w:rPr>
        <w:szCs w:val="24"/>
      </w:rPr>
      <w:t>—</w:t>
    </w:r>
    <w:r>
      <w:rPr>
        <w:szCs w:val="24"/>
      </w:rPr>
      <w:t>Acquisition Planning</w:t>
    </w:r>
  </w:p>
  <w:p w14:paraId="54712B01" w14:textId="77777777" w:rsidR="00A5425F" w:rsidRDefault="004C54FD">
    <w:pPr>
      <w:pStyle w:val="Header"/>
      <w:tabs>
        <w:tab w:val="clear" w:pos="8640"/>
        <w:tab w:val="right" w:pos="9260"/>
      </w:tabs>
      <w:spacing w:before="20" w:line="20" w:lineRule="exact"/>
      <w:rPr>
        <w:rFonts w:ascii="Geneva" w:hAnsi="Geneva"/>
        <w:b/>
        <w:position w:val="6"/>
        <w:sz w:val="18"/>
      </w:rPr>
    </w:pPr>
  </w:p>
  <w:p w14:paraId="148B9637" w14:textId="77777777" w:rsidR="00A5425F" w:rsidRDefault="004C54FD">
    <w:pPr>
      <w:pStyle w:val="Header"/>
      <w:tabs>
        <w:tab w:val="clear" w:pos="8640"/>
        <w:tab w:val="right" w:pos="9260"/>
      </w:tabs>
      <w:rPr>
        <w:rFonts w:ascii="Century Schoolbook" w:hAnsi="Century Schoolbook"/>
        <w:b/>
        <w:sz w:val="20"/>
      </w:rPr>
    </w:pPr>
  </w:p>
  <w:p w14:paraId="4A0E6F15" w14:textId="77777777" w:rsidR="00A5425F" w:rsidRDefault="004C54FD">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A3CA" w14:textId="77777777" w:rsidR="00A5425F" w:rsidRDefault="00DB6C26" w:rsidP="003E6AA4">
    <w:pPr>
      <w:pStyle w:val="Header"/>
      <w:tabs>
        <w:tab w:val="clear" w:pos="8640"/>
        <w:tab w:val="left" w:pos="4590"/>
      </w:tabs>
      <w:jc w:val="center"/>
      <w:rPr>
        <w:sz w:val="28"/>
        <w:szCs w:val="28"/>
      </w:rPr>
    </w:pPr>
    <w:r w:rsidRPr="002B1BC7">
      <w:rPr>
        <w:sz w:val="28"/>
        <w:szCs w:val="28"/>
      </w:rPr>
      <w:t>DFARS Procedures, Guidance, and Information</w:t>
    </w:r>
  </w:p>
  <w:p w14:paraId="65025C97" w14:textId="77777777" w:rsidR="00A5425F" w:rsidRPr="002B1BC7" w:rsidRDefault="004C54FD" w:rsidP="003E6AA4">
    <w:pPr>
      <w:pStyle w:val="Header"/>
      <w:tabs>
        <w:tab w:val="clear" w:pos="8640"/>
        <w:tab w:val="left" w:pos="4590"/>
      </w:tabs>
      <w:jc w:val="center"/>
      <w:rPr>
        <w:sz w:val="28"/>
        <w:szCs w:val="28"/>
      </w:rPr>
    </w:pPr>
  </w:p>
  <w:p w14:paraId="26A6EF63" w14:textId="77777777" w:rsidR="00A5425F" w:rsidRPr="00BC71C0" w:rsidRDefault="00DB6C2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07</w:t>
    </w:r>
    <w:r w:rsidRPr="00BC71C0">
      <w:rPr>
        <w:szCs w:val="24"/>
      </w:rPr>
      <w:t>—</w:t>
    </w:r>
    <w:r>
      <w:rPr>
        <w:szCs w:val="24"/>
      </w:rPr>
      <w:t>Acquisition Planning</w:t>
    </w:r>
  </w:p>
  <w:p w14:paraId="6D3A7D55" w14:textId="77777777" w:rsidR="00A5425F" w:rsidRDefault="004C54FD">
    <w:pPr>
      <w:pStyle w:val="Header"/>
      <w:tabs>
        <w:tab w:val="clear" w:pos="8640"/>
        <w:tab w:val="right" w:pos="9260"/>
      </w:tabs>
      <w:spacing w:before="20" w:line="20" w:lineRule="exact"/>
      <w:rPr>
        <w:rFonts w:ascii="Geneva" w:hAnsi="Geneva"/>
        <w:b/>
        <w:position w:val="6"/>
        <w:sz w:val="18"/>
      </w:rPr>
    </w:pPr>
  </w:p>
  <w:p w14:paraId="77E713F2" w14:textId="77777777" w:rsidR="00A5425F" w:rsidRDefault="004C54FD">
    <w:pPr>
      <w:pStyle w:val="Header"/>
      <w:tabs>
        <w:tab w:val="clear" w:pos="8640"/>
        <w:tab w:val="right" w:pos="9260"/>
      </w:tabs>
      <w:rPr>
        <w:rFonts w:ascii="Century Schoolbook" w:hAnsi="Century Schoolbook"/>
        <w:b/>
        <w:sz w:val="20"/>
      </w:rPr>
    </w:pPr>
  </w:p>
  <w:p w14:paraId="76F524AB" w14:textId="77777777" w:rsidR="00A5425F" w:rsidRDefault="004C54FD">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6"/>
    <w:rsid w:val="00181118"/>
    <w:rsid w:val="004C54FD"/>
    <w:rsid w:val="00505901"/>
    <w:rsid w:val="007752B5"/>
    <w:rsid w:val="007D6208"/>
    <w:rsid w:val="00850595"/>
    <w:rsid w:val="008A50E0"/>
    <w:rsid w:val="00B8095C"/>
    <w:rsid w:val="00BF48DE"/>
    <w:rsid w:val="00DB05B4"/>
    <w:rsid w:val="00DB6C26"/>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BCF5"/>
  <w15:chartTrackingRefBased/>
  <w15:docId w15:val="{CCE093AA-B846-4016-A207-AE7A9C7D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DB6C26"/>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DB6C26"/>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DB6C26"/>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DB6C26"/>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C26"/>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DB6C26"/>
    <w:rPr>
      <w:rFonts w:ascii="Arial" w:eastAsiaTheme="majorEastAsia" w:hAnsi="Arial" w:cs="Arial"/>
      <w:b/>
      <w:sz w:val="28"/>
      <w:szCs w:val="26"/>
    </w:rPr>
  </w:style>
  <w:style w:type="character" w:customStyle="1" w:styleId="Heading3Char">
    <w:name w:val="Heading 3 Char"/>
    <w:basedOn w:val="DefaultParagraphFont"/>
    <w:link w:val="Heading3"/>
    <w:rsid w:val="00DB6C26"/>
    <w:rPr>
      <w:rFonts w:ascii="Arial" w:eastAsia="Times New Roman" w:hAnsi="Arial" w:cs="Arial"/>
      <w:szCs w:val="20"/>
    </w:rPr>
  </w:style>
  <w:style w:type="character" w:customStyle="1" w:styleId="Heading4Char">
    <w:name w:val="Heading 4 Char"/>
    <w:basedOn w:val="DefaultParagraphFont"/>
    <w:link w:val="Heading4"/>
    <w:rsid w:val="00DB6C26"/>
    <w:rPr>
      <w:rFonts w:ascii="Arial" w:eastAsia="Times New Roman" w:hAnsi="Arial" w:cs="Arial"/>
      <w:szCs w:val="20"/>
    </w:rPr>
  </w:style>
  <w:style w:type="paragraph" w:styleId="Footer">
    <w:name w:val="footer"/>
    <w:basedOn w:val="Normal"/>
    <w:link w:val="FooterChar"/>
    <w:rsid w:val="00DB6C26"/>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DB6C26"/>
    <w:rPr>
      <w:rFonts w:ascii="Arial" w:eastAsia="Times New Roman" w:hAnsi="Arial" w:cs="Arial"/>
      <w:szCs w:val="20"/>
    </w:rPr>
  </w:style>
  <w:style w:type="paragraph" w:styleId="Header">
    <w:name w:val="header"/>
    <w:basedOn w:val="Normal"/>
    <w:link w:val="HeaderChar"/>
    <w:rsid w:val="00DB6C26"/>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DB6C26"/>
    <w:rPr>
      <w:rFonts w:ascii="Arial" w:eastAsia="Times New Roman" w:hAnsi="Arial" w:cs="Arial"/>
      <w:szCs w:val="20"/>
    </w:rPr>
  </w:style>
  <w:style w:type="character" w:styleId="Hyperlink">
    <w:name w:val="Hyperlink"/>
    <w:uiPriority w:val="99"/>
    <w:rsid w:val="00DB6C26"/>
    <w:rPr>
      <w:color w:val="0000FF"/>
      <w:u w:val="single"/>
    </w:rPr>
  </w:style>
  <w:style w:type="paragraph" w:customStyle="1" w:styleId="List1">
    <w:name w:val="List 1"/>
    <w:link w:val="List1Char"/>
    <w:rsid w:val="00DB6C26"/>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DB6C26"/>
    <w:rPr>
      <w:rFonts w:ascii="Arial" w:eastAsia="Times New Roman" w:hAnsi="Arial" w:cs="Arial"/>
      <w:szCs w:val="24"/>
    </w:rPr>
  </w:style>
  <w:style w:type="paragraph" w:styleId="List2">
    <w:name w:val="List 2"/>
    <w:semiHidden/>
    <w:unhideWhenUsed/>
    <w:rsid w:val="00DB6C26"/>
    <w:pPr>
      <w:spacing w:after="0" w:line="240" w:lineRule="auto"/>
      <w:ind w:left="720" w:hanging="360"/>
      <w:contextualSpacing/>
    </w:pPr>
    <w:rPr>
      <w:rFonts w:ascii="Arial" w:eastAsia="Times New Roman" w:hAnsi="Arial" w:cs="Arial"/>
      <w:szCs w:val="20"/>
    </w:rPr>
  </w:style>
  <w:style w:type="paragraph" w:styleId="List3">
    <w:name w:val="List 3"/>
    <w:semiHidden/>
    <w:unhideWhenUsed/>
    <w:rsid w:val="00DB6C26"/>
    <w:pPr>
      <w:spacing w:after="0" w:line="240" w:lineRule="auto"/>
      <w:ind w:left="1080" w:hanging="360"/>
      <w:contextualSpacing/>
    </w:pPr>
    <w:rPr>
      <w:rFonts w:ascii="Arial" w:eastAsia="Times New Roman" w:hAnsi="Arial" w:cs="Arial"/>
      <w:szCs w:val="20"/>
    </w:rPr>
  </w:style>
  <w:style w:type="paragraph" w:styleId="List4">
    <w:name w:val="List 4"/>
    <w:rsid w:val="00DB6C26"/>
    <w:pPr>
      <w:spacing w:after="0" w:line="240" w:lineRule="auto"/>
      <w:ind w:left="1440" w:hanging="360"/>
      <w:contextualSpacing/>
    </w:pPr>
    <w:rPr>
      <w:rFonts w:ascii="Arial" w:eastAsia="Times New Roman" w:hAnsi="Arial" w:cs="Arial"/>
      <w:szCs w:val="20"/>
    </w:rPr>
  </w:style>
  <w:style w:type="paragraph" w:styleId="List5">
    <w:name w:val="List 5"/>
    <w:basedOn w:val="Normal"/>
    <w:link w:val="List5Char"/>
    <w:rsid w:val="00DB6C26"/>
    <w:pPr>
      <w:tabs>
        <w:tab w:val="left" w:pos="1000"/>
      </w:tabs>
      <w:spacing w:before="120" w:after="100" w:afterAutospacing="1" w:line="240" w:lineRule="auto"/>
      <w:ind w:left="1800" w:hanging="360"/>
      <w:contextualSpacing/>
    </w:pPr>
    <w:rPr>
      <w:rFonts w:eastAsia="Times New Roman"/>
      <w:szCs w:val="20"/>
    </w:rPr>
  </w:style>
  <w:style w:type="paragraph" w:customStyle="1" w:styleId="List6">
    <w:name w:val="List 6"/>
    <w:basedOn w:val="List2"/>
    <w:link w:val="List6Char"/>
    <w:rsid w:val="00DB6C26"/>
    <w:pPr>
      <w:spacing w:after="160" w:line="259" w:lineRule="auto"/>
      <w:ind w:firstLine="0"/>
    </w:pPr>
    <w:rPr>
      <w:szCs w:val="24"/>
    </w:rPr>
  </w:style>
  <w:style w:type="character" w:customStyle="1" w:styleId="List5Char">
    <w:name w:val="List 5 Char"/>
    <w:basedOn w:val="DefaultParagraphFont"/>
    <w:link w:val="List5"/>
    <w:rsid w:val="00DB6C26"/>
    <w:rPr>
      <w:rFonts w:ascii="Arial" w:eastAsia="Times New Roman" w:hAnsi="Arial" w:cs="Arial"/>
      <w:szCs w:val="20"/>
    </w:rPr>
  </w:style>
  <w:style w:type="character" w:customStyle="1" w:styleId="List6Char">
    <w:name w:val="List 6 Char"/>
    <w:basedOn w:val="List5Char"/>
    <w:link w:val="List6"/>
    <w:rsid w:val="00DB6C26"/>
    <w:rPr>
      <w:rFonts w:ascii="Arial" w:eastAsia="Times New Roman" w:hAnsi="Arial" w:cs="Arial"/>
      <w:szCs w:val="24"/>
    </w:rPr>
  </w:style>
  <w:style w:type="paragraph" w:customStyle="1" w:styleId="List7">
    <w:name w:val="List 7"/>
    <w:basedOn w:val="List2"/>
    <w:link w:val="List7Char"/>
    <w:rsid w:val="00DB6C26"/>
    <w:pPr>
      <w:ind w:left="2880" w:firstLine="0"/>
    </w:pPr>
    <w:rPr>
      <w:szCs w:val="24"/>
    </w:rPr>
  </w:style>
  <w:style w:type="character" w:customStyle="1" w:styleId="List7Char">
    <w:name w:val="List 7 Char"/>
    <w:basedOn w:val="List6Char"/>
    <w:link w:val="List7"/>
    <w:rsid w:val="00DB6C26"/>
    <w:rPr>
      <w:rFonts w:ascii="Arial" w:eastAsia="Times New Roman" w:hAnsi="Arial" w:cs="Arial"/>
      <w:szCs w:val="24"/>
    </w:rPr>
  </w:style>
  <w:style w:type="paragraph" w:customStyle="1" w:styleId="dfars">
    <w:name w:val="dfars"/>
    <w:basedOn w:val="Normal"/>
    <w:rsid w:val="00DB6C26"/>
    <w:pPr>
      <w:spacing w:before="100" w:beforeAutospacing="1" w:after="100" w:afterAutospacing="1" w:line="240" w:lineRule="atLeast"/>
    </w:pPr>
    <w:rPr>
      <w:rFonts w:ascii="Century Schoolbook" w:eastAsia="Times New Roman" w:hAnsi="Century Schoolbook"/>
      <w:b/>
      <w:spacing w:val="-5"/>
      <w:szCs w:val="24"/>
    </w:rPr>
  </w:style>
  <w:style w:type="paragraph" w:styleId="TOC1">
    <w:name w:val="toc 1"/>
    <w:basedOn w:val="Normal"/>
    <w:next w:val="Normal"/>
    <w:autoRedefine/>
    <w:uiPriority w:val="39"/>
    <w:unhideWhenUsed/>
    <w:rsid w:val="00DB6C26"/>
    <w:pPr>
      <w:spacing w:after="100"/>
    </w:pPr>
  </w:style>
  <w:style w:type="paragraph" w:styleId="TOC2">
    <w:name w:val="toc 2"/>
    <w:basedOn w:val="Normal"/>
    <w:next w:val="Normal"/>
    <w:autoRedefine/>
    <w:uiPriority w:val="39"/>
    <w:unhideWhenUsed/>
    <w:rsid w:val="00DB6C26"/>
    <w:pPr>
      <w:spacing w:after="100"/>
      <w:ind w:left="220"/>
    </w:pPr>
  </w:style>
  <w:style w:type="paragraph" w:styleId="TOC3">
    <w:name w:val="toc 3"/>
    <w:basedOn w:val="Normal"/>
    <w:next w:val="Normal"/>
    <w:autoRedefine/>
    <w:uiPriority w:val="39"/>
    <w:unhideWhenUsed/>
    <w:rsid w:val="00DB6C26"/>
    <w:pPr>
      <w:spacing w:after="100"/>
      <w:ind w:left="440"/>
    </w:pPr>
  </w:style>
  <w:style w:type="paragraph" w:styleId="TOC4">
    <w:name w:val="toc 4"/>
    <w:basedOn w:val="Normal"/>
    <w:next w:val="Normal"/>
    <w:autoRedefine/>
    <w:uiPriority w:val="39"/>
    <w:unhideWhenUsed/>
    <w:rsid w:val="00DB6C26"/>
    <w:pPr>
      <w:spacing w:after="100"/>
      <w:ind w:left="660"/>
    </w:pPr>
  </w:style>
  <w:style w:type="paragraph" w:styleId="TOC5">
    <w:name w:val="toc 5"/>
    <w:basedOn w:val="Normal"/>
    <w:next w:val="Normal"/>
    <w:autoRedefine/>
    <w:uiPriority w:val="39"/>
    <w:semiHidden/>
    <w:unhideWhenUsed/>
    <w:rsid w:val="00DB6C26"/>
    <w:pPr>
      <w:spacing w:after="100"/>
      <w:ind w:left="880"/>
    </w:pPr>
  </w:style>
  <w:style w:type="paragraph" w:styleId="TOC6">
    <w:name w:val="toc 6"/>
    <w:basedOn w:val="Normal"/>
    <w:next w:val="Normal"/>
    <w:autoRedefine/>
    <w:uiPriority w:val="39"/>
    <w:semiHidden/>
    <w:unhideWhenUsed/>
    <w:rsid w:val="00DB6C26"/>
    <w:pPr>
      <w:spacing w:after="100"/>
      <w:ind w:left="1100"/>
    </w:pPr>
  </w:style>
  <w:style w:type="paragraph" w:styleId="TOC7">
    <w:name w:val="toc 7"/>
    <w:basedOn w:val="Normal"/>
    <w:next w:val="Normal"/>
    <w:autoRedefine/>
    <w:uiPriority w:val="39"/>
    <w:semiHidden/>
    <w:unhideWhenUsed/>
    <w:rsid w:val="00DB6C26"/>
    <w:pPr>
      <w:spacing w:after="100"/>
      <w:ind w:left="1320"/>
    </w:pPr>
  </w:style>
  <w:style w:type="paragraph" w:styleId="TOC8">
    <w:name w:val="toc 8"/>
    <w:basedOn w:val="Normal"/>
    <w:next w:val="Normal"/>
    <w:autoRedefine/>
    <w:uiPriority w:val="39"/>
    <w:semiHidden/>
    <w:unhideWhenUsed/>
    <w:rsid w:val="00DB6C26"/>
    <w:pPr>
      <w:spacing w:after="100"/>
      <w:ind w:left="1540"/>
    </w:pPr>
  </w:style>
  <w:style w:type="paragraph" w:styleId="TOC9">
    <w:name w:val="toc 9"/>
    <w:basedOn w:val="Normal"/>
    <w:next w:val="Normal"/>
    <w:autoRedefine/>
    <w:uiPriority w:val="39"/>
    <w:semiHidden/>
    <w:unhideWhenUsed/>
    <w:rsid w:val="00DB6C2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ilityone.gov/procurement_list/index.html" TargetMode="External"/><Relationship Id="rId13" Type="http://schemas.openxmlformats.org/officeDocument/2006/relationships/hyperlink" Target="https://www.acq.osd.mil/dpap/dars/dfars/html/current/222_72.htm" TargetMode="External"/><Relationship Id="rId18" Type="http://schemas.openxmlformats.org/officeDocument/2006/relationships/hyperlink" Target="https://www.acq.osd.mil/dpap/dars/dfars/html/current/225_3.htm" TargetMode="External"/><Relationship Id="rId26" Type="http://schemas.openxmlformats.org/officeDocument/2006/relationships/hyperlink" Target="https://www.acq.osd.mil/dpap/dars/dfars/html/current/212_2.htm" TargetMode="External"/><Relationship Id="rId39"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hyperlink" Target="http://www.acq.osd.mil/dpap/pacc/cc/areas_of_responsibility.html" TargetMode="External"/><Relationship Id="rId34" Type="http://schemas.openxmlformats.org/officeDocument/2006/relationships/footer" Target="footer2.xml"/><Relationship Id="rId42" Type="http://schemas.openxmlformats.org/officeDocument/2006/relationships/theme" Target="theme/theme1.xml"/><Relationship Id="rId7" Type="http://schemas.openxmlformats.org/officeDocument/2006/relationships/hyperlink" Target="https://www.acq.osd.mil/dpap/dars/dfars/html/current/208_7.htm" TargetMode="External"/><Relationship Id="rId12" Type="http://schemas.openxmlformats.org/officeDocument/2006/relationships/hyperlink" Target="https://www.acq.osd.mil/dpap/dars/dfars/html/current/222_71.htm" TargetMode="External"/><Relationship Id="rId17" Type="http://schemas.openxmlformats.org/officeDocument/2006/relationships/hyperlink" Target="https://www.acq.osd.mil/dpap/dars/dfars/html/current/225_3.htm" TargetMode="External"/><Relationship Id="rId25" Type="http://schemas.openxmlformats.org/officeDocument/2006/relationships/hyperlink" Target="https://www.acq.osd.mil/dpap/dars/pgi/pgi_htm/PGI222_17.htm" TargetMode="External"/><Relationship Id="rId33" Type="http://schemas.openxmlformats.org/officeDocument/2006/relationships/header" Target="header2.xml"/><Relationship Id="rId38" Type="http://schemas.openxmlformats.org/officeDocument/2006/relationships/hyperlink" Target="file:///D:\DFARS\pgi_doc\conference%20language.doc" TargetMode="External"/><Relationship Id="rId2" Type="http://schemas.openxmlformats.org/officeDocument/2006/relationships/settings" Target="settings.xml"/><Relationship Id="rId16" Type="http://schemas.openxmlformats.org/officeDocument/2006/relationships/hyperlink" Target="https://www.acq.osd.mil/dpap/dars/dfars/html/current/234_70.htm" TargetMode="External"/><Relationship Id="rId20" Type="http://schemas.openxmlformats.org/officeDocument/2006/relationships/hyperlink" Target="https://www.acq.osd.mil/dpap/dars/dfars/html/current/225_3.htm" TargetMode="External"/><Relationship Id="rId29" Type="http://schemas.openxmlformats.org/officeDocument/2006/relationships/hyperlink" Target="https://www.acq.osd.mil/dpap/dars/dfars/html/current/207_1.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cq.osd.mil/dpap/dars/dfars/html/current/207_1.htm" TargetMode="External"/><Relationship Id="rId11" Type="http://schemas.openxmlformats.org/officeDocument/2006/relationships/hyperlink" Target="https://www.acq.osd.mil/dpap/dars/pgi/docs/2019-D003_TAB_G_Policy_Memo_013119_10_USC_sec_2443.pdf" TargetMode="External"/><Relationship Id="rId24" Type="http://schemas.openxmlformats.org/officeDocument/2006/relationships/hyperlink" Target="http://www.acq.osd.mil/log/PS/ctr_mgt_accountability.html" TargetMode="External"/><Relationship Id="rId32" Type="http://schemas.openxmlformats.org/officeDocument/2006/relationships/hyperlink" Target="http://www.acq.osd.mil/dpap/dars/pgi/docs/Update_on_OMB_Circular_A-76_Public-Private_Competition_Prohibitions-FY2016.pdf" TargetMode="External"/><Relationship Id="rId37" Type="http://schemas.openxmlformats.org/officeDocument/2006/relationships/hyperlink" Target="http://thomas.loc.gov/cgi-bin/query/F?c108:7:./temp/~c108prsr7W:e644616:" TargetMode="External"/><Relationship Id="rId40"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hyperlink" Target="https://www.acq.osd.mil/dpap/dars/dfars/html/current/223_8.htm" TargetMode="External"/><Relationship Id="rId23" Type="http://schemas.openxmlformats.org/officeDocument/2006/relationships/hyperlink" Target="https://www.acq.osd.mil/dpap/dars/dfars/html/current/225_3.htm" TargetMode="External"/><Relationship Id="rId28" Type="http://schemas.openxmlformats.org/officeDocument/2006/relationships/hyperlink" Target="https://www.acq.osd.mil/dpap/dars/pgi/pgi_htm/PGI225_78.htm" TargetMode="External"/><Relationship Id="rId36" Type="http://schemas.openxmlformats.org/officeDocument/2006/relationships/footer" Target="footer3.xml"/><Relationship Id="rId10" Type="http://schemas.openxmlformats.org/officeDocument/2006/relationships/hyperlink" Target="https://www.acq.osd.mil/dpap/dars/pgi/pgi_htm/current/PGI245_1.htm" TargetMode="External"/><Relationship Id="rId19" Type="http://schemas.openxmlformats.org/officeDocument/2006/relationships/hyperlink" Target="https://www.acq.osd.mil/dpap/dars/dfars/html/current/225_3.htm"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acq.osd.mil/dpap/dars/dfars/html/current/215_1.htm" TargetMode="External"/><Relationship Id="rId14" Type="http://schemas.openxmlformats.org/officeDocument/2006/relationships/hyperlink" Target="https://www.acq.osd.mil/dpap/dars/dfars/html/current/207_1.htm" TargetMode="External"/><Relationship Id="rId22" Type="http://schemas.openxmlformats.org/officeDocument/2006/relationships/hyperlink" Target="https://www.acq.osd.mil/dpap/dars/dfars/html/current/252225.htm" TargetMode="External"/><Relationship Id="rId27" Type="http://schemas.openxmlformats.org/officeDocument/2006/relationships/hyperlink" Target="https://www.acq.osd.mil/dpap/dars/pgi/pgi_htm/PGI225_78.htm" TargetMode="External"/><Relationship Id="rId30" Type="http://schemas.openxmlformats.org/officeDocument/2006/relationships/header" Target="header1.xm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4101</Words>
  <Characters>23379</Characters>
  <Application>Microsoft Office Word</Application>
  <DocSecurity>0</DocSecurity>
  <Lines>194</Lines>
  <Paragraphs>54</Paragraphs>
  <ScaleCrop>false</ScaleCrop>
  <Company/>
  <LinksUpToDate>false</LinksUpToDate>
  <CharactersWithSpaces>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2020-04-10T16:52:00Z</dcterms:created>
  <dcterms:modified xsi:type="dcterms:W3CDTF">2020-04-14T15:17:00Z</dcterms:modified>
</cp:coreProperties>
</file>