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71038" w14:textId="77777777" w:rsidR="00DD039C" w:rsidRDefault="00DD039C">
      <w:pPr>
        <w:sectPr w:rsidR="00DD039C">
          <w:pgSz w:w="12240" w:h="15840"/>
          <w:pgMar w:top="1440" w:right="1440" w:bottom="1440" w:left="1440" w:header="720" w:footer="720" w:gutter="0"/>
          <w:cols w:space="720"/>
          <w:docGrid w:linePitch="360"/>
        </w:sectPr>
      </w:pPr>
    </w:p>
    <w:p w14:paraId="2735F9CE" w14:textId="77777777" w:rsidR="00DD039C" w:rsidRDefault="00DD039C" w:rsidP="009B0C7A">
      <w:pPr>
        <w:pStyle w:val="Heading1"/>
      </w:pPr>
      <w:bookmarkStart w:id="0" w:name="_Toc37677354"/>
      <w:bookmarkStart w:id="1" w:name="_Toc37755549"/>
      <w:r w:rsidRPr="007B495C">
        <w:lastRenderedPageBreak/>
        <w:t>PART 2</w:t>
      </w:r>
      <w:r>
        <w:t>10</w:t>
      </w:r>
      <w:r w:rsidRPr="007B495C">
        <w:t xml:space="preserve"> - </w:t>
      </w:r>
      <w:r>
        <w:br/>
      </w:r>
      <w:r w:rsidRPr="00046E95">
        <w:t>MARKET RESEARCH</w:t>
      </w:r>
      <w:bookmarkEnd w:id="0"/>
      <w:bookmarkEnd w:id="1"/>
    </w:p>
    <w:p w14:paraId="5CBD15EC" w14:textId="77777777" w:rsidR="00DD039C" w:rsidRDefault="00DD039C">
      <w:r>
        <w:br w:type="page"/>
      </w:r>
      <w:r>
        <w:lastRenderedPageBreak/>
        <w:br/>
      </w:r>
    </w:p>
    <w:p w14:paraId="5CFEE084" w14:textId="77777777" w:rsidR="00952A82" w:rsidRPr="00E31CAF" w:rsidRDefault="00952A82" w:rsidP="00E31CAF">
      <w:pPr>
        <w:jc w:val="center"/>
        <w:rPr>
          <w:b/>
        </w:rPr>
      </w:pPr>
      <w:r w:rsidRPr="00E31CAF">
        <w:rPr>
          <w:b/>
        </w:rPr>
        <w:t>Table of Contents</w:t>
      </w:r>
    </w:p>
    <w:p w14:paraId="6727C663" w14:textId="3B27617E" w:rsidR="00004EA9" w:rsidRDefault="00004EA9" w:rsidP="00004EA9">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549" w:history="1">
        <w:r w:rsidRPr="00852FA0">
          <w:rPr>
            <w:rStyle w:val="Hyperlink"/>
            <w:noProof/>
          </w:rPr>
          <w:t>PART 210 -  MARKET RESEARCH</w:t>
        </w:r>
      </w:hyperlink>
    </w:p>
    <w:p w14:paraId="7BF2BF12" w14:textId="1000C4AF" w:rsidR="00004EA9" w:rsidRDefault="00004EA9" w:rsidP="00004EA9">
      <w:pPr>
        <w:pStyle w:val="TOC3"/>
        <w:tabs>
          <w:tab w:val="right" w:leader="dot" w:pos="9350"/>
        </w:tabs>
        <w:rPr>
          <w:rFonts w:asciiTheme="minorHAnsi" w:eastAsiaTheme="minorEastAsia" w:hAnsiTheme="minorHAnsi" w:cstheme="minorBidi"/>
          <w:noProof/>
        </w:rPr>
      </w:pPr>
      <w:hyperlink w:anchor="_Toc37755550" w:history="1">
        <w:r w:rsidRPr="00852FA0">
          <w:rPr>
            <w:rStyle w:val="Hyperlink"/>
            <w:noProof/>
          </w:rPr>
          <w:t>PGI 210.002  Procedures.</w:t>
        </w:r>
      </w:hyperlink>
    </w:p>
    <w:p w14:paraId="2A990017" w14:textId="1CAEC166" w:rsidR="00004EA9" w:rsidRDefault="00004EA9" w:rsidP="00004EA9">
      <w:pPr>
        <w:pStyle w:val="TOC3"/>
        <w:tabs>
          <w:tab w:val="right" w:leader="dot" w:pos="9350"/>
        </w:tabs>
        <w:rPr>
          <w:rFonts w:asciiTheme="minorHAnsi" w:eastAsiaTheme="minorEastAsia" w:hAnsiTheme="minorHAnsi" w:cstheme="minorBidi"/>
          <w:noProof/>
        </w:rPr>
      </w:pPr>
      <w:hyperlink w:anchor="_Toc37755551" w:history="1">
        <w:r w:rsidRPr="00852FA0">
          <w:rPr>
            <w:rStyle w:val="Hyperlink"/>
            <w:noProof/>
          </w:rPr>
          <w:t>PGI 210.070  Market research report guide for improving the tradecraft in services acquisition.</w:t>
        </w:r>
      </w:hyperlink>
    </w:p>
    <w:p w14:paraId="77FF70D2" w14:textId="4AA53138" w:rsidR="00DD039C" w:rsidRPr="00DD039C" w:rsidRDefault="00004EA9" w:rsidP="00DD039C">
      <w:r>
        <w:rPr>
          <w:rStyle w:val="Hyperlink"/>
          <w:noProof/>
        </w:rPr>
        <w:fldChar w:fldCharType="end"/>
      </w:r>
    </w:p>
    <w:p w14:paraId="1D981D2F" w14:textId="77777777" w:rsidR="00DD039C" w:rsidRDefault="00DD039C" w:rsidP="00FA79B2">
      <w:pPr>
        <w:tabs>
          <w:tab w:val="bar" w:pos="10080"/>
        </w:tabs>
        <w:jc w:val="center"/>
        <w:rPr>
          <w:b/>
          <w:i/>
          <w:szCs w:val="24"/>
        </w:rPr>
      </w:pPr>
      <w:r>
        <w:rPr>
          <w:i/>
          <w:szCs w:val="24"/>
        </w:rPr>
        <w:t>(Revised September 23, 2016)</w:t>
      </w:r>
    </w:p>
    <w:p w14:paraId="6FA4460C" w14:textId="77777777" w:rsidR="00DD039C" w:rsidRDefault="00DD039C" w:rsidP="00FA79B2">
      <w:pPr>
        <w:pStyle w:val="Heading3"/>
      </w:pPr>
      <w:r>
        <w:rPr>
          <w:b/>
          <w:i/>
          <w:szCs w:val="24"/>
        </w:rPr>
        <w:br/>
      </w:r>
      <w:bookmarkStart w:id="2" w:name="_Toc37415637"/>
      <w:bookmarkStart w:id="3" w:name="_Toc37677355"/>
      <w:bookmarkStart w:id="4" w:name="_Toc37755550"/>
      <w:r>
        <w:rPr>
          <w:szCs w:val="24"/>
        </w:rPr>
        <w:t xml:space="preserve">PGI </w:t>
      </w:r>
      <w:proofErr w:type="gramStart"/>
      <w:r>
        <w:rPr>
          <w:szCs w:val="24"/>
        </w:rPr>
        <w:t>210.002  Procedures</w:t>
      </w:r>
      <w:proofErr w:type="gramEnd"/>
      <w:r>
        <w:rPr>
          <w:szCs w:val="24"/>
        </w:rPr>
        <w:t>.</w:t>
      </w:r>
      <w:bookmarkEnd w:id="2"/>
      <w:bookmarkEnd w:id="3"/>
      <w:bookmarkEnd w:id="4"/>
    </w:p>
    <w:p w14:paraId="0C20407C" w14:textId="77777777" w:rsidR="00DD039C" w:rsidRDefault="00DD039C" w:rsidP="00FA79B2">
      <w:pPr>
        <w:pStyle w:val="List1"/>
      </w:pPr>
      <w:r>
        <w:br/>
      </w:r>
      <w:r w:rsidRPr="00EB78FE">
        <w:t xml:space="preserve">(e)(ii)  Contracting officers are encouraged to retain information on potential offerors that express an interest in an acquisition, in order to solicit feedback in instances when only one offer is received on a competitive solicitation (see </w:t>
      </w:r>
      <w:hyperlink r:id="rId6" w:anchor="215.371-2" w:history="1">
        <w:r w:rsidRPr="00EB78FE">
          <w:rPr>
            <w:rStyle w:val="Hyperlink"/>
          </w:rPr>
          <w:t>PGI 215.371-2</w:t>
        </w:r>
      </w:hyperlink>
      <w:r w:rsidRPr="00EB78FE">
        <w:t>).</w:t>
      </w:r>
    </w:p>
    <w:p w14:paraId="4C568DEB" w14:textId="77777777" w:rsidR="00DD039C" w:rsidRDefault="00DD039C" w:rsidP="00FA79B2">
      <w:pPr>
        <w:pStyle w:val="List3"/>
        <w:rPr>
          <w:b/>
        </w:rPr>
      </w:pPr>
      <w:r>
        <w:rPr>
          <w:szCs w:val="24"/>
        </w:rPr>
        <w:br/>
        <w:t xml:space="preserve">(iii)  </w:t>
      </w:r>
      <w:r w:rsidRPr="00EB78FE">
        <w:rPr>
          <w:szCs w:val="24"/>
        </w:rPr>
        <w:t>Contracting officers should ensure that the contract file includes—</w:t>
      </w:r>
    </w:p>
    <w:p w14:paraId="2F8F450B" w14:textId="77777777" w:rsidR="00DD039C" w:rsidRDefault="00DD039C" w:rsidP="00FA79B2">
      <w:pPr>
        <w:pStyle w:val="List4"/>
        <w:rPr>
          <w:b/>
        </w:rPr>
      </w:pPr>
      <w:r>
        <w:rPr>
          <w:b/>
        </w:rPr>
        <w:br/>
      </w:r>
      <w:r w:rsidRPr="00EB78FE">
        <w:t xml:space="preserve">(A)  The methods used to conduct market </w:t>
      </w:r>
      <w:proofErr w:type="gramStart"/>
      <w:r w:rsidRPr="00EB78FE">
        <w:t>research;</w:t>
      </w:r>
      <w:proofErr w:type="gramEnd"/>
    </w:p>
    <w:p w14:paraId="26587437" w14:textId="77777777" w:rsidR="00DD039C" w:rsidRDefault="00DD039C" w:rsidP="00FA79B2">
      <w:pPr>
        <w:pStyle w:val="List4"/>
        <w:rPr>
          <w:b/>
        </w:rPr>
      </w:pPr>
      <w:r>
        <w:rPr>
          <w:b/>
          <w:szCs w:val="24"/>
        </w:rPr>
        <w:br/>
      </w:r>
      <w:r w:rsidRPr="00EB78FE">
        <w:rPr>
          <w:szCs w:val="24"/>
        </w:rPr>
        <w:t xml:space="preserve">(B)  The timeframe in which market research was </w:t>
      </w:r>
      <w:proofErr w:type="gramStart"/>
      <w:r w:rsidRPr="00EB78FE">
        <w:rPr>
          <w:szCs w:val="24"/>
        </w:rPr>
        <w:t>conducted;</w:t>
      </w:r>
      <w:proofErr w:type="gramEnd"/>
    </w:p>
    <w:p w14:paraId="2A6F24D1" w14:textId="77777777" w:rsidR="00DD039C" w:rsidRDefault="00DD039C" w:rsidP="00FA79B2">
      <w:pPr>
        <w:pStyle w:val="List4"/>
        <w:rPr>
          <w:b/>
        </w:rPr>
      </w:pPr>
      <w:r>
        <w:rPr>
          <w:b/>
          <w:szCs w:val="24"/>
        </w:rPr>
        <w:br/>
      </w:r>
      <w:r w:rsidRPr="00EB78FE">
        <w:rPr>
          <w:szCs w:val="24"/>
        </w:rPr>
        <w:t xml:space="preserve">(C)  The analysis of the capabilities of the potential sources that were identified during market research; and </w:t>
      </w:r>
    </w:p>
    <w:p w14:paraId="04E440AB" w14:textId="77777777" w:rsidR="00DD039C" w:rsidRDefault="00DD039C" w:rsidP="00FA79B2">
      <w:pPr>
        <w:pStyle w:val="List4"/>
        <w:rPr>
          <w:b/>
        </w:rPr>
      </w:pPr>
      <w:r>
        <w:rPr>
          <w:b/>
          <w:szCs w:val="24"/>
        </w:rPr>
        <w:br/>
      </w:r>
      <w:r w:rsidRPr="00EB78FE">
        <w:rPr>
          <w:szCs w:val="24"/>
        </w:rPr>
        <w:t>(D)  Any conclusion(s) reached as a result of market research analysis.</w:t>
      </w:r>
    </w:p>
    <w:p w14:paraId="43919253" w14:textId="77777777" w:rsidR="00DD039C" w:rsidRDefault="00DD039C" w:rsidP="00FA79B2">
      <w:pPr>
        <w:pStyle w:val="Heading3"/>
      </w:pPr>
      <w:r>
        <w:rPr>
          <w:b/>
          <w:szCs w:val="24"/>
        </w:rPr>
        <w:br/>
      </w:r>
      <w:bookmarkStart w:id="5" w:name="_Toc37415638"/>
      <w:bookmarkStart w:id="6" w:name="_Toc37677356"/>
      <w:bookmarkStart w:id="7" w:name="_Toc37755551"/>
      <w:r>
        <w:rPr>
          <w:szCs w:val="24"/>
        </w:rPr>
        <w:t xml:space="preserve">PGI </w:t>
      </w:r>
      <w:proofErr w:type="gramStart"/>
      <w:r>
        <w:rPr>
          <w:szCs w:val="24"/>
        </w:rPr>
        <w:t xml:space="preserve">210.070  </w:t>
      </w:r>
      <w:r w:rsidRPr="00950D2D">
        <w:rPr>
          <w:szCs w:val="24"/>
        </w:rPr>
        <w:t>Market</w:t>
      </w:r>
      <w:proofErr w:type="gramEnd"/>
      <w:r w:rsidRPr="00950D2D">
        <w:rPr>
          <w:szCs w:val="24"/>
        </w:rPr>
        <w:t xml:space="preserve"> </w:t>
      </w:r>
      <w:r>
        <w:rPr>
          <w:szCs w:val="24"/>
        </w:rPr>
        <w:t>r</w:t>
      </w:r>
      <w:r w:rsidRPr="00950D2D">
        <w:rPr>
          <w:szCs w:val="24"/>
        </w:rPr>
        <w:t xml:space="preserve">esearch </w:t>
      </w:r>
      <w:r>
        <w:rPr>
          <w:szCs w:val="24"/>
        </w:rPr>
        <w:t>report guide for improving the tradecraft in services a</w:t>
      </w:r>
      <w:r w:rsidRPr="00950D2D">
        <w:rPr>
          <w:szCs w:val="24"/>
        </w:rPr>
        <w:t>cquisition</w:t>
      </w:r>
      <w:r>
        <w:rPr>
          <w:szCs w:val="24"/>
        </w:rPr>
        <w:t>.</w:t>
      </w:r>
      <w:bookmarkEnd w:id="5"/>
      <w:bookmarkEnd w:id="6"/>
      <w:bookmarkEnd w:id="7"/>
    </w:p>
    <w:p w14:paraId="42A74874" w14:textId="77777777" w:rsidR="00DD039C" w:rsidRDefault="00DD039C" w:rsidP="00FA79B2">
      <w:pPr>
        <w:rPr>
          <w:b/>
        </w:rPr>
      </w:pPr>
      <w:r w:rsidRPr="00E87113">
        <w:t xml:space="preserve">The “Market Research Report Guide for Improving the Tradecraft in Services Acquisition” is designed to </w:t>
      </w:r>
      <w:proofErr w:type="gramStart"/>
      <w:r w:rsidRPr="00E87113">
        <w:t>effect</w:t>
      </w:r>
      <w:proofErr w:type="gramEnd"/>
      <w:r w:rsidRPr="00E87113">
        <w:t xml:space="preserve"> the collection and sharing of standardized market research information </w:t>
      </w:r>
      <w:r w:rsidRPr="00E87113">
        <w:lastRenderedPageBreak/>
        <w:t xml:space="preserve">across the Department.  The guide is available for download at </w:t>
      </w:r>
      <w:hyperlink r:id="rId7" w:history="1">
        <w:r w:rsidRPr="00E87113">
          <w:rPr>
            <w:rStyle w:val="Hyperlink"/>
            <w:szCs w:val="24"/>
          </w:rPr>
          <w:t>http://www.acq.osd.mil/dpap/cpic/cp/market_research.html</w:t>
        </w:r>
      </w:hyperlink>
      <w:r w:rsidRPr="00E87113">
        <w:t>.</w:t>
      </w:r>
    </w:p>
    <w:p w14:paraId="26935CDD" w14:textId="77777777" w:rsidR="00DD039C" w:rsidRPr="00E87113" w:rsidRDefault="00DD039C" w:rsidP="00836D88">
      <w:pPr>
        <w:spacing w:line="240" w:lineRule="exact"/>
        <w:rPr>
          <w:b/>
          <w:szCs w:val="24"/>
        </w:rPr>
      </w:pPr>
      <w:r>
        <w:rPr>
          <w:b/>
          <w:szCs w:val="24"/>
        </w:rPr>
        <w:br/>
      </w:r>
    </w:p>
    <w:p w14:paraId="7E5E5223" w14:textId="77777777" w:rsidR="00850595" w:rsidRDefault="00850595"/>
    <w:sectPr w:rsidR="00850595" w:rsidSect="004D32D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95049" w14:textId="77777777" w:rsidR="008326DF" w:rsidRDefault="008326DF">
      <w:pPr>
        <w:spacing w:after="0" w:line="240" w:lineRule="auto"/>
      </w:pPr>
      <w:r>
        <w:separator/>
      </w:r>
    </w:p>
  </w:endnote>
  <w:endnote w:type="continuationSeparator" w:id="0">
    <w:p w14:paraId="1AA839D8" w14:textId="77777777" w:rsidR="008326DF" w:rsidRDefault="00832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0FB2C" w14:textId="77777777" w:rsidR="00527911" w:rsidRDefault="008326DF">
    <w:pPr>
      <w:pStyle w:val="Footer"/>
      <w:rPr>
        <w:rFonts w:ascii="Century Schoolbook" w:hAnsi="Century Schoolbook"/>
        <w:sz w:val="20"/>
      </w:rPr>
    </w:pPr>
  </w:p>
  <w:p w14:paraId="4560CB15" w14:textId="77777777" w:rsidR="00527911" w:rsidRDefault="008326DF">
    <w:pPr>
      <w:pStyle w:val="Footer"/>
      <w:tabs>
        <w:tab w:val="clear" w:pos="8640"/>
      </w:tabs>
      <w:rPr>
        <w:rFonts w:ascii="Century Schoolbook" w:hAnsi="Century Schoolbook"/>
        <w:b/>
        <w:sz w:val="20"/>
      </w:rPr>
    </w:pPr>
  </w:p>
  <w:p w14:paraId="2D5BC776" w14:textId="77777777" w:rsidR="00527911" w:rsidRPr="00BC71C0" w:rsidRDefault="00DD039C">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10</w:t>
    </w:r>
    <w:r w:rsidRPr="00BC71C0">
      <w:rPr>
        <w:szCs w:val="22"/>
      </w:rPr>
      <w:t>.</w:t>
    </w:r>
    <w:r>
      <w:rPr>
        <w:szCs w:val="22"/>
      </w:rPr>
      <w:t>1</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8BA48" w14:textId="77777777" w:rsidR="008326DF" w:rsidRDefault="008326DF">
      <w:pPr>
        <w:spacing w:after="0" w:line="240" w:lineRule="auto"/>
      </w:pPr>
      <w:r>
        <w:separator/>
      </w:r>
    </w:p>
  </w:footnote>
  <w:footnote w:type="continuationSeparator" w:id="0">
    <w:p w14:paraId="2DE89D6A" w14:textId="77777777" w:rsidR="008326DF" w:rsidRDefault="00832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CD3D5" w14:textId="77777777" w:rsidR="00527911" w:rsidRDefault="00DD039C" w:rsidP="003E6AA4">
    <w:pPr>
      <w:pStyle w:val="Header"/>
      <w:tabs>
        <w:tab w:val="clear" w:pos="8640"/>
        <w:tab w:val="left" w:pos="4590"/>
      </w:tabs>
      <w:jc w:val="center"/>
      <w:rPr>
        <w:sz w:val="28"/>
        <w:szCs w:val="28"/>
      </w:rPr>
    </w:pPr>
    <w:r w:rsidRPr="002B1BC7">
      <w:rPr>
        <w:sz w:val="28"/>
        <w:szCs w:val="28"/>
      </w:rPr>
      <w:t>DFARS Procedures, Guidance, and Information</w:t>
    </w:r>
  </w:p>
  <w:p w14:paraId="451779A1" w14:textId="77777777" w:rsidR="00527911" w:rsidRPr="002B1BC7" w:rsidRDefault="008326DF" w:rsidP="003E6AA4">
    <w:pPr>
      <w:pStyle w:val="Header"/>
      <w:tabs>
        <w:tab w:val="clear" w:pos="8640"/>
        <w:tab w:val="left" w:pos="4590"/>
      </w:tabs>
      <w:jc w:val="center"/>
      <w:rPr>
        <w:sz w:val="28"/>
        <w:szCs w:val="28"/>
      </w:rPr>
    </w:pPr>
  </w:p>
  <w:p w14:paraId="30A1FB04" w14:textId="77777777" w:rsidR="00527911" w:rsidRPr="00BC71C0" w:rsidRDefault="00DD039C">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10</w:t>
    </w:r>
    <w:r w:rsidRPr="00BC71C0">
      <w:rPr>
        <w:szCs w:val="24"/>
      </w:rPr>
      <w:t>—</w:t>
    </w:r>
    <w:r>
      <w:rPr>
        <w:szCs w:val="24"/>
      </w:rPr>
      <w:t>Market Research</w:t>
    </w:r>
  </w:p>
  <w:p w14:paraId="5127A703" w14:textId="77777777" w:rsidR="00527911" w:rsidRDefault="008326DF">
    <w:pPr>
      <w:pStyle w:val="Header"/>
      <w:tabs>
        <w:tab w:val="clear" w:pos="8640"/>
        <w:tab w:val="right" w:pos="9260"/>
      </w:tabs>
      <w:spacing w:before="20" w:line="20" w:lineRule="exact"/>
      <w:rPr>
        <w:rFonts w:ascii="Geneva" w:hAnsi="Geneva"/>
        <w:b/>
        <w:position w:val="6"/>
        <w:sz w:val="18"/>
      </w:rPr>
    </w:pPr>
  </w:p>
  <w:p w14:paraId="793F00C4" w14:textId="77777777" w:rsidR="00527911" w:rsidRDefault="008326DF">
    <w:pPr>
      <w:pStyle w:val="Header"/>
      <w:tabs>
        <w:tab w:val="clear" w:pos="8640"/>
        <w:tab w:val="right" w:pos="9260"/>
      </w:tabs>
      <w:rPr>
        <w:rFonts w:ascii="Century Schoolbook" w:hAnsi="Century Schoolbook"/>
        <w:b/>
        <w:sz w:val="20"/>
      </w:rPr>
    </w:pPr>
  </w:p>
  <w:p w14:paraId="010D67E0" w14:textId="77777777" w:rsidR="00527911" w:rsidRDefault="008326DF">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9C"/>
    <w:rsid w:val="00004EA9"/>
    <w:rsid w:val="0029492F"/>
    <w:rsid w:val="00505901"/>
    <w:rsid w:val="007D6208"/>
    <w:rsid w:val="008326DF"/>
    <w:rsid w:val="00850595"/>
    <w:rsid w:val="00952A82"/>
    <w:rsid w:val="00B8095C"/>
    <w:rsid w:val="00BF48DE"/>
    <w:rsid w:val="00DD039C"/>
    <w:rsid w:val="00E31CAF"/>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0AF1"/>
  <w15:chartTrackingRefBased/>
  <w15:docId w15:val="{45654C6E-DD4E-4238-B266-CE0A2741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DD039C"/>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basedOn w:val="Normal"/>
    <w:next w:val="Normal"/>
    <w:link w:val="Heading2Char"/>
    <w:uiPriority w:val="9"/>
    <w:semiHidden/>
    <w:unhideWhenUsed/>
    <w:qFormat/>
    <w:rsid w:val="00952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DD039C"/>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uiPriority w:val="9"/>
    <w:semiHidden/>
    <w:unhideWhenUsed/>
    <w:qFormat/>
    <w:rsid w:val="00952A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39C"/>
    <w:rPr>
      <w:rFonts w:ascii="Arial" w:eastAsiaTheme="majorEastAsia" w:hAnsi="Arial" w:cs="Arial"/>
      <w:b/>
      <w:color w:val="000000" w:themeColor="text1"/>
      <w:sz w:val="28"/>
      <w:szCs w:val="32"/>
    </w:rPr>
  </w:style>
  <w:style w:type="character" w:customStyle="1" w:styleId="Heading3Char">
    <w:name w:val="Heading 3 Char"/>
    <w:basedOn w:val="DefaultParagraphFont"/>
    <w:link w:val="Heading3"/>
    <w:rsid w:val="00DD039C"/>
    <w:rPr>
      <w:rFonts w:ascii="Arial" w:eastAsia="Times New Roman" w:hAnsi="Arial" w:cs="Arial"/>
      <w:szCs w:val="20"/>
    </w:rPr>
  </w:style>
  <w:style w:type="paragraph" w:styleId="Footer">
    <w:name w:val="footer"/>
    <w:basedOn w:val="Normal"/>
    <w:link w:val="FooterChar"/>
    <w:uiPriority w:val="99"/>
    <w:rsid w:val="00DD039C"/>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uiPriority w:val="99"/>
    <w:rsid w:val="00DD039C"/>
    <w:rPr>
      <w:rFonts w:ascii="Arial" w:eastAsia="Times New Roman" w:hAnsi="Arial" w:cs="Arial"/>
      <w:szCs w:val="20"/>
    </w:rPr>
  </w:style>
  <w:style w:type="paragraph" w:styleId="Header">
    <w:name w:val="header"/>
    <w:basedOn w:val="Normal"/>
    <w:link w:val="HeaderChar"/>
    <w:rsid w:val="00DD039C"/>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DD039C"/>
    <w:rPr>
      <w:rFonts w:ascii="Arial" w:eastAsia="Times New Roman" w:hAnsi="Arial" w:cs="Arial"/>
      <w:szCs w:val="20"/>
    </w:rPr>
  </w:style>
  <w:style w:type="character" w:styleId="Hyperlink">
    <w:name w:val="Hyperlink"/>
    <w:uiPriority w:val="99"/>
    <w:rsid w:val="00DD039C"/>
    <w:rPr>
      <w:color w:val="0000FF"/>
      <w:u w:val="single"/>
    </w:rPr>
  </w:style>
  <w:style w:type="paragraph" w:customStyle="1" w:styleId="List1">
    <w:name w:val="List 1"/>
    <w:link w:val="List1Char"/>
    <w:rsid w:val="00DD039C"/>
    <w:pPr>
      <w:spacing w:after="0" w:line="240" w:lineRule="auto"/>
      <w:ind w:left="360" w:hanging="360"/>
      <w:contextualSpacing/>
    </w:pPr>
    <w:rPr>
      <w:rFonts w:ascii="Arial" w:eastAsia="Times New Roman" w:hAnsi="Arial" w:cs="Arial"/>
      <w:szCs w:val="24"/>
    </w:rPr>
  </w:style>
  <w:style w:type="character" w:customStyle="1" w:styleId="List1Char">
    <w:name w:val="List 1 Char"/>
    <w:basedOn w:val="Heading3Char"/>
    <w:link w:val="List1"/>
    <w:rsid w:val="00DD039C"/>
    <w:rPr>
      <w:rFonts w:ascii="Arial" w:eastAsia="Times New Roman" w:hAnsi="Arial" w:cs="Arial"/>
      <w:szCs w:val="24"/>
    </w:rPr>
  </w:style>
  <w:style w:type="paragraph" w:styleId="List3">
    <w:name w:val="List 3"/>
    <w:rsid w:val="00DD039C"/>
    <w:pPr>
      <w:spacing w:after="0" w:line="240" w:lineRule="auto"/>
      <w:ind w:left="1080" w:hanging="360"/>
      <w:contextualSpacing/>
    </w:pPr>
    <w:rPr>
      <w:rFonts w:ascii="Arial" w:eastAsia="Times New Roman" w:hAnsi="Arial" w:cs="Arial"/>
      <w:szCs w:val="20"/>
    </w:rPr>
  </w:style>
  <w:style w:type="paragraph" w:styleId="List4">
    <w:name w:val="List 4"/>
    <w:link w:val="List4Char"/>
    <w:rsid w:val="00DD039C"/>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rsid w:val="00DD039C"/>
    <w:rPr>
      <w:rFonts w:ascii="Arial" w:eastAsia="Times New Roman" w:hAnsi="Arial" w:cs="Arial"/>
      <w:szCs w:val="20"/>
    </w:rPr>
  </w:style>
  <w:style w:type="paragraph" w:styleId="TOC1">
    <w:name w:val="toc 1"/>
    <w:basedOn w:val="Normal"/>
    <w:next w:val="Normal"/>
    <w:autoRedefine/>
    <w:uiPriority w:val="39"/>
    <w:unhideWhenUsed/>
    <w:rsid w:val="00DD039C"/>
    <w:pPr>
      <w:spacing w:after="100"/>
    </w:pPr>
  </w:style>
  <w:style w:type="paragraph" w:styleId="TOC3">
    <w:name w:val="toc 3"/>
    <w:basedOn w:val="Normal"/>
    <w:next w:val="Normal"/>
    <w:autoRedefine/>
    <w:uiPriority w:val="39"/>
    <w:unhideWhenUsed/>
    <w:rsid w:val="00DD039C"/>
    <w:pPr>
      <w:spacing w:after="100"/>
      <w:ind w:left="440"/>
    </w:pPr>
  </w:style>
  <w:style w:type="paragraph" w:styleId="TOC2">
    <w:name w:val="toc 2"/>
    <w:basedOn w:val="Normal"/>
    <w:next w:val="Normal"/>
    <w:autoRedefine/>
    <w:uiPriority w:val="39"/>
    <w:unhideWhenUsed/>
    <w:rsid w:val="00DD039C"/>
    <w:pPr>
      <w:spacing w:after="100"/>
      <w:ind w:left="220"/>
    </w:pPr>
  </w:style>
  <w:style w:type="paragraph" w:styleId="TOC4">
    <w:name w:val="toc 4"/>
    <w:basedOn w:val="Normal"/>
    <w:next w:val="Normal"/>
    <w:autoRedefine/>
    <w:uiPriority w:val="39"/>
    <w:semiHidden/>
    <w:unhideWhenUsed/>
    <w:rsid w:val="00DD039C"/>
    <w:pPr>
      <w:spacing w:after="100"/>
      <w:ind w:left="660"/>
    </w:pPr>
  </w:style>
  <w:style w:type="paragraph" w:styleId="TOC5">
    <w:name w:val="toc 5"/>
    <w:basedOn w:val="Normal"/>
    <w:next w:val="Normal"/>
    <w:autoRedefine/>
    <w:uiPriority w:val="39"/>
    <w:semiHidden/>
    <w:unhideWhenUsed/>
    <w:rsid w:val="00DD039C"/>
    <w:pPr>
      <w:spacing w:after="100"/>
      <w:ind w:left="880"/>
    </w:pPr>
  </w:style>
  <w:style w:type="paragraph" w:styleId="TOC6">
    <w:name w:val="toc 6"/>
    <w:basedOn w:val="Normal"/>
    <w:next w:val="Normal"/>
    <w:autoRedefine/>
    <w:uiPriority w:val="39"/>
    <w:semiHidden/>
    <w:unhideWhenUsed/>
    <w:rsid w:val="00DD039C"/>
    <w:pPr>
      <w:spacing w:after="100"/>
      <w:ind w:left="1100"/>
    </w:pPr>
  </w:style>
  <w:style w:type="paragraph" w:styleId="TOC7">
    <w:name w:val="toc 7"/>
    <w:basedOn w:val="Normal"/>
    <w:next w:val="Normal"/>
    <w:autoRedefine/>
    <w:uiPriority w:val="39"/>
    <w:semiHidden/>
    <w:unhideWhenUsed/>
    <w:rsid w:val="00DD039C"/>
    <w:pPr>
      <w:spacing w:after="100"/>
      <w:ind w:left="1320"/>
    </w:pPr>
  </w:style>
  <w:style w:type="paragraph" w:styleId="TOC8">
    <w:name w:val="toc 8"/>
    <w:basedOn w:val="Normal"/>
    <w:next w:val="Normal"/>
    <w:autoRedefine/>
    <w:uiPriority w:val="39"/>
    <w:semiHidden/>
    <w:unhideWhenUsed/>
    <w:rsid w:val="00DD039C"/>
    <w:pPr>
      <w:spacing w:after="100"/>
      <w:ind w:left="1540"/>
    </w:pPr>
  </w:style>
  <w:style w:type="paragraph" w:styleId="TOC9">
    <w:name w:val="toc 9"/>
    <w:basedOn w:val="Normal"/>
    <w:next w:val="Normal"/>
    <w:autoRedefine/>
    <w:uiPriority w:val="39"/>
    <w:semiHidden/>
    <w:unhideWhenUsed/>
    <w:rsid w:val="00DD039C"/>
    <w:pPr>
      <w:spacing w:after="100"/>
      <w:ind w:left="1760"/>
    </w:pPr>
  </w:style>
  <w:style w:type="character" w:customStyle="1" w:styleId="Heading2Char">
    <w:name w:val="Heading 2 Char"/>
    <w:basedOn w:val="DefaultParagraphFont"/>
    <w:link w:val="Heading2"/>
    <w:uiPriority w:val="9"/>
    <w:semiHidden/>
    <w:rsid w:val="00952A8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52A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acq.osd.mil/dpap/cpic/cp/market_researc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q.osd.mil/dpap/dars/pgi/pgi_htm/PGI215_3.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2020-04-10T16:53:00Z</dcterms:created>
  <dcterms:modified xsi:type="dcterms:W3CDTF">2020-04-14T15:18:00Z</dcterms:modified>
</cp:coreProperties>
</file>