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DA5C" w14:textId="77777777" w:rsidR="00D161FF" w:rsidRDefault="00D161FF">
      <w:pPr>
        <w:sectPr w:rsidR="00D161FF">
          <w:pgSz w:w="12240" w:h="15840"/>
          <w:pgMar w:top="1440" w:right="1440" w:bottom="1440" w:left="1440" w:header="720" w:footer="720" w:gutter="0"/>
          <w:cols w:space="720"/>
          <w:docGrid w:linePitch="360"/>
        </w:sectPr>
      </w:pPr>
    </w:p>
    <w:p w14:paraId="69C1C560" w14:textId="77777777" w:rsidR="00D161FF" w:rsidRDefault="00D161FF" w:rsidP="001543D3">
      <w:pPr>
        <w:pStyle w:val="Heading1"/>
      </w:pPr>
      <w:bookmarkStart w:id="0" w:name="_Toc37677357"/>
      <w:bookmarkStart w:id="1" w:name="_Toc37756400"/>
      <w:r>
        <w:lastRenderedPageBreak/>
        <w:t xml:space="preserve">PGI </w:t>
      </w:r>
      <w:r w:rsidRPr="007B495C">
        <w:t>PART 2</w:t>
      </w:r>
      <w:r>
        <w:t>11</w:t>
      </w:r>
      <w:r w:rsidRPr="007B495C">
        <w:t xml:space="preserve"> - </w:t>
      </w:r>
      <w:r>
        <w:br/>
      </w:r>
      <w:r w:rsidRPr="000A14A2">
        <w:t>DESCRIBING AGENCY NEEDS</w:t>
      </w:r>
      <w:bookmarkEnd w:id="0"/>
      <w:bookmarkEnd w:id="1"/>
    </w:p>
    <w:p w14:paraId="49BDD86E" w14:textId="77777777" w:rsidR="00D161FF" w:rsidRDefault="00D161FF">
      <w:r>
        <w:br w:type="page"/>
      </w:r>
      <w:r>
        <w:lastRenderedPageBreak/>
        <w:br/>
      </w:r>
    </w:p>
    <w:p w14:paraId="1324C4A9" w14:textId="77777777" w:rsidR="002D0A87" w:rsidRPr="005C04A2" w:rsidRDefault="002D0A87" w:rsidP="005C04A2">
      <w:pPr>
        <w:jc w:val="center"/>
        <w:rPr>
          <w:b/>
        </w:rPr>
      </w:pPr>
      <w:r w:rsidRPr="005C04A2">
        <w:rPr>
          <w:b/>
        </w:rPr>
        <w:t>Table of Contents</w:t>
      </w:r>
    </w:p>
    <w:p w14:paraId="049C1E85" w14:textId="0855C119" w:rsidR="0030596B" w:rsidRDefault="0030596B" w:rsidP="0030596B">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400" w:history="1">
        <w:r w:rsidRPr="004125D6">
          <w:rPr>
            <w:rStyle w:val="Hyperlink"/>
            <w:noProof/>
          </w:rPr>
          <w:t>PGI PART 211 -  DESCRIBING AGENCY NEEDS</w:t>
        </w:r>
      </w:hyperlink>
    </w:p>
    <w:p w14:paraId="744B8C23" w14:textId="38668ED1" w:rsidR="0030596B" w:rsidRDefault="0030596B" w:rsidP="0030596B">
      <w:pPr>
        <w:pStyle w:val="TOC2"/>
        <w:tabs>
          <w:tab w:val="right" w:leader="dot" w:pos="9350"/>
        </w:tabs>
        <w:rPr>
          <w:rFonts w:asciiTheme="minorHAnsi" w:eastAsiaTheme="minorEastAsia" w:hAnsiTheme="minorHAnsi" w:cstheme="minorBidi"/>
          <w:noProof/>
        </w:rPr>
      </w:pPr>
      <w:hyperlink w:anchor="_Toc37756401" w:history="1">
        <w:r w:rsidRPr="004125D6">
          <w:rPr>
            <w:rStyle w:val="Hyperlink"/>
            <w:noProof/>
          </w:rPr>
          <w:t>PGI 211.1—SELECTING AND DEVELOPING REQUIREMENTS DOCUMENTS</w:t>
        </w:r>
      </w:hyperlink>
    </w:p>
    <w:p w14:paraId="114C00EC" w14:textId="76897530" w:rsidR="0030596B" w:rsidRDefault="0030596B" w:rsidP="0030596B">
      <w:pPr>
        <w:pStyle w:val="TOC3"/>
        <w:tabs>
          <w:tab w:val="right" w:leader="dot" w:pos="9350"/>
        </w:tabs>
        <w:rPr>
          <w:rFonts w:asciiTheme="minorHAnsi" w:eastAsiaTheme="minorEastAsia" w:hAnsiTheme="minorHAnsi" w:cstheme="minorBidi"/>
          <w:noProof/>
        </w:rPr>
      </w:pPr>
      <w:hyperlink w:anchor="_Toc37756402" w:history="1">
        <w:r w:rsidRPr="004125D6">
          <w:rPr>
            <w:rStyle w:val="Hyperlink"/>
            <w:b/>
            <w:noProof/>
          </w:rPr>
          <w:t>PGI 211.105  Items peculiar to one manufacturer.</w:t>
        </w:r>
      </w:hyperlink>
    </w:p>
    <w:p w14:paraId="2BCC07EC" w14:textId="4703E6DD" w:rsidR="0030596B" w:rsidRDefault="0030596B" w:rsidP="0030596B">
      <w:pPr>
        <w:pStyle w:val="TOC2"/>
        <w:tabs>
          <w:tab w:val="right" w:leader="dot" w:pos="9350"/>
        </w:tabs>
        <w:rPr>
          <w:rFonts w:asciiTheme="minorHAnsi" w:eastAsiaTheme="minorEastAsia" w:hAnsiTheme="minorHAnsi" w:cstheme="minorBidi"/>
          <w:noProof/>
        </w:rPr>
      </w:pPr>
      <w:hyperlink w:anchor="_Toc37756403" w:history="1">
        <w:r w:rsidRPr="004125D6">
          <w:rPr>
            <w:rStyle w:val="Hyperlink"/>
            <w:noProof/>
          </w:rPr>
          <w:t>PGI 211.2—USING AND MAINTAINING REQUIREMENTS DOCUMENTS</w:t>
        </w:r>
      </w:hyperlink>
    </w:p>
    <w:p w14:paraId="4D58A653" w14:textId="08D73DCB" w:rsidR="0030596B" w:rsidRDefault="0030596B" w:rsidP="0030596B">
      <w:pPr>
        <w:pStyle w:val="TOC3"/>
        <w:tabs>
          <w:tab w:val="right" w:leader="dot" w:pos="9350"/>
        </w:tabs>
        <w:rPr>
          <w:rFonts w:asciiTheme="minorHAnsi" w:eastAsiaTheme="minorEastAsia" w:hAnsiTheme="minorHAnsi" w:cstheme="minorBidi"/>
          <w:noProof/>
        </w:rPr>
      </w:pPr>
      <w:hyperlink w:anchor="_Toc37756404" w:history="1">
        <w:r w:rsidRPr="004125D6">
          <w:rPr>
            <w:rStyle w:val="Hyperlink"/>
            <w:b/>
            <w:noProof/>
          </w:rPr>
          <w:t>PGI 211.201  Identification and availability of specifications.</w:t>
        </w:r>
      </w:hyperlink>
    </w:p>
    <w:p w14:paraId="5CF1A3D4" w14:textId="3E66ED1A" w:rsidR="0030596B" w:rsidRDefault="0030596B" w:rsidP="0030596B">
      <w:pPr>
        <w:pStyle w:val="TOC3"/>
        <w:tabs>
          <w:tab w:val="right" w:leader="dot" w:pos="9350"/>
        </w:tabs>
        <w:rPr>
          <w:rFonts w:asciiTheme="minorHAnsi" w:eastAsiaTheme="minorEastAsia" w:hAnsiTheme="minorHAnsi" w:cstheme="minorBidi"/>
          <w:noProof/>
        </w:rPr>
      </w:pPr>
      <w:hyperlink w:anchor="_Toc37756405" w:history="1">
        <w:r w:rsidRPr="004125D6">
          <w:rPr>
            <w:rStyle w:val="Hyperlink"/>
            <w:b/>
            <w:noProof/>
          </w:rPr>
          <w:t>PGI 211.273  Substitutions for military or Federal specifications and standards.</w:t>
        </w:r>
      </w:hyperlink>
    </w:p>
    <w:p w14:paraId="3D26E883" w14:textId="39509136" w:rsidR="0030596B" w:rsidRDefault="0030596B" w:rsidP="0030596B">
      <w:pPr>
        <w:pStyle w:val="TOC4"/>
        <w:tabs>
          <w:tab w:val="right" w:leader="dot" w:pos="9350"/>
        </w:tabs>
        <w:rPr>
          <w:rFonts w:asciiTheme="minorHAnsi" w:eastAsiaTheme="minorEastAsia" w:hAnsiTheme="minorHAnsi" w:cstheme="minorBidi"/>
          <w:noProof/>
        </w:rPr>
      </w:pPr>
      <w:hyperlink w:anchor="_Toc37756406" w:history="1">
        <w:r w:rsidRPr="004125D6">
          <w:rPr>
            <w:rStyle w:val="Hyperlink"/>
            <w:b/>
            <w:noProof/>
          </w:rPr>
          <w:t>PGI 211.273-3  Procedures.</w:t>
        </w:r>
      </w:hyperlink>
    </w:p>
    <w:p w14:paraId="18B2C408" w14:textId="386FB8EF" w:rsidR="0030596B" w:rsidRDefault="0030596B" w:rsidP="0030596B">
      <w:pPr>
        <w:pStyle w:val="TOC3"/>
        <w:tabs>
          <w:tab w:val="right" w:leader="dot" w:pos="9350"/>
        </w:tabs>
        <w:rPr>
          <w:rFonts w:asciiTheme="minorHAnsi" w:eastAsiaTheme="minorEastAsia" w:hAnsiTheme="minorHAnsi" w:cstheme="minorBidi"/>
          <w:noProof/>
        </w:rPr>
      </w:pPr>
      <w:hyperlink w:anchor="_Toc37756407" w:history="1">
        <w:r w:rsidRPr="004125D6">
          <w:rPr>
            <w:rStyle w:val="Hyperlink"/>
            <w:b/>
            <w:bCs/>
            <w:noProof/>
          </w:rPr>
          <w:t>PGI 211.274  Item identification and valuation requirements.</w:t>
        </w:r>
      </w:hyperlink>
    </w:p>
    <w:p w14:paraId="1D17239A" w14:textId="4777473D" w:rsidR="0030596B" w:rsidRDefault="0030596B" w:rsidP="0030596B">
      <w:pPr>
        <w:pStyle w:val="TOC4"/>
        <w:tabs>
          <w:tab w:val="right" w:leader="dot" w:pos="9350"/>
        </w:tabs>
        <w:rPr>
          <w:rFonts w:asciiTheme="minorHAnsi" w:eastAsiaTheme="minorEastAsia" w:hAnsiTheme="minorHAnsi" w:cstheme="minorBidi"/>
          <w:noProof/>
        </w:rPr>
      </w:pPr>
      <w:hyperlink w:anchor="_Toc37756408" w:history="1">
        <w:r w:rsidRPr="004125D6">
          <w:rPr>
            <w:rStyle w:val="Hyperlink"/>
            <w:b/>
            <w:noProof/>
          </w:rPr>
          <w:t>PGI 211.274-2  Policy for unique item identification.</w:t>
        </w:r>
      </w:hyperlink>
    </w:p>
    <w:p w14:paraId="1BBD835E" w14:textId="5DA43615" w:rsidR="0030596B" w:rsidRDefault="0030596B" w:rsidP="0030596B">
      <w:pPr>
        <w:pStyle w:val="TOC3"/>
        <w:tabs>
          <w:tab w:val="right" w:leader="dot" w:pos="9350"/>
        </w:tabs>
        <w:rPr>
          <w:rFonts w:asciiTheme="minorHAnsi" w:eastAsiaTheme="minorEastAsia" w:hAnsiTheme="minorHAnsi" w:cstheme="minorBidi"/>
          <w:noProof/>
        </w:rPr>
      </w:pPr>
      <w:hyperlink w:anchor="_Toc37756409" w:history="1">
        <w:r w:rsidRPr="004125D6">
          <w:rPr>
            <w:rStyle w:val="Hyperlink"/>
            <w:rFonts w:eastAsia="Calibri"/>
            <w:noProof/>
          </w:rPr>
          <w:t>PGI 211.7001  Procedures.</w:t>
        </w:r>
      </w:hyperlink>
    </w:p>
    <w:p w14:paraId="3728B846" w14:textId="50657E5F" w:rsidR="00D161FF" w:rsidRPr="00D161FF" w:rsidRDefault="0030596B" w:rsidP="00D161FF">
      <w:r>
        <w:rPr>
          <w:rStyle w:val="Hyperlink"/>
          <w:b/>
          <w:noProof/>
        </w:rPr>
        <w:fldChar w:fldCharType="end"/>
      </w:r>
    </w:p>
    <w:p w14:paraId="3032296D" w14:textId="77777777" w:rsidR="00D161FF" w:rsidRDefault="00D161FF" w:rsidP="00851A8F">
      <w:pPr>
        <w:jc w:val="center"/>
      </w:pPr>
      <w:r w:rsidRPr="001416BE">
        <w:rPr>
          <w:i/>
          <w:szCs w:val="24"/>
        </w:rPr>
        <w:t>(</w:t>
      </w:r>
      <w:r>
        <w:rPr>
          <w:i/>
          <w:szCs w:val="24"/>
        </w:rPr>
        <w:t>Revised</w:t>
      </w:r>
      <w:r w:rsidRPr="001416BE">
        <w:rPr>
          <w:i/>
          <w:szCs w:val="24"/>
        </w:rPr>
        <w:t xml:space="preserve"> August </w:t>
      </w:r>
      <w:r>
        <w:rPr>
          <w:i/>
          <w:szCs w:val="24"/>
        </w:rPr>
        <w:t>14</w:t>
      </w:r>
      <w:r w:rsidRPr="001416BE">
        <w:rPr>
          <w:i/>
          <w:szCs w:val="24"/>
        </w:rPr>
        <w:t>, 2006)</w:t>
      </w:r>
    </w:p>
    <w:p w14:paraId="0F6C05D4" w14:textId="77777777" w:rsidR="00D161FF" w:rsidRDefault="00D161FF" w:rsidP="00851A8F">
      <w:pPr>
        <w:pStyle w:val="Heading2"/>
      </w:pPr>
      <w:r>
        <w:rPr>
          <w:i/>
          <w:szCs w:val="24"/>
        </w:rPr>
        <w:br/>
      </w:r>
      <w:bookmarkStart w:id="2" w:name="_Toc37415639"/>
      <w:bookmarkStart w:id="3" w:name="_Toc37677358"/>
      <w:bookmarkStart w:id="4" w:name="_Toc37756401"/>
      <w:r w:rsidRPr="00842C16">
        <w:rPr>
          <w:szCs w:val="24"/>
        </w:rPr>
        <w:t>PGI 21</w:t>
      </w:r>
      <w:r>
        <w:rPr>
          <w:szCs w:val="24"/>
        </w:rPr>
        <w:t>1</w:t>
      </w:r>
      <w:r w:rsidRPr="00842C16">
        <w:rPr>
          <w:szCs w:val="24"/>
        </w:rPr>
        <w:t>.</w:t>
      </w:r>
      <w:r>
        <w:rPr>
          <w:szCs w:val="24"/>
        </w:rPr>
        <w:t>1</w:t>
      </w:r>
      <w:r w:rsidRPr="00842C16">
        <w:rPr>
          <w:szCs w:val="24"/>
        </w:rPr>
        <w:t>—</w:t>
      </w:r>
      <w:r>
        <w:rPr>
          <w:szCs w:val="24"/>
        </w:rPr>
        <w:t>SELECTING AND DEVELOPING REQUIREMENTS DOCUMENTS</w:t>
      </w:r>
      <w:bookmarkEnd w:id="2"/>
      <w:bookmarkEnd w:id="3"/>
      <w:bookmarkEnd w:id="4"/>
    </w:p>
    <w:p w14:paraId="3E285794" w14:textId="77777777" w:rsidR="00D161FF" w:rsidRDefault="00D161FF" w:rsidP="00851A8F">
      <w:pPr>
        <w:pStyle w:val="Heading3"/>
      </w:pPr>
      <w:r>
        <w:rPr>
          <w:b/>
          <w:szCs w:val="24"/>
        </w:rPr>
        <w:br/>
      </w:r>
      <w:bookmarkStart w:id="5" w:name="_Toc37415640"/>
      <w:bookmarkStart w:id="6" w:name="_Toc37677359"/>
      <w:bookmarkStart w:id="7" w:name="_Toc37756402"/>
      <w:r w:rsidRPr="00842C16">
        <w:rPr>
          <w:b/>
          <w:szCs w:val="24"/>
        </w:rPr>
        <w:t xml:space="preserve">PGI </w:t>
      </w:r>
      <w:proofErr w:type="gramStart"/>
      <w:r w:rsidRPr="00851A8F">
        <w:rPr>
          <w:b/>
        </w:rPr>
        <w:t xml:space="preserve">211.105  </w:t>
      </w:r>
      <w:r>
        <w:rPr>
          <w:b/>
          <w:szCs w:val="24"/>
        </w:rPr>
        <w:t>Items</w:t>
      </w:r>
      <w:proofErr w:type="gramEnd"/>
      <w:r>
        <w:rPr>
          <w:b/>
          <w:szCs w:val="24"/>
        </w:rPr>
        <w:t xml:space="preserve"> peculiar to one manufacturer.</w:t>
      </w:r>
      <w:bookmarkEnd w:id="5"/>
      <w:bookmarkEnd w:id="6"/>
      <w:bookmarkEnd w:id="7"/>
    </w:p>
    <w:p w14:paraId="2CB4A022" w14:textId="77777777" w:rsidR="00D161FF" w:rsidRDefault="00D161FF" w:rsidP="00851A8F">
      <w:r>
        <w:rPr>
          <w:b/>
          <w:szCs w:val="24"/>
        </w:rPr>
        <w:br/>
      </w:r>
      <w:r w:rsidRPr="008C49D0">
        <w:rPr>
          <w:u w:val="single"/>
        </w:rPr>
        <w:t xml:space="preserve">Office of Federal Procurement Policy memorandum of April 11, 2005, Subject: </w:t>
      </w:r>
      <w:r>
        <w:rPr>
          <w:u w:val="single"/>
        </w:rPr>
        <w:t xml:space="preserve"> </w:t>
      </w:r>
      <w:r w:rsidRPr="008C49D0">
        <w:rPr>
          <w:u w:val="single"/>
        </w:rPr>
        <w:t>Use of Brand Name Specifications</w:t>
      </w:r>
      <w:r>
        <w:t>, reinforces the need to maintain vendor and technology neutral contract specifications, and asks agencies to publish the supporting justification when using brand name specifications in a solicitation.</w:t>
      </w:r>
    </w:p>
    <w:p w14:paraId="28700A40" w14:textId="77777777" w:rsidR="00D161FF" w:rsidRDefault="00D161FF" w:rsidP="00851A8F">
      <w:r>
        <w:lastRenderedPageBreak/>
        <w:br/>
      </w:r>
      <w:r w:rsidRPr="008C49D0">
        <w:rPr>
          <w:u w:val="single"/>
        </w:rPr>
        <w:t>Office of Federal Procurement Policy memorandum of April 1</w:t>
      </w:r>
      <w:r>
        <w:rPr>
          <w:u w:val="single"/>
        </w:rPr>
        <w:t>7</w:t>
      </w:r>
      <w:r w:rsidRPr="008C49D0">
        <w:rPr>
          <w:u w:val="single"/>
        </w:rPr>
        <w:t>, 200</w:t>
      </w:r>
      <w:r>
        <w:rPr>
          <w:u w:val="single"/>
        </w:rPr>
        <w:t>6</w:t>
      </w:r>
      <w:r w:rsidRPr="008C49D0">
        <w:rPr>
          <w:u w:val="single"/>
        </w:rPr>
        <w:t xml:space="preserve">, </w:t>
      </w:r>
      <w:r>
        <w:rPr>
          <w:u w:val="single"/>
        </w:rPr>
        <w:t>Subject:  Publication</w:t>
      </w:r>
      <w:r w:rsidRPr="008C49D0">
        <w:rPr>
          <w:u w:val="single"/>
        </w:rPr>
        <w:t xml:space="preserve"> of Brand Name </w:t>
      </w:r>
      <w:r>
        <w:rPr>
          <w:u w:val="single"/>
        </w:rPr>
        <w:t>Justi</w:t>
      </w:r>
      <w:r w:rsidRPr="008C49D0">
        <w:rPr>
          <w:u w:val="single"/>
        </w:rPr>
        <w:t>fications</w:t>
      </w:r>
      <w:r>
        <w:t>, provides additional guidance regarding publication of justifications for use of brand name specifications.</w:t>
      </w:r>
    </w:p>
    <w:p w14:paraId="6D46012E" w14:textId="77777777" w:rsidR="00D161FF" w:rsidRPr="00842C16" w:rsidRDefault="00D161FF" w:rsidP="00851A8F">
      <w:pPr>
        <w:rPr>
          <w:szCs w:val="24"/>
        </w:rPr>
      </w:pPr>
      <w:r>
        <w:br/>
      </w:r>
    </w:p>
    <w:p w14:paraId="31A829F0" w14:textId="77777777" w:rsidR="00D161FF" w:rsidRDefault="00D161FF">
      <w:pPr>
        <w:sectPr w:rsidR="00D161FF" w:rsidSect="00AD20DF">
          <w:headerReference w:type="default" r:id="rId6"/>
          <w:footerReference w:type="default" r:id="rId7"/>
          <w:pgSz w:w="12240" w:h="15840"/>
          <w:pgMar w:top="1440" w:right="1440" w:bottom="1440" w:left="1440" w:header="720" w:footer="720" w:gutter="0"/>
          <w:cols w:space="720"/>
          <w:docGrid w:linePitch="360"/>
        </w:sectPr>
      </w:pPr>
    </w:p>
    <w:p w14:paraId="1B5DA924" w14:textId="77777777" w:rsidR="00D161FF" w:rsidRDefault="00D161FF" w:rsidP="00951F26">
      <w:pPr>
        <w:jc w:val="center"/>
      </w:pPr>
      <w:r w:rsidRPr="00022E14">
        <w:rPr>
          <w:i/>
          <w:szCs w:val="24"/>
        </w:rPr>
        <w:lastRenderedPageBreak/>
        <w:t>(</w:t>
      </w:r>
      <w:r>
        <w:rPr>
          <w:i/>
          <w:szCs w:val="24"/>
        </w:rPr>
        <w:t>Revised</w:t>
      </w:r>
      <w:r w:rsidRPr="00022E14">
        <w:rPr>
          <w:i/>
          <w:szCs w:val="24"/>
        </w:rPr>
        <w:t xml:space="preserve"> </w:t>
      </w:r>
      <w:r>
        <w:rPr>
          <w:i/>
          <w:szCs w:val="24"/>
        </w:rPr>
        <w:t>February 15, 2019</w:t>
      </w:r>
      <w:r w:rsidRPr="00022E14">
        <w:rPr>
          <w:i/>
          <w:szCs w:val="24"/>
        </w:rPr>
        <w:t>)</w:t>
      </w:r>
    </w:p>
    <w:p w14:paraId="732E9275" w14:textId="77777777" w:rsidR="00D161FF" w:rsidRDefault="00D161FF" w:rsidP="00951F26">
      <w:pPr>
        <w:pStyle w:val="Heading2"/>
      </w:pPr>
      <w:r>
        <w:rPr>
          <w:i/>
          <w:szCs w:val="24"/>
        </w:rPr>
        <w:br/>
      </w:r>
      <w:bookmarkStart w:id="8" w:name="_Toc37415641"/>
      <w:bookmarkStart w:id="9" w:name="_Toc37677360"/>
      <w:bookmarkStart w:id="10" w:name="_Toc37756403"/>
      <w:r w:rsidRPr="00022E14">
        <w:rPr>
          <w:szCs w:val="24"/>
        </w:rPr>
        <w:t>PGI 211.2—USING AND MAINTAINING REQUIREMENTS DOCUMENTS</w:t>
      </w:r>
      <w:bookmarkEnd w:id="8"/>
      <w:bookmarkEnd w:id="9"/>
      <w:bookmarkEnd w:id="10"/>
    </w:p>
    <w:p w14:paraId="5CB57E2D" w14:textId="77777777" w:rsidR="00D161FF" w:rsidRDefault="00D161FF" w:rsidP="00951F26">
      <w:pPr>
        <w:pStyle w:val="Heading3"/>
      </w:pPr>
      <w:r>
        <w:rPr>
          <w:b/>
          <w:szCs w:val="24"/>
        </w:rPr>
        <w:br/>
      </w:r>
      <w:bookmarkStart w:id="11" w:name="_Toc37415642"/>
      <w:bookmarkStart w:id="12" w:name="_Toc37677361"/>
      <w:bookmarkStart w:id="13" w:name="_Toc37756404"/>
      <w:r w:rsidRPr="00022E14">
        <w:rPr>
          <w:b/>
          <w:szCs w:val="24"/>
        </w:rPr>
        <w:t xml:space="preserve">PGI </w:t>
      </w:r>
      <w:proofErr w:type="gramStart"/>
      <w:r w:rsidRPr="00022E14">
        <w:rPr>
          <w:b/>
          <w:szCs w:val="24"/>
        </w:rPr>
        <w:t>211.201  Identification</w:t>
      </w:r>
      <w:proofErr w:type="gramEnd"/>
      <w:r w:rsidRPr="00022E14">
        <w:rPr>
          <w:b/>
          <w:szCs w:val="24"/>
        </w:rPr>
        <w:t xml:space="preserve"> and availability of specifications.</w:t>
      </w:r>
      <w:bookmarkEnd w:id="11"/>
      <w:bookmarkEnd w:id="12"/>
      <w:bookmarkEnd w:id="13"/>
    </w:p>
    <w:p w14:paraId="39B65EF0" w14:textId="77777777" w:rsidR="00D161FF" w:rsidRDefault="00D161FF" w:rsidP="00951F26">
      <w:pPr>
        <w:pStyle w:val="List2"/>
      </w:pPr>
      <w:r>
        <w:rPr>
          <w:b/>
          <w:szCs w:val="24"/>
        </w:rPr>
        <w:br/>
      </w:r>
      <w:r w:rsidRPr="00022E14">
        <w:rPr>
          <w:szCs w:val="24"/>
        </w:rPr>
        <w:t>(1)  Specifications, standards, and data item descriptions are indexed in the Acquisition Streamlining and Standardization Information System (ASSIST).</w:t>
      </w:r>
    </w:p>
    <w:p w14:paraId="2464E7D1" w14:textId="77777777" w:rsidR="00D161FF" w:rsidRDefault="00D161FF" w:rsidP="00951F26">
      <w:pPr>
        <w:pStyle w:val="List2"/>
      </w:pPr>
      <w:r>
        <w:rPr>
          <w:szCs w:val="24"/>
        </w:rPr>
        <w:br/>
      </w:r>
      <w:r w:rsidRPr="00022E14">
        <w:rPr>
          <w:szCs w:val="24"/>
        </w:rPr>
        <w:t xml:space="preserve">(2) </w:t>
      </w:r>
      <w:r>
        <w:rPr>
          <w:szCs w:val="24"/>
        </w:rPr>
        <w:t xml:space="preserve"> </w:t>
      </w:r>
      <w:r w:rsidRPr="00022E14">
        <w:rPr>
          <w:szCs w:val="24"/>
        </w:rPr>
        <w:t>Most unclassified specifications, standards, and data item descriptions</w:t>
      </w:r>
      <w:r>
        <w:rPr>
          <w:szCs w:val="24"/>
        </w:rPr>
        <w:t>, and DoD adoption notices on voluntary consensus standards</w:t>
      </w:r>
      <w:r w:rsidRPr="00022E14">
        <w:rPr>
          <w:szCs w:val="24"/>
        </w:rPr>
        <w:t xml:space="preserve"> may be</w:t>
      </w:r>
      <w:r>
        <w:rPr>
          <w:szCs w:val="24"/>
        </w:rPr>
        <w:t xml:space="preserve"> </w:t>
      </w:r>
      <w:r w:rsidRPr="00022E14">
        <w:rPr>
          <w:szCs w:val="24"/>
        </w:rPr>
        <w:t>downloaded from the ASSIST database (</w:t>
      </w:r>
      <w:hyperlink r:id="rId8" w:history="1">
        <w:r w:rsidRPr="009365A5">
          <w:rPr>
            <w:rStyle w:val="Hyperlink"/>
            <w:szCs w:val="24"/>
          </w:rPr>
          <w:t>https://assist.dla.mil/</w:t>
        </w:r>
      </w:hyperlink>
      <w:r>
        <w:rPr>
          <w:rStyle w:val="Hyperlink"/>
          <w:szCs w:val="24"/>
        </w:rPr>
        <w:t xml:space="preserve"> </w:t>
      </w:r>
      <w:r w:rsidRPr="00A869E1">
        <w:rPr>
          <w:rStyle w:val="Hyperlink"/>
          <w:szCs w:val="24"/>
        </w:rPr>
        <w:t xml:space="preserve">or </w:t>
      </w:r>
      <w:hyperlink r:id="rId9" w:history="1">
        <w:r w:rsidRPr="009365A5">
          <w:rPr>
            <w:rStyle w:val="Hyperlink"/>
            <w:szCs w:val="24"/>
          </w:rPr>
          <w:t>http://quicksearch.dla.mil/</w:t>
        </w:r>
      </w:hyperlink>
      <w:r w:rsidRPr="00022E14">
        <w:rPr>
          <w:szCs w:val="24"/>
        </w:rPr>
        <w:t xml:space="preserve">).  Documents </w:t>
      </w:r>
      <w:r>
        <w:rPr>
          <w:szCs w:val="24"/>
        </w:rPr>
        <w:t xml:space="preserve">contained in ASSIST that are not available for download may be identified and obtained by following the instructions at </w:t>
      </w:r>
      <w:hyperlink r:id="rId10" w:history="1">
        <w:r w:rsidRPr="00CA6764">
          <w:rPr>
            <w:rStyle w:val="Hyperlink"/>
            <w:szCs w:val="24"/>
          </w:rPr>
          <w:t>http://assist.dla.mil/online/faqs/overview.cfm</w:t>
        </w:r>
      </w:hyperlink>
      <w:r>
        <w:rPr>
          <w:szCs w:val="24"/>
        </w:rPr>
        <w:t>.</w:t>
      </w:r>
    </w:p>
    <w:p w14:paraId="4E1E1378" w14:textId="77777777" w:rsidR="00D161FF" w:rsidRDefault="00D161FF" w:rsidP="00951F26">
      <w:pPr>
        <w:pStyle w:val="Heading3"/>
      </w:pPr>
      <w:r>
        <w:rPr>
          <w:szCs w:val="24"/>
        </w:rPr>
        <w:br/>
      </w:r>
      <w:bookmarkStart w:id="14" w:name="_Toc37415643"/>
      <w:bookmarkStart w:id="15" w:name="_Toc37677362"/>
      <w:bookmarkStart w:id="16" w:name="_Toc37756405"/>
      <w:r w:rsidRPr="00022E14">
        <w:rPr>
          <w:b/>
          <w:szCs w:val="24"/>
        </w:rPr>
        <w:t xml:space="preserve">PGI </w:t>
      </w:r>
      <w:proofErr w:type="gramStart"/>
      <w:r w:rsidRPr="00022E14">
        <w:rPr>
          <w:b/>
          <w:szCs w:val="24"/>
        </w:rPr>
        <w:t>211.273  Substitutions</w:t>
      </w:r>
      <w:proofErr w:type="gramEnd"/>
      <w:r w:rsidRPr="00022E14">
        <w:rPr>
          <w:b/>
          <w:szCs w:val="24"/>
        </w:rPr>
        <w:t xml:space="preserve"> for military or Federal specifications and standards.</w:t>
      </w:r>
      <w:bookmarkEnd w:id="14"/>
      <w:bookmarkEnd w:id="15"/>
      <w:bookmarkEnd w:id="16"/>
    </w:p>
    <w:p w14:paraId="72DDB490" w14:textId="77777777" w:rsidR="00D161FF" w:rsidRDefault="00D161FF" w:rsidP="00951F26">
      <w:pPr>
        <w:pStyle w:val="Heading4"/>
      </w:pPr>
      <w:r>
        <w:rPr>
          <w:b/>
          <w:szCs w:val="24"/>
        </w:rPr>
        <w:br/>
      </w:r>
      <w:bookmarkStart w:id="17" w:name="_Toc37677363"/>
      <w:bookmarkStart w:id="18" w:name="_Toc37756406"/>
      <w:r w:rsidRPr="00022E14">
        <w:rPr>
          <w:b/>
          <w:szCs w:val="24"/>
        </w:rPr>
        <w:t>PGI 211.273-</w:t>
      </w:r>
      <w:proofErr w:type="gramStart"/>
      <w:r w:rsidRPr="00022E14">
        <w:rPr>
          <w:b/>
          <w:szCs w:val="24"/>
        </w:rPr>
        <w:t>3  Procedures</w:t>
      </w:r>
      <w:proofErr w:type="gramEnd"/>
      <w:r w:rsidRPr="00022E14">
        <w:rPr>
          <w:b/>
          <w:szCs w:val="24"/>
        </w:rPr>
        <w:t>.</w:t>
      </w:r>
      <w:bookmarkEnd w:id="17"/>
      <w:bookmarkEnd w:id="18"/>
    </w:p>
    <w:p w14:paraId="3E64ED93" w14:textId="77777777" w:rsidR="00D161FF" w:rsidRDefault="00D161FF" w:rsidP="00951F26">
      <w:pPr>
        <w:pStyle w:val="List2"/>
      </w:pPr>
      <w:r>
        <w:rPr>
          <w:b/>
          <w:szCs w:val="24"/>
        </w:rPr>
        <w:br/>
      </w:r>
      <w:r w:rsidRPr="00022E14">
        <w:rPr>
          <w:szCs w:val="24"/>
        </w:rPr>
        <w:t xml:space="preserve">(1)  Solicitations for previously developed items shall encourage offerors to identify Single Process Initiative (SPI) processes for use instead of military or Federal specifications and standards cited in the solicitation.  Use of the clause at DFARS </w:t>
      </w:r>
      <w:hyperlink r:id="rId11" w:anchor="252.211-7005" w:history="1">
        <w:r w:rsidRPr="00576179">
          <w:rPr>
            <w:rStyle w:val="Hyperlink"/>
            <w:szCs w:val="24"/>
          </w:rPr>
          <w:t>252.211-7005</w:t>
        </w:r>
      </w:hyperlink>
      <w:r w:rsidRPr="00022E14">
        <w:rPr>
          <w:szCs w:val="24"/>
        </w:rPr>
        <w:t>, Substitutions for Military or Federal Specifications and Standards, satisfies this requirement.</w:t>
      </w:r>
    </w:p>
    <w:p w14:paraId="40FB0495" w14:textId="77777777" w:rsidR="00D161FF" w:rsidRDefault="00D161FF" w:rsidP="00951F26">
      <w:pPr>
        <w:pStyle w:val="List2"/>
      </w:pPr>
      <w:r>
        <w:rPr>
          <w:szCs w:val="24"/>
        </w:rPr>
        <w:br/>
      </w:r>
      <w:r w:rsidRPr="00022E14">
        <w:rPr>
          <w:szCs w:val="24"/>
        </w:rPr>
        <w:t>(2)  Contracting officers shall ensure that</w:t>
      </w:r>
      <w:r w:rsidRPr="00022E14">
        <w:rPr>
          <w:szCs w:val="24"/>
        </w:rPr>
        <w:sym w:font="Symbol" w:char="F0BE"/>
      </w:r>
    </w:p>
    <w:p w14:paraId="78EB9C58" w14:textId="77777777" w:rsidR="00D161FF" w:rsidRDefault="00D161FF" w:rsidP="00E10A22">
      <w:pPr>
        <w:pStyle w:val="List3"/>
      </w:pPr>
      <w:r>
        <w:br/>
      </w:r>
      <w:r w:rsidRPr="00022E14">
        <w:t>(</w:t>
      </w:r>
      <w:proofErr w:type="spellStart"/>
      <w:r w:rsidRPr="00022E14">
        <w:t>i</w:t>
      </w:r>
      <w:proofErr w:type="spellEnd"/>
      <w:r w:rsidRPr="00022E14">
        <w:t xml:space="preserve">)  Concurrence of the requiring activity is obtained for any proposed substitutions prior to contract </w:t>
      </w:r>
      <w:proofErr w:type="gramStart"/>
      <w:r w:rsidRPr="00022E14">
        <w:t>award;</w:t>
      </w:r>
      <w:proofErr w:type="gramEnd"/>
    </w:p>
    <w:p w14:paraId="01D9E278" w14:textId="77777777" w:rsidR="00D161FF" w:rsidRDefault="00D161FF" w:rsidP="00951F26">
      <w:pPr>
        <w:pStyle w:val="List3"/>
      </w:pPr>
      <w:r>
        <w:lastRenderedPageBreak/>
        <w:br/>
      </w:r>
      <w:r w:rsidRPr="00022E14">
        <w:t>(ii)  Any necessary additional information regarding the SPI process identified in the proposal is obtained from the cognizant administrative contracting officer; and</w:t>
      </w:r>
    </w:p>
    <w:p w14:paraId="1ED1CADF" w14:textId="77777777" w:rsidR="00D161FF" w:rsidRDefault="00D161FF" w:rsidP="00951F26">
      <w:pPr>
        <w:pStyle w:val="List3"/>
      </w:pPr>
      <w:r>
        <w:rPr>
          <w:szCs w:val="24"/>
        </w:rPr>
        <w:br/>
      </w:r>
      <w:r w:rsidRPr="00022E14">
        <w:rPr>
          <w:szCs w:val="24"/>
        </w:rPr>
        <w:t xml:space="preserve">(iii)  In competitive procurements, prospective offerors are provided the opportunity to obtain verification that an SPI process is an acceptable replacement for a military or Federal specification or standard for the </w:t>
      </w:r>
      <w:proofErr w:type="gramStart"/>
      <w:r w:rsidRPr="00022E14">
        <w:rPr>
          <w:szCs w:val="24"/>
        </w:rPr>
        <w:t>particular procurement</w:t>
      </w:r>
      <w:proofErr w:type="gramEnd"/>
      <w:r w:rsidRPr="00022E14">
        <w:rPr>
          <w:szCs w:val="24"/>
        </w:rPr>
        <w:t xml:space="preserve"> prior to the date specified for receipt of offers.</w:t>
      </w:r>
    </w:p>
    <w:p w14:paraId="7160861B" w14:textId="77777777" w:rsidR="00D161FF" w:rsidRDefault="00D161FF" w:rsidP="00951F26">
      <w:pPr>
        <w:pStyle w:val="List2"/>
      </w:pPr>
      <w:r>
        <w:rPr>
          <w:szCs w:val="24"/>
        </w:rPr>
        <w:br/>
      </w:r>
      <w:r w:rsidRPr="00022E14">
        <w:rPr>
          <w:szCs w:val="24"/>
        </w:rPr>
        <w:t>(3)  Any determination that an SPI process is not acceptable for a specific procurement shall be made prior to contract award at the head of the contracting activity or program executive officer level.  This authority may not be delegated.</w:t>
      </w:r>
    </w:p>
    <w:p w14:paraId="1F05BA63" w14:textId="77777777" w:rsidR="00D161FF" w:rsidRDefault="00D161FF" w:rsidP="00951F26">
      <w:pPr>
        <w:pStyle w:val="Heading3"/>
      </w:pPr>
      <w:r>
        <w:rPr>
          <w:szCs w:val="24"/>
        </w:rPr>
        <w:br/>
      </w:r>
      <w:bookmarkStart w:id="19" w:name="_Toc37415644"/>
      <w:bookmarkStart w:id="20" w:name="_Toc37677364"/>
      <w:bookmarkStart w:id="21" w:name="_Toc37756407"/>
      <w:r w:rsidRPr="00953A22">
        <w:rPr>
          <w:b/>
          <w:bCs/>
          <w:szCs w:val="24"/>
        </w:rPr>
        <w:t xml:space="preserve">PGI </w:t>
      </w:r>
      <w:bookmarkStart w:id="22" w:name="211.274"/>
      <w:proofErr w:type="gramStart"/>
      <w:r w:rsidRPr="00953A22">
        <w:rPr>
          <w:b/>
          <w:bCs/>
          <w:szCs w:val="24"/>
        </w:rPr>
        <w:t>211.274</w:t>
      </w:r>
      <w:bookmarkEnd w:id="22"/>
      <w:r w:rsidRPr="00953A22">
        <w:rPr>
          <w:b/>
          <w:bCs/>
          <w:szCs w:val="24"/>
        </w:rPr>
        <w:t xml:space="preserve">  Item</w:t>
      </w:r>
      <w:proofErr w:type="gramEnd"/>
      <w:r w:rsidRPr="00953A22">
        <w:rPr>
          <w:b/>
          <w:bCs/>
          <w:szCs w:val="24"/>
        </w:rPr>
        <w:t xml:space="preserve"> identification and valuation requirements.</w:t>
      </w:r>
      <w:bookmarkEnd w:id="19"/>
      <w:bookmarkEnd w:id="20"/>
      <w:bookmarkEnd w:id="21"/>
    </w:p>
    <w:p w14:paraId="39CC361E" w14:textId="77777777" w:rsidR="00D161FF" w:rsidRDefault="00D161FF" w:rsidP="00951F26">
      <w:pPr>
        <w:pStyle w:val="Heading4"/>
      </w:pPr>
      <w:r>
        <w:rPr>
          <w:b/>
        </w:rPr>
        <w:br/>
      </w:r>
      <w:bookmarkStart w:id="23" w:name="211.274-2"/>
      <w:bookmarkStart w:id="24" w:name="_Toc37677365"/>
      <w:bookmarkStart w:id="25" w:name="_Toc37756408"/>
      <w:r>
        <w:rPr>
          <w:b/>
        </w:rPr>
        <w:t xml:space="preserve">PGI </w:t>
      </w:r>
      <w:r w:rsidRPr="00953A22">
        <w:rPr>
          <w:b/>
        </w:rPr>
        <w:t>211.274-</w:t>
      </w:r>
      <w:proofErr w:type="gramStart"/>
      <w:r w:rsidRPr="00953A22">
        <w:rPr>
          <w:b/>
        </w:rPr>
        <w:t>2</w:t>
      </w:r>
      <w:bookmarkEnd w:id="23"/>
      <w:r w:rsidRPr="00953A22">
        <w:rPr>
          <w:b/>
        </w:rPr>
        <w:t xml:space="preserve">  Policy</w:t>
      </w:r>
      <w:proofErr w:type="gramEnd"/>
      <w:r w:rsidRPr="00953A22">
        <w:rPr>
          <w:b/>
        </w:rPr>
        <w:t xml:space="preserve"> for unique item identification.</w:t>
      </w:r>
      <w:bookmarkEnd w:id="24"/>
      <w:bookmarkEnd w:id="25"/>
    </w:p>
    <w:p w14:paraId="6A44E1AE" w14:textId="77777777" w:rsidR="00D161FF" w:rsidRDefault="00D161FF" w:rsidP="00951F26">
      <w:pPr>
        <w:pStyle w:val="List1"/>
        <w:rPr>
          <w:lang w:val="en"/>
        </w:rPr>
      </w:pPr>
      <w:r>
        <w:rPr>
          <w:b/>
          <w:bCs/>
        </w:rPr>
        <w:br/>
      </w:r>
      <w:r w:rsidRPr="00953A22">
        <w:rPr>
          <w:bCs/>
        </w:rPr>
        <w:t xml:space="preserve">(b)(2)(ii)  Send the copy of the determination and findings required by DFARS </w:t>
      </w:r>
      <w:hyperlink r:id="rId12" w:anchor="211.274-2" w:history="1">
        <w:r w:rsidRPr="006C7EF1">
          <w:rPr>
            <w:rStyle w:val="Hyperlink"/>
            <w:bCs/>
          </w:rPr>
          <w:t>211.274-2</w:t>
        </w:r>
      </w:hyperlink>
      <w:r w:rsidRPr="00953A22">
        <w:rPr>
          <w:bCs/>
        </w:rPr>
        <w:t>(b)(2)(</w:t>
      </w:r>
      <w:proofErr w:type="spellStart"/>
      <w:r w:rsidRPr="00953A22">
        <w:rPr>
          <w:bCs/>
        </w:rPr>
        <w:t>i</w:t>
      </w:r>
      <w:proofErr w:type="spellEnd"/>
      <w:r w:rsidRPr="00953A22">
        <w:rPr>
          <w:bCs/>
        </w:rPr>
        <w:t>) to DPAP/</w:t>
      </w:r>
      <w:r w:rsidRPr="00953A22">
        <w:t>Program Development and Implementation, Deputy Director</w:t>
      </w:r>
      <w:r w:rsidRPr="00953A22">
        <w:rPr>
          <w:bCs/>
        </w:rPr>
        <w:t xml:space="preserve">, 3060 Defense Pentagon, 3B855, Washington, DC 20301-3060; or </w:t>
      </w:r>
      <w:r>
        <w:rPr>
          <w:bCs/>
        </w:rPr>
        <w:t>via</w:t>
      </w:r>
      <w:r w:rsidRPr="00953A22">
        <w:rPr>
          <w:bCs/>
        </w:rPr>
        <w:t xml:space="preserve"> </w:t>
      </w:r>
      <w:r>
        <w:rPr>
          <w:bCs/>
        </w:rPr>
        <w:t xml:space="preserve">email to: </w:t>
      </w:r>
      <w:hyperlink r:id="rId13" w:history="1">
        <w:r w:rsidRPr="00DF6552">
          <w:rPr>
            <w:rStyle w:val="Hyperlink"/>
            <w:bCs/>
            <w:lang w:val="en"/>
          </w:rPr>
          <w:t>osd.pentagon.ousd-atl.mbx.pdi@mail.mil</w:t>
        </w:r>
      </w:hyperlink>
      <w:r>
        <w:rPr>
          <w:bCs/>
        </w:rPr>
        <w:t>.</w:t>
      </w:r>
    </w:p>
    <w:p w14:paraId="6F92C6AC" w14:textId="77777777" w:rsidR="00D161FF" w:rsidRPr="00953A22" w:rsidRDefault="00D161FF" w:rsidP="00951F26">
      <w:r>
        <w:rPr>
          <w:bCs/>
          <w:szCs w:val="24"/>
          <w:lang w:val="en"/>
        </w:rPr>
        <w:br/>
      </w:r>
    </w:p>
    <w:p w14:paraId="6CDC94FD" w14:textId="77777777" w:rsidR="00D161FF" w:rsidRDefault="00D161FF">
      <w:pPr>
        <w:sectPr w:rsidR="00D161FF" w:rsidSect="00D75861">
          <w:headerReference w:type="default" r:id="rId14"/>
          <w:footerReference w:type="default" r:id="rId15"/>
          <w:pgSz w:w="12240" w:h="15840"/>
          <w:pgMar w:top="1440" w:right="1440" w:bottom="1440" w:left="1440" w:header="720" w:footer="720" w:gutter="0"/>
          <w:cols w:space="720"/>
          <w:docGrid w:linePitch="360"/>
        </w:sectPr>
      </w:pPr>
    </w:p>
    <w:p w14:paraId="654CAC50" w14:textId="77777777" w:rsidR="00D161FF" w:rsidRDefault="00D161FF" w:rsidP="00626556">
      <w:pPr>
        <w:jc w:val="center"/>
      </w:pPr>
      <w:r w:rsidRPr="00B1482C">
        <w:rPr>
          <w:i/>
          <w:szCs w:val="24"/>
        </w:rPr>
        <w:lastRenderedPageBreak/>
        <w:t>(</w:t>
      </w:r>
      <w:r>
        <w:rPr>
          <w:i/>
          <w:szCs w:val="24"/>
        </w:rPr>
        <w:t>Revised</w:t>
      </w:r>
      <w:r w:rsidRPr="00B1482C">
        <w:rPr>
          <w:i/>
          <w:szCs w:val="24"/>
        </w:rPr>
        <w:t xml:space="preserve"> </w:t>
      </w:r>
      <w:r>
        <w:rPr>
          <w:i/>
          <w:szCs w:val="24"/>
        </w:rPr>
        <w:t>December 31, 2019</w:t>
      </w:r>
      <w:r w:rsidRPr="00B1482C">
        <w:rPr>
          <w:i/>
          <w:szCs w:val="24"/>
        </w:rPr>
        <w:t>)</w:t>
      </w:r>
    </w:p>
    <w:p w14:paraId="497B6363" w14:textId="77777777" w:rsidR="00D161FF" w:rsidRDefault="00D161FF" w:rsidP="00CF4A71">
      <w:pPr>
        <w:tabs>
          <w:tab w:val="left" w:pos="360"/>
        </w:tabs>
        <w:spacing w:line="240" w:lineRule="exact"/>
        <w:rPr>
          <w:rFonts w:eastAsia="Calibri"/>
          <w:szCs w:val="24"/>
        </w:rPr>
      </w:pPr>
      <w:r>
        <w:rPr>
          <w:i/>
          <w:szCs w:val="24"/>
        </w:rPr>
        <w:br/>
      </w:r>
      <w:r w:rsidRPr="00B1482C">
        <w:rPr>
          <w:rFonts w:eastAsia="Calibri"/>
          <w:szCs w:val="24"/>
        </w:rPr>
        <w:t xml:space="preserve">PGI 211.70 -- PURCHASE REQUESTS </w:t>
      </w:r>
    </w:p>
    <w:p w14:paraId="1DA09D24" w14:textId="77777777" w:rsidR="00D161FF" w:rsidRPr="00382EE7" w:rsidRDefault="00D161FF" w:rsidP="00626556">
      <w:pPr>
        <w:pStyle w:val="Heading3"/>
        <w:rPr>
          <w:rFonts w:eastAsia="Calibri"/>
        </w:rPr>
      </w:pPr>
      <w:r>
        <w:rPr>
          <w:rFonts w:eastAsia="Calibri"/>
          <w:szCs w:val="24"/>
        </w:rPr>
        <w:br/>
      </w:r>
      <w:bookmarkStart w:id="26" w:name="_Toc37415645"/>
      <w:bookmarkStart w:id="27" w:name="_Toc37677366"/>
      <w:bookmarkStart w:id="28" w:name="_Toc37756409"/>
      <w:r>
        <w:rPr>
          <w:rFonts w:eastAsia="Calibri"/>
          <w:szCs w:val="24"/>
        </w:rPr>
        <w:t xml:space="preserve">PGI </w:t>
      </w:r>
      <w:proofErr w:type="gramStart"/>
      <w:r>
        <w:rPr>
          <w:rFonts w:eastAsia="Calibri"/>
          <w:szCs w:val="24"/>
        </w:rPr>
        <w:t>211.7001  Procedures</w:t>
      </w:r>
      <w:proofErr w:type="gramEnd"/>
      <w:r>
        <w:rPr>
          <w:rFonts w:eastAsia="Calibri"/>
          <w:szCs w:val="24"/>
        </w:rPr>
        <w:t>.</w:t>
      </w:r>
      <w:bookmarkEnd w:id="26"/>
      <w:bookmarkEnd w:id="27"/>
      <w:bookmarkEnd w:id="28"/>
    </w:p>
    <w:p w14:paraId="35B92F31" w14:textId="77777777" w:rsidR="00D161FF" w:rsidRDefault="00D161FF" w:rsidP="00CF4A71">
      <w:pPr>
        <w:tabs>
          <w:tab w:val="left" w:pos="360"/>
        </w:tabs>
        <w:spacing w:line="240" w:lineRule="exact"/>
        <w:rPr>
          <w:rFonts w:eastAsia="Calibri"/>
          <w:b/>
          <w:szCs w:val="24"/>
        </w:rPr>
      </w:pPr>
      <w:r w:rsidRPr="00382EE7">
        <w:rPr>
          <w:rFonts w:eastAsia="Calibri"/>
          <w:szCs w:val="24"/>
        </w:rPr>
        <w:t xml:space="preserve">Requiring activities are responsible for developing and distributing purchase requests, except for the requirements for Military Interdepartmental Purchase Requests (MIPRs) (DD Form 448) addressed in </w:t>
      </w:r>
      <w:hyperlink r:id="rId16" w:anchor="253.208-1" w:history="1">
        <w:r w:rsidRPr="00B93F07">
          <w:rPr>
            <w:rStyle w:val="Hyperlink"/>
            <w:rFonts w:eastAsia="Calibri"/>
            <w:szCs w:val="24"/>
          </w:rPr>
          <w:t>253.208-1</w:t>
        </w:r>
      </w:hyperlink>
      <w:r w:rsidRPr="00382EE7">
        <w:rPr>
          <w:rFonts w:eastAsia="Calibri"/>
          <w:szCs w:val="24"/>
        </w:rPr>
        <w:t>.</w:t>
      </w:r>
    </w:p>
    <w:p w14:paraId="1C543EB9" w14:textId="77777777" w:rsidR="00D161FF" w:rsidRDefault="00D161FF" w:rsidP="00626556">
      <w:pPr>
        <w:pStyle w:val="List1"/>
      </w:pPr>
      <w:r>
        <w:rPr>
          <w:b/>
        </w:rPr>
        <w:br/>
      </w:r>
      <w:r w:rsidRPr="00382EE7">
        <w:t xml:space="preserve">(a)  Agencies may use a combined numbering series for MIPRs and internal purchase requests, following the rules at </w:t>
      </w:r>
      <w:hyperlink r:id="rId17" w:anchor="253.208-1" w:history="1">
        <w:r w:rsidRPr="00B93F07">
          <w:rPr>
            <w:rStyle w:val="Hyperlink"/>
          </w:rPr>
          <w:t>253.208-1</w:t>
        </w:r>
      </w:hyperlink>
      <w:r w:rsidRPr="00382EE7">
        <w:t>(c)(1)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w14:paraId="66F70377" w14:textId="77777777" w:rsidR="00D161FF" w:rsidRDefault="00D161FF" w:rsidP="00626556">
      <w:pPr>
        <w:pStyle w:val="List2"/>
        <w:rPr>
          <w:rFonts w:eastAsia="Calibri"/>
          <w:b/>
        </w:rPr>
      </w:pPr>
      <w:r>
        <w:rPr>
          <w:rFonts w:eastAsia="Calibri"/>
          <w:b/>
        </w:rPr>
        <w:br/>
      </w:r>
      <w:r w:rsidRPr="007A7EFA">
        <w:rPr>
          <w:rFonts w:eastAsia="Calibri"/>
        </w:rPr>
        <w:t xml:space="preserve">(1)  The requiring </w:t>
      </w:r>
      <w:r>
        <w:rPr>
          <w:rFonts w:eastAsia="Calibri"/>
        </w:rPr>
        <w:t xml:space="preserve">activity’s </w:t>
      </w:r>
      <w:r w:rsidRPr="007A7EFA">
        <w:rPr>
          <w:rFonts w:eastAsia="Calibri"/>
        </w:rPr>
        <w:t>Department of Defense Activity Address Code (DODAAC)</w:t>
      </w:r>
      <w:r>
        <w:rPr>
          <w:rFonts w:eastAsia="Calibri"/>
        </w:rPr>
        <w:t>,</w:t>
      </w:r>
      <w:r w:rsidRPr="007A7EFA">
        <w:rPr>
          <w:rFonts w:eastAsia="Calibri"/>
        </w:rPr>
        <w:t xml:space="preserve"> as described in DLM 4000.25 Volume 6, Chapter 2</w:t>
      </w:r>
      <w:r>
        <w:rPr>
          <w:rFonts w:eastAsia="Calibri"/>
        </w:rPr>
        <w:t xml:space="preserve">. </w:t>
      </w:r>
      <w:r w:rsidRPr="007A7EFA">
        <w:rPr>
          <w:rFonts w:eastAsia="Calibri"/>
        </w:rPr>
        <w:t xml:space="preserve"> DODAACs may be verified at </w:t>
      </w:r>
      <w:hyperlink r:id="rId18" w:tgtFrame="_blank" w:history="1">
        <w:r w:rsidRPr="007A7EFA">
          <w:rPr>
            <w:rStyle w:val="Hyperlink"/>
            <w:rFonts w:eastAsia="Calibri"/>
            <w:bCs/>
            <w:szCs w:val="24"/>
          </w:rPr>
          <w:t>https://www.transactionservices.dla.mil/daasinq</w:t>
        </w:r>
      </w:hyperlink>
      <w:r w:rsidRPr="007A7EFA">
        <w:rPr>
          <w:rFonts w:eastAsia="Calibri"/>
        </w:rPr>
        <w:t>.</w:t>
      </w:r>
    </w:p>
    <w:p w14:paraId="2D4CD847" w14:textId="77777777" w:rsidR="00D161FF" w:rsidRDefault="00D161FF" w:rsidP="00626556">
      <w:pPr>
        <w:pStyle w:val="List2"/>
        <w:rPr>
          <w:rFonts w:eastAsia="Calibri"/>
          <w:b/>
        </w:rPr>
      </w:pPr>
      <w:r>
        <w:rPr>
          <w:rFonts w:eastAsia="Calibri"/>
          <w:b/>
          <w:szCs w:val="24"/>
        </w:rPr>
        <w:br/>
      </w:r>
      <w:r w:rsidRPr="00382EE7">
        <w:rPr>
          <w:rFonts w:eastAsia="Calibri"/>
          <w:szCs w:val="24"/>
        </w:rPr>
        <w:t>(2)  A serial number of eight alphanumeric characters, excluding “I” and “O”; and</w:t>
      </w:r>
    </w:p>
    <w:p w14:paraId="7811F2C8" w14:textId="77777777" w:rsidR="00D161FF" w:rsidRDefault="00D161FF" w:rsidP="00626556">
      <w:pPr>
        <w:pStyle w:val="List2"/>
        <w:rPr>
          <w:rFonts w:eastAsia="Calibri"/>
          <w:b/>
        </w:rPr>
      </w:pPr>
      <w:r>
        <w:rPr>
          <w:rFonts w:eastAsia="Calibri"/>
          <w:b/>
          <w:szCs w:val="24"/>
        </w:rPr>
        <w:br/>
      </w:r>
      <w:r w:rsidRPr="00382EE7">
        <w:rPr>
          <w:rFonts w:eastAsia="Calibri"/>
          <w:szCs w:val="24"/>
        </w:rPr>
        <w:t xml:space="preserve">(3)  A revision number, with the original request being assigned zero and subsequent revisions or amendments being numbered consecutively. </w:t>
      </w:r>
    </w:p>
    <w:p w14:paraId="639BDE70" w14:textId="77777777" w:rsidR="00D161FF" w:rsidRDefault="00D161FF" w:rsidP="00626556">
      <w:pPr>
        <w:pStyle w:val="List1"/>
      </w:pPr>
      <w:r>
        <w:rPr>
          <w:b/>
        </w:rPr>
        <w:br/>
      </w:r>
      <w:r w:rsidRPr="00BA0350">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w14:paraId="6DB14B39" w14:textId="77777777" w:rsidR="00D161FF" w:rsidRDefault="00D161FF" w:rsidP="00626556">
      <w:pPr>
        <w:pStyle w:val="List1"/>
      </w:pPr>
      <w:r>
        <w:rPr>
          <w:b/>
        </w:rPr>
        <w:br/>
      </w:r>
      <w:r w:rsidRPr="00382EE7">
        <w:t>(c</w:t>
      </w:r>
      <w:r w:rsidRPr="00345762">
        <w:t xml:space="preserve">)  Prior to taking action on a purchase request, contracting officers shall ensure that the purchase requests follow the line item rules and data requirements in DFARS </w:t>
      </w:r>
      <w:hyperlink r:id="rId19" w:history="1">
        <w:r w:rsidRPr="00B93F07">
          <w:rPr>
            <w:rStyle w:val="Hyperlink"/>
          </w:rPr>
          <w:t>204.71</w:t>
        </w:r>
      </w:hyperlink>
      <w:r w:rsidRPr="00345762">
        <w:t xml:space="preserve">.  Purchase requests for individual supplies (i.e., not bulk commodities such as oil) shall identify </w:t>
      </w:r>
      <w:r w:rsidRPr="00345762">
        <w:lastRenderedPageBreak/>
        <w:t xml:space="preserve">whether the item to be acquired is subject to the item unique identification requirements of DFARS </w:t>
      </w:r>
      <w:hyperlink r:id="rId20" w:anchor="211.274-2" w:history="1">
        <w:r w:rsidRPr="00B93F07">
          <w:rPr>
            <w:rStyle w:val="Hyperlink"/>
          </w:rPr>
          <w:t>211.274-2</w:t>
        </w:r>
      </w:hyperlink>
      <w:r w:rsidRPr="00382EE7">
        <w:t>.</w:t>
      </w:r>
    </w:p>
    <w:p w14:paraId="459FB00F" w14:textId="77777777" w:rsidR="00D161FF" w:rsidRDefault="00D161FF" w:rsidP="00626556">
      <w:pPr>
        <w:pStyle w:val="List1"/>
      </w:pPr>
      <w:r>
        <w:rPr>
          <w:b/>
        </w:rPr>
        <w:br/>
      </w:r>
      <w:r w:rsidRPr="00382EE7">
        <w:t>(d)</w:t>
      </w:r>
      <w:r>
        <w:t>(1</w:t>
      </w:r>
      <w:proofErr w:type="gramStart"/>
      <w:r>
        <w:t>)</w:t>
      </w:r>
      <w:r w:rsidRPr="00382EE7">
        <w:t xml:space="preserve">  Purchase</w:t>
      </w:r>
      <w:proofErr w:type="gramEnd"/>
      <w:r w:rsidRPr="00382EE7">
        <w:t xml:space="preserve"> requests may be unfunded for planning purposes, part</w:t>
      </w:r>
      <w:r>
        <w:t xml:space="preserve">ially funded, </w:t>
      </w:r>
    </w:p>
    <w:p w14:paraId="1A320E16" w14:textId="77777777" w:rsidR="00D161FF" w:rsidRDefault="00D161FF" w:rsidP="00626556">
      <w:pPr>
        <w:rPr>
          <w:rFonts w:eastAsia="Calibri"/>
          <w:b/>
        </w:rPr>
      </w:pPr>
      <w:r>
        <w:rPr>
          <w:rFonts w:eastAsia="Calibri"/>
        </w:rPr>
        <w:t>or fully funded.</w:t>
      </w:r>
    </w:p>
    <w:p w14:paraId="0D532548" w14:textId="77777777" w:rsidR="00D161FF" w:rsidRDefault="00D161FF" w:rsidP="00626556">
      <w:pPr>
        <w:pStyle w:val="List2"/>
        <w:rPr>
          <w:rFonts w:eastAsia="Calibri"/>
          <w:b/>
        </w:rPr>
      </w:pPr>
      <w:r>
        <w:rPr>
          <w:rFonts w:eastAsia="Calibri"/>
          <w:b/>
          <w:szCs w:val="24"/>
        </w:rPr>
        <w:br/>
      </w:r>
      <w:r w:rsidRPr="00382EE7">
        <w:rPr>
          <w:rFonts w:eastAsia="Calibri"/>
          <w:szCs w:val="24"/>
        </w:rPr>
        <w:t>(</w:t>
      </w:r>
      <w:r>
        <w:rPr>
          <w:rFonts w:eastAsia="Calibri"/>
          <w:szCs w:val="24"/>
        </w:rPr>
        <w:t>2</w:t>
      </w:r>
      <w:r w:rsidRPr="00382EE7">
        <w:rPr>
          <w:rFonts w:eastAsia="Calibri"/>
          <w:szCs w:val="24"/>
        </w:rPr>
        <w:t xml:space="preserve">)  Funding data in purchase requests will, at a minimum, identify the following elements of the funding source:  Department Code (e.g. 21 Army), Main Account (e.g. 1804, Operation and Maintenance, Navy), Subaccount (where applicable), and Fiscal Year.  Lists of these codes are published in Supplement 1 to Volume I of the </w:t>
      </w:r>
      <w:r w:rsidRPr="00382EE7">
        <w:rPr>
          <w:rFonts w:eastAsia="Calibri"/>
          <w:i/>
          <w:szCs w:val="24"/>
        </w:rPr>
        <w:t>Treasury Financial Manual, Federal Account Symbols and Titles</w:t>
      </w:r>
      <w:r w:rsidRPr="00382EE7">
        <w:rPr>
          <w:rFonts w:eastAsia="Calibri"/>
          <w:szCs w:val="24"/>
        </w:rPr>
        <w:t xml:space="preserve">, generally referred to as </w:t>
      </w:r>
      <w:hyperlink r:id="rId21" w:history="1">
        <w:r w:rsidRPr="00B93F07">
          <w:rPr>
            <w:rStyle w:val="Hyperlink"/>
            <w:rFonts w:eastAsia="Calibri"/>
            <w:i/>
            <w:szCs w:val="24"/>
          </w:rPr>
          <w:t>The FAST Book</w:t>
        </w:r>
      </w:hyperlink>
      <w:r w:rsidRPr="00382EE7">
        <w:rPr>
          <w:rFonts w:eastAsia="Calibri"/>
          <w:i/>
          <w:szCs w:val="24"/>
        </w:rPr>
        <w:t>.</w:t>
      </w:r>
    </w:p>
    <w:p w14:paraId="49C9F2FA" w14:textId="77777777" w:rsidR="00D161FF" w:rsidRDefault="00D161FF" w:rsidP="00CF4A71">
      <w:pPr>
        <w:tabs>
          <w:tab w:val="left" w:pos="360"/>
        </w:tabs>
        <w:spacing w:line="240" w:lineRule="exact"/>
        <w:ind w:firstLine="720"/>
        <w:rPr>
          <w:rFonts w:eastAsia="Calibri"/>
          <w:b/>
          <w:i/>
          <w:szCs w:val="24"/>
        </w:rPr>
      </w:pPr>
      <w:r>
        <w:rPr>
          <w:rFonts w:eastAsia="Calibri"/>
          <w:b/>
          <w:i/>
          <w:szCs w:val="24"/>
        </w:rPr>
        <w:br/>
      </w:r>
      <w:r w:rsidRPr="00382EE7">
        <w:rPr>
          <w:rFonts w:eastAsia="Calibri"/>
          <w:szCs w:val="24"/>
        </w:rPr>
        <w:t>(</w:t>
      </w:r>
      <w:r>
        <w:rPr>
          <w:rFonts w:eastAsia="Calibri"/>
          <w:szCs w:val="24"/>
        </w:rPr>
        <w:t>3</w:t>
      </w:r>
      <w:r w:rsidRPr="00382EE7">
        <w:rPr>
          <w:rFonts w:eastAsia="Calibri"/>
          <w:szCs w:val="24"/>
        </w:rPr>
        <w:t xml:space="preserve">)  Agencies shall have </w:t>
      </w:r>
      <w:proofErr w:type="gramStart"/>
      <w:r w:rsidRPr="00382EE7">
        <w:rPr>
          <w:rFonts w:eastAsia="Calibri"/>
          <w:szCs w:val="24"/>
        </w:rPr>
        <w:t>sufficient</w:t>
      </w:r>
      <w:proofErr w:type="gramEnd"/>
      <w:r w:rsidRPr="00382EE7">
        <w:rPr>
          <w:rFonts w:eastAsia="Calibri"/>
          <w:szCs w:val="24"/>
        </w:rPr>
        <w:t xml:space="preserve">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w14:paraId="637B4705" w14:textId="77777777" w:rsidR="00D161FF" w:rsidRDefault="00D161FF" w:rsidP="00626556">
      <w:pPr>
        <w:pStyle w:val="List1"/>
      </w:pPr>
      <w:r>
        <w:rPr>
          <w:b/>
          <w:i/>
        </w:rPr>
        <w:br/>
      </w:r>
      <w:r w:rsidRPr="00020055">
        <w:t>(e)  Contracting officers shall not obligate funds that have not been certified as currently available and suitable.</w:t>
      </w:r>
      <w:r>
        <w:t xml:space="preserve">  </w:t>
      </w:r>
      <w:r w:rsidRPr="00020055">
        <w:t>All purchase requests shall be reviewed and certified after agreement on price and prior to award to ensure that the funds are</w:t>
      </w:r>
      <w:r>
        <w:t>—</w:t>
      </w:r>
    </w:p>
    <w:p w14:paraId="0B6081BB" w14:textId="77777777" w:rsidR="00D161FF" w:rsidRDefault="00D161FF" w:rsidP="00626556">
      <w:pPr>
        <w:pStyle w:val="List2"/>
        <w:rPr>
          <w:rFonts w:eastAsia="Calibri"/>
          <w:b/>
        </w:rPr>
      </w:pPr>
      <w:r>
        <w:rPr>
          <w:rFonts w:eastAsia="Calibri"/>
          <w:b/>
          <w:szCs w:val="24"/>
        </w:rPr>
        <w:br/>
      </w:r>
      <w:r>
        <w:rPr>
          <w:rFonts w:eastAsia="Calibri"/>
          <w:szCs w:val="24"/>
        </w:rPr>
        <w:t>(1)  S</w:t>
      </w:r>
      <w:r w:rsidRPr="00020055">
        <w:rPr>
          <w:rFonts w:eastAsia="Calibri"/>
          <w:szCs w:val="24"/>
        </w:rPr>
        <w:t>uitable and available for the purpose and amount of the contract</w:t>
      </w:r>
      <w:r>
        <w:rPr>
          <w:rFonts w:eastAsia="Calibri"/>
          <w:szCs w:val="24"/>
        </w:rPr>
        <w:t xml:space="preserve">; </w:t>
      </w:r>
      <w:r w:rsidRPr="00020055">
        <w:rPr>
          <w:rFonts w:eastAsia="Calibri"/>
          <w:szCs w:val="24"/>
        </w:rPr>
        <w:t>and</w:t>
      </w:r>
    </w:p>
    <w:p w14:paraId="105DA087" w14:textId="77777777" w:rsidR="00D161FF" w:rsidRDefault="00D161FF" w:rsidP="00626556">
      <w:pPr>
        <w:pStyle w:val="List2"/>
        <w:rPr>
          <w:rFonts w:eastAsia="Calibri"/>
          <w:b/>
        </w:rPr>
      </w:pPr>
      <w:r>
        <w:rPr>
          <w:rFonts w:eastAsia="Calibri"/>
          <w:b/>
          <w:szCs w:val="24"/>
        </w:rPr>
        <w:br/>
      </w:r>
      <w:r>
        <w:rPr>
          <w:rFonts w:eastAsia="Calibri"/>
          <w:szCs w:val="24"/>
        </w:rPr>
        <w:t>(2)  T</w:t>
      </w:r>
      <w:r w:rsidRPr="00020055">
        <w:rPr>
          <w:rFonts w:eastAsia="Calibri"/>
          <w:szCs w:val="24"/>
        </w:rPr>
        <w:t>raceable from the purchase req</w:t>
      </w:r>
      <w:r>
        <w:rPr>
          <w:rFonts w:eastAsia="Calibri"/>
          <w:szCs w:val="24"/>
        </w:rPr>
        <w:t>uest to the resultant contract.</w:t>
      </w:r>
    </w:p>
    <w:p w14:paraId="72E41A5B" w14:textId="77777777" w:rsidR="00D161FF" w:rsidRPr="00382EE7" w:rsidRDefault="00D161FF" w:rsidP="00626556">
      <w:pPr>
        <w:pStyle w:val="List1"/>
      </w:pPr>
      <w:r>
        <w:rPr>
          <w:b/>
        </w:rPr>
        <w:br/>
      </w:r>
      <w:r w:rsidRPr="00382EE7">
        <w:t>(</w:t>
      </w:r>
      <w:r>
        <w:t>f</w:t>
      </w:r>
      <w:r w:rsidRPr="00382EE7">
        <w:t>)  Purchase requests transmitted between requiring systems and contract writing</w:t>
      </w:r>
      <w:r>
        <w:t xml:space="preserve"> </w:t>
      </w:r>
      <w:r w:rsidRPr="00382EE7">
        <w:t xml:space="preserve">systems shall be transmitted via the Global </w:t>
      </w:r>
      <w:proofErr w:type="spellStart"/>
      <w:r w:rsidRPr="00382EE7">
        <w:t>EXchange</w:t>
      </w:r>
      <w:proofErr w:type="spellEnd"/>
      <w:r w:rsidRPr="00382EE7">
        <w:t xml:space="preserve"> system (GEX) using the Purchase Request Data Standard Extensible Markup Language (XML) format (</w:t>
      </w:r>
      <w:hyperlink r:id="rId22" w:history="1">
        <w:r w:rsidRPr="00B93F07">
          <w:rPr>
            <w:rStyle w:val="Hyperlink"/>
          </w:rPr>
          <w:t>http://www.acq.osd.mil/dpap/pdi/eb/procurement_data_standard.html</w:t>
        </w:r>
      </w:hyperlink>
      <w:r w:rsidRPr="00382EE7">
        <w:t>).  Copies shall be sent via the GEX to the Electronic D</w:t>
      </w:r>
      <w:r>
        <w:t xml:space="preserve">ata </w:t>
      </w:r>
      <w:r w:rsidRPr="00382EE7">
        <w:t>Access (EDA) (</w:t>
      </w:r>
      <w:hyperlink r:id="rId23" w:history="1">
        <w:r w:rsidRPr="00165315">
          <w:rPr>
            <w:rStyle w:val="Hyperlink"/>
          </w:rPr>
          <w:t>http://eda.ogden.disa.mil</w:t>
        </w:r>
      </w:hyperlink>
      <w:r w:rsidRPr="00382EE7">
        <w:t xml:space="preserve">) system.  Requiring systems and contract writing systems may use a format that can be translated to or from the </w:t>
      </w:r>
      <w:bookmarkStart w:id="29" w:name="P15_99"/>
      <w:bookmarkEnd w:id="29"/>
      <w:r w:rsidRPr="00382EE7">
        <w:t>purchase request Data Standard Extensible Markup Language (XML) format.</w:t>
      </w:r>
    </w:p>
    <w:p w14:paraId="33D4018E" w14:textId="77777777" w:rsidR="00850595" w:rsidRDefault="00850595"/>
    <w:sectPr w:rsidR="00850595" w:rsidSect="002A24A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0CB94" w14:textId="77777777" w:rsidR="00B163FE" w:rsidRDefault="00B163FE">
      <w:pPr>
        <w:spacing w:after="0" w:line="240" w:lineRule="auto"/>
      </w:pPr>
      <w:r>
        <w:separator/>
      </w:r>
    </w:p>
  </w:endnote>
  <w:endnote w:type="continuationSeparator" w:id="0">
    <w:p w14:paraId="178B6F02" w14:textId="77777777" w:rsidR="00B163FE" w:rsidRDefault="00B16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swiss"/>
    <w:pitch w:val="variable"/>
    <w:sig w:usb0="E00002FF" w:usb1="5200205F" w:usb2="00A0C000" w:usb3="00000000" w:csb0="0000019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D9D73" w14:textId="77777777" w:rsidR="004A5EC3" w:rsidRDefault="00B163FE">
    <w:pPr>
      <w:pStyle w:val="Footer"/>
      <w:rPr>
        <w:rFonts w:ascii="Century Schoolbook" w:hAnsi="Century Schoolbook"/>
        <w:sz w:val="20"/>
      </w:rPr>
    </w:pPr>
  </w:p>
  <w:p w14:paraId="26DE2DAE" w14:textId="77777777" w:rsidR="004A5EC3" w:rsidRDefault="00B163FE">
    <w:pPr>
      <w:pStyle w:val="Footer"/>
      <w:tabs>
        <w:tab w:val="clear" w:pos="8640"/>
      </w:tabs>
      <w:rPr>
        <w:rFonts w:ascii="Century Schoolbook" w:hAnsi="Century Schoolbook"/>
        <w:b/>
        <w:sz w:val="20"/>
      </w:rPr>
    </w:pPr>
  </w:p>
  <w:p w14:paraId="348B2B14" w14:textId="77777777" w:rsidR="004A5EC3" w:rsidRPr="00BC71C0" w:rsidRDefault="00D161FF">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11</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EB5E1" w14:textId="77777777" w:rsidR="000F22F4" w:rsidRDefault="00B163FE">
    <w:pPr>
      <w:pStyle w:val="Footer"/>
      <w:rPr>
        <w:rFonts w:ascii="Century Schoolbook" w:hAnsi="Century Schoolbook"/>
        <w:sz w:val="20"/>
      </w:rPr>
    </w:pPr>
  </w:p>
  <w:p w14:paraId="5FC432F5" w14:textId="77777777" w:rsidR="000F22F4" w:rsidRDefault="00B163FE">
    <w:pPr>
      <w:pStyle w:val="Footer"/>
      <w:tabs>
        <w:tab w:val="clear" w:pos="8640"/>
      </w:tabs>
      <w:rPr>
        <w:rFonts w:ascii="Century Schoolbook" w:hAnsi="Century Schoolbook"/>
        <w:b/>
        <w:sz w:val="20"/>
      </w:rPr>
    </w:pPr>
  </w:p>
  <w:p w14:paraId="04E3C004" w14:textId="77777777" w:rsidR="000F22F4" w:rsidRPr="00BC71C0" w:rsidRDefault="00D161FF">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11</w:t>
    </w:r>
    <w:r w:rsidRPr="00BC71C0">
      <w:rPr>
        <w:szCs w:val="22"/>
      </w:rPr>
      <w:t>.</w:t>
    </w:r>
    <w:r>
      <w:rPr>
        <w:szCs w:val="22"/>
      </w:rPr>
      <w:t>2</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3C0BC" w14:textId="77777777" w:rsidR="000F22F4" w:rsidRDefault="00B163FE">
    <w:pPr>
      <w:pStyle w:val="Footer"/>
      <w:rPr>
        <w:rFonts w:ascii="Century Schoolbook" w:hAnsi="Century Schoolbook"/>
        <w:sz w:val="20"/>
      </w:rPr>
    </w:pPr>
  </w:p>
  <w:p w14:paraId="78159342" w14:textId="77777777" w:rsidR="000F22F4" w:rsidRDefault="00B163FE">
    <w:pPr>
      <w:pStyle w:val="Footer"/>
      <w:tabs>
        <w:tab w:val="clear" w:pos="8640"/>
      </w:tabs>
      <w:rPr>
        <w:rFonts w:ascii="Century Schoolbook" w:hAnsi="Century Schoolbook"/>
        <w:b/>
        <w:sz w:val="20"/>
      </w:rPr>
    </w:pPr>
  </w:p>
  <w:p w14:paraId="6EBF3632" w14:textId="77777777" w:rsidR="000F22F4" w:rsidRPr="00BC71C0" w:rsidRDefault="00D161FF">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11</w:t>
    </w:r>
    <w:r w:rsidRPr="00BC71C0">
      <w:rPr>
        <w:szCs w:val="22"/>
      </w:rPr>
      <w:t>.</w:t>
    </w:r>
    <w:r>
      <w:rPr>
        <w:szCs w:val="22"/>
      </w:rPr>
      <w:t>70</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822E3" w14:textId="77777777" w:rsidR="00B163FE" w:rsidRDefault="00B163FE">
      <w:pPr>
        <w:spacing w:after="0" w:line="240" w:lineRule="auto"/>
      </w:pPr>
      <w:r>
        <w:separator/>
      </w:r>
    </w:p>
  </w:footnote>
  <w:footnote w:type="continuationSeparator" w:id="0">
    <w:p w14:paraId="2295AA4E" w14:textId="77777777" w:rsidR="00B163FE" w:rsidRDefault="00B16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A7002" w14:textId="77777777" w:rsidR="004A5EC3" w:rsidRDefault="00D161FF" w:rsidP="003E6AA4">
    <w:pPr>
      <w:pStyle w:val="Header"/>
      <w:tabs>
        <w:tab w:val="clear" w:pos="8640"/>
        <w:tab w:val="left" w:pos="4590"/>
      </w:tabs>
      <w:jc w:val="center"/>
      <w:rPr>
        <w:sz w:val="28"/>
        <w:szCs w:val="28"/>
      </w:rPr>
    </w:pPr>
    <w:r w:rsidRPr="002B1BC7">
      <w:rPr>
        <w:sz w:val="28"/>
        <w:szCs w:val="28"/>
      </w:rPr>
      <w:t>DFARS Procedures, Guidance, and Information</w:t>
    </w:r>
  </w:p>
  <w:p w14:paraId="0577BFCB" w14:textId="77777777" w:rsidR="004A5EC3" w:rsidRPr="002B1BC7" w:rsidRDefault="00B163FE" w:rsidP="003E6AA4">
    <w:pPr>
      <w:pStyle w:val="Header"/>
      <w:tabs>
        <w:tab w:val="clear" w:pos="8640"/>
        <w:tab w:val="left" w:pos="4590"/>
      </w:tabs>
      <w:jc w:val="center"/>
      <w:rPr>
        <w:sz w:val="28"/>
        <w:szCs w:val="28"/>
      </w:rPr>
    </w:pPr>
  </w:p>
  <w:p w14:paraId="5E0571A9" w14:textId="77777777" w:rsidR="004A5EC3" w:rsidRPr="00BC71C0" w:rsidRDefault="00D161FF">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11</w:t>
    </w:r>
    <w:r w:rsidRPr="00BC71C0">
      <w:rPr>
        <w:szCs w:val="24"/>
      </w:rPr>
      <w:t>—</w:t>
    </w:r>
    <w:r>
      <w:rPr>
        <w:szCs w:val="24"/>
      </w:rPr>
      <w:t>Describing Agency Needs</w:t>
    </w:r>
  </w:p>
  <w:p w14:paraId="11E652F7" w14:textId="77777777" w:rsidR="004A5EC3" w:rsidRDefault="00B163FE">
    <w:pPr>
      <w:pStyle w:val="Header"/>
      <w:tabs>
        <w:tab w:val="clear" w:pos="8640"/>
        <w:tab w:val="right" w:pos="9260"/>
      </w:tabs>
      <w:spacing w:before="20" w:line="20" w:lineRule="exact"/>
      <w:rPr>
        <w:rFonts w:ascii="Geneva" w:hAnsi="Geneva"/>
        <w:b/>
        <w:position w:val="6"/>
        <w:sz w:val="18"/>
      </w:rPr>
    </w:pPr>
  </w:p>
  <w:p w14:paraId="4C0976CA" w14:textId="77777777" w:rsidR="004A5EC3" w:rsidRDefault="00B163FE">
    <w:pPr>
      <w:pStyle w:val="Header"/>
      <w:tabs>
        <w:tab w:val="clear" w:pos="8640"/>
        <w:tab w:val="right" w:pos="9260"/>
      </w:tabs>
      <w:rPr>
        <w:rFonts w:ascii="Century Schoolbook" w:hAnsi="Century Schoolbook"/>
        <w:b/>
        <w:sz w:val="20"/>
      </w:rPr>
    </w:pPr>
  </w:p>
  <w:p w14:paraId="221F11E7" w14:textId="77777777" w:rsidR="004A5EC3" w:rsidRDefault="00B163FE">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43D71" w14:textId="77777777" w:rsidR="000F22F4" w:rsidRDefault="00D161FF" w:rsidP="003E6AA4">
    <w:pPr>
      <w:pStyle w:val="Header"/>
      <w:tabs>
        <w:tab w:val="clear" w:pos="8640"/>
        <w:tab w:val="left" w:pos="4590"/>
      </w:tabs>
      <w:jc w:val="center"/>
      <w:rPr>
        <w:sz w:val="28"/>
        <w:szCs w:val="28"/>
      </w:rPr>
    </w:pPr>
    <w:r w:rsidRPr="002B1BC7">
      <w:rPr>
        <w:sz w:val="28"/>
        <w:szCs w:val="28"/>
      </w:rPr>
      <w:t>DFARS Procedures, Guidance, and Information</w:t>
    </w:r>
  </w:p>
  <w:p w14:paraId="6105F8DB" w14:textId="77777777" w:rsidR="000F22F4" w:rsidRPr="002B1BC7" w:rsidRDefault="00B163FE" w:rsidP="003E6AA4">
    <w:pPr>
      <w:pStyle w:val="Header"/>
      <w:tabs>
        <w:tab w:val="clear" w:pos="8640"/>
        <w:tab w:val="left" w:pos="4590"/>
      </w:tabs>
      <w:jc w:val="center"/>
      <w:rPr>
        <w:sz w:val="28"/>
        <w:szCs w:val="28"/>
      </w:rPr>
    </w:pPr>
  </w:p>
  <w:p w14:paraId="3D28DD79" w14:textId="77777777" w:rsidR="000F22F4" w:rsidRPr="00BC71C0" w:rsidRDefault="00D161FF">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11</w:t>
    </w:r>
    <w:r w:rsidRPr="00BC71C0">
      <w:rPr>
        <w:szCs w:val="24"/>
      </w:rPr>
      <w:t>—</w:t>
    </w:r>
    <w:r>
      <w:rPr>
        <w:szCs w:val="24"/>
      </w:rPr>
      <w:t>Describing Agency Needs</w:t>
    </w:r>
  </w:p>
  <w:p w14:paraId="63C544B8" w14:textId="77777777" w:rsidR="000F22F4" w:rsidRDefault="00B163FE">
    <w:pPr>
      <w:pStyle w:val="Header"/>
      <w:tabs>
        <w:tab w:val="clear" w:pos="8640"/>
        <w:tab w:val="right" w:pos="9260"/>
      </w:tabs>
      <w:spacing w:before="20" w:line="20" w:lineRule="exact"/>
      <w:rPr>
        <w:rFonts w:ascii="Geneva" w:hAnsi="Geneva"/>
        <w:b/>
        <w:position w:val="6"/>
        <w:sz w:val="18"/>
      </w:rPr>
    </w:pPr>
  </w:p>
  <w:p w14:paraId="21EA37EA" w14:textId="77777777" w:rsidR="000F22F4" w:rsidRDefault="00B163FE">
    <w:pPr>
      <w:pStyle w:val="Header"/>
      <w:tabs>
        <w:tab w:val="clear" w:pos="8640"/>
        <w:tab w:val="right" w:pos="9260"/>
      </w:tabs>
      <w:rPr>
        <w:rFonts w:ascii="Century Schoolbook" w:hAnsi="Century Schoolbook"/>
        <w:b/>
        <w:sz w:val="20"/>
      </w:rPr>
    </w:pPr>
  </w:p>
  <w:p w14:paraId="316FC328" w14:textId="77777777" w:rsidR="000F22F4" w:rsidRDefault="00B163FE">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642ED" w14:textId="77777777" w:rsidR="000F22F4" w:rsidRDefault="00D161FF" w:rsidP="003E6AA4">
    <w:pPr>
      <w:pStyle w:val="Header"/>
      <w:tabs>
        <w:tab w:val="clear" w:pos="8640"/>
        <w:tab w:val="left" w:pos="4590"/>
      </w:tabs>
      <w:jc w:val="center"/>
      <w:rPr>
        <w:sz w:val="28"/>
        <w:szCs w:val="28"/>
      </w:rPr>
    </w:pPr>
    <w:r w:rsidRPr="002B1BC7">
      <w:rPr>
        <w:sz w:val="28"/>
        <w:szCs w:val="28"/>
      </w:rPr>
      <w:t>DFARS Procedures, Guidance, and Information</w:t>
    </w:r>
  </w:p>
  <w:p w14:paraId="5C323FCF" w14:textId="77777777" w:rsidR="000F22F4" w:rsidRPr="002B1BC7" w:rsidRDefault="00B163FE" w:rsidP="003E6AA4">
    <w:pPr>
      <w:pStyle w:val="Header"/>
      <w:tabs>
        <w:tab w:val="clear" w:pos="8640"/>
        <w:tab w:val="left" w:pos="4590"/>
      </w:tabs>
      <w:jc w:val="center"/>
      <w:rPr>
        <w:sz w:val="28"/>
        <w:szCs w:val="28"/>
      </w:rPr>
    </w:pPr>
  </w:p>
  <w:p w14:paraId="0EC6CD81" w14:textId="77777777" w:rsidR="000F22F4" w:rsidRPr="00BC71C0" w:rsidRDefault="00D161FF">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11</w:t>
    </w:r>
    <w:r w:rsidRPr="00BC71C0">
      <w:rPr>
        <w:szCs w:val="24"/>
      </w:rPr>
      <w:t>—</w:t>
    </w:r>
    <w:r>
      <w:rPr>
        <w:szCs w:val="24"/>
      </w:rPr>
      <w:t>Describing Agency Needs</w:t>
    </w:r>
  </w:p>
  <w:p w14:paraId="7BC69784" w14:textId="77777777" w:rsidR="000F22F4" w:rsidRDefault="00B163FE">
    <w:pPr>
      <w:pStyle w:val="Header"/>
      <w:tabs>
        <w:tab w:val="clear" w:pos="8640"/>
        <w:tab w:val="right" w:pos="9260"/>
      </w:tabs>
      <w:spacing w:before="20" w:line="20" w:lineRule="exact"/>
      <w:rPr>
        <w:rFonts w:ascii="Geneva" w:hAnsi="Geneva"/>
        <w:b/>
        <w:position w:val="6"/>
        <w:sz w:val="18"/>
      </w:rPr>
    </w:pPr>
  </w:p>
  <w:p w14:paraId="0CAF9200" w14:textId="77777777" w:rsidR="000F22F4" w:rsidRDefault="00B163FE">
    <w:pPr>
      <w:pStyle w:val="Header"/>
      <w:tabs>
        <w:tab w:val="clear" w:pos="8640"/>
        <w:tab w:val="right" w:pos="9260"/>
      </w:tabs>
      <w:rPr>
        <w:rFonts w:ascii="Century Schoolbook" w:hAnsi="Century Schoolbook"/>
        <w:b/>
        <w:sz w:val="20"/>
      </w:rPr>
    </w:pPr>
  </w:p>
  <w:p w14:paraId="4680C4F8" w14:textId="77777777" w:rsidR="000F22F4" w:rsidRDefault="00B163FE">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FF"/>
    <w:rsid w:val="002D0A87"/>
    <w:rsid w:val="0030596B"/>
    <w:rsid w:val="00505901"/>
    <w:rsid w:val="005C04A2"/>
    <w:rsid w:val="007D6208"/>
    <w:rsid w:val="00850595"/>
    <w:rsid w:val="00B163FE"/>
    <w:rsid w:val="00B8095C"/>
    <w:rsid w:val="00BF48DE"/>
    <w:rsid w:val="00C60154"/>
    <w:rsid w:val="00D161FF"/>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5C08"/>
  <w15:chartTrackingRefBased/>
  <w15:docId w15:val="{3BF36C71-A304-46C0-879B-7B95C91C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D161FF"/>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D161FF"/>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D161FF"/>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D161FF"/>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1FF"/>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D161FF"/>
    <w:rPr>
      <w:rFonts w:ascii="Arial" w:eastAsiaTheme="majorEastAsia" w:hAnsi="Arial" w:cs="Arial"/>
      <w:b/>
      <w:bCs/>
      <w:iCs/>
      <w:sz w:val="28"/>
      <w:szCs w:val="28"/>
    </w:rPr>
  </w:style>
  <w:style w:type="character" w:customStyle="1" w:styleId="Heading3Char">
    <w:name w:val="Heading 3 Char"/>
    <w:basedOn w:val="DefaultParagraphFont"/>
    <w:link w:val="Heading3"/>
    <w:rsid w:val="00D161FF"/>
    <w:rPr>
      <w:rFonts w:ascii="Arial" w:eastAsia="Times New Roman" w:hAnsi="Arial" w:cs="Arial"/>
      <w:szCs w:val="20"/>
    </w:rPr>
  </w:style>
  <w:style w:type="paragraph" w:styleId="Footer">
    <w:name w:val="footer"/>
    <w:basedOn w:val="Normal"/>
    <w:link w:val="FooterChar"/>
    <w:rsid w:val="00D161FF"/>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D161FF"/>
    <w:rPr>
      <w:rFonts w:ascii="Arial" w:eastAsia="Times New Roman" w:hAnsi="Arial" w:cs="Arial"/>
      <w:szCs w:val="20"/>
    </w:rPr>
  </w:style>
  <w:style w:type="paragraph" w:styleId="Header">
    <w:name w:val="header"/>
    <w:basedOn w:val="Normal"/>
    <w:link w:val="HeaderChar"/>
    <w:uiPriority w:val="99"/>
    <w:rsid w:val="00D161FF"/>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uiPriority w:val="99"/>
    <w:rsid w:val="00D161FF"/>
    <w:rPr>
      <w:rFonts w:ascii="Arial" w:eastAsia="Times New Roman" w:hAnsi="Arial" w:cs="Arial"/>
      <w:szCs w:val="20"/>
    </w:rPr>
  </w:style>
  <w:style w:type="character" w:customStyle="1" w:styleId="Heading4Char">
    <w:name w:val="Heading 4 Char"/>
    <w:basedOn w:val="DefaultParagraphFont"/>
    <w:link w:val="Heading4"/>
    <w:rsid w:val="00D161FF"/>
    <w:rPr>
      <w:rFonts w:ascii="Arial" w:eastAsia="Times New Roman" w:hAnsi="Arial" w:cs="Arial"/>
      <w:szCs w:val="20"/>
    </w:rPr>
  </w:style>
  <w:style w:type="character" w:styleId="Hyperlink">
    <w:name w:val="Hyperlink"/>
    <w:basedOn w:val="DefaultParagraphFont"/>
    <w:uiPriority w:val="99"/>
    <w:rsid w:val="00D161FF"/>
    <w:rPr>
      <w:color w:val="0000FF"/>
      <w:u w:val="single"/>
    </w:rPr>
  </w:style>
  <w:style w:type="paragraph" w:customStyle="1" w:styleId="List1">
    <w:name w:val="List 1"/>
    <w:link w:val="List1Char"/>
    <w:rsid w:val="00D161FF"/>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D161FF"/>
    <w:rPr>
      <w:rFonts w:ascii="Arial" w:eastAsia="Times New Roman" w:hAnsi="Arial" w:cs="Arial"/>
      <w:szCs w:val="24"/>
    </w:rPr>
  </w:style>
  <w:style w:type="paragraph" w:styleId="List2">
    <w:name w:val="List 2"/>
    <w:link w:val="List2Char"/>
    <w:uiPriority w:val="99"/>
    <w:unhideWhenUsed/>
    <w:rsid w:val="00D161FF"/>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unhideWhenUsed/>
    <w:rsid w:val="00D161FF"/>
    <w:pPr>
      <w:spacing w:after="0" w:line="240" w:lineRule="auto"/>
      <w:ind w:left="1080" w:hanging="360"/>
      <w:contextualSpacing/>
    </w:pPr>
    <w:rPr>
      <w:rFonts w:ascii="Arial" w:eastAsia="Times New Roman" w:hAnsi="Arial" w:cs="Arial"/>
      <w:szCs w:val="20"/>
    </w:rPr>
  </w:style>
  <w:style w:type="character" w:customStyle="1" w:styleId="List3Char">
    <w:name w:val="List 3 Char"/>
    <w:basedOn w:val="DefaultParagraphFont"/>
    <w:link w:val="List3"/>
    <w:uiPriority w:val="99"/>
    <w:rsid w:val="00D161FF"/>
    <w:rPr>
      <w:rFonts w:ascii="Arial" w:eastAsia="Times New Roman" w:hAnsi="Arial" w:cs="Arial"/>
      <w:szCs w:val="20"/>
    </w:rPr>
  </w:style>
  <w:style w:type="character" w:customStyle="1" w:styleId="List2Char">
    <w:name w:val="List 2 Char"/>
    <w:basedOn w:val="DefaultParagraphFont"/>
    <w:link w:val="List2"/>
    <w:uiPriority w:val="99"/>
    <w:rsid w:val="00D161FF"/>
    <w:rPr>
      <w:rFonts w:ascii="Arial" w:eastAsia="Times New Roman" w:hAnsi="Arial" w:cs="Arial"/>
      <w:szCs w:val="20"/>
    </w:rPr>
  </w:style>
  <w:style w:type="paragraph" w:styleId="TOC1">
    <w:name w:val="toc 1"/>
    <w:basedOn w:val="Normal"/>
    <w:next w:val="Normal"/>
    <w:autoRedefine/>
    <w:uiPriority w:val="39"/>
    <w:unhideWhenUsed/>
    <w:rsid w:val="00D161FF"/>
    <w:pPr>
      <w:spacing w:after="100"/>
    </w:pPr>
  </w:style>
  <w:style w:type="paragraph" w:styleId="TOC2">
    <w:name w:val="toc 2"/>
    <w:basedOn w:val="Normal"/>
    <w:next w:val="Normal"/>
    <w:autoRedefine/>
    <w:uiPriority w:val="39"/>
    <w:unhideWhenUsed/>
    <w:rsid w:val="00D161FF"/>
    <w:pPr>
      <w:spacing w:after="100"/>
      <w:ind w:left="220"/>
    </w:pPr>
  </w:style>
  <w:style w:type="paragraph" w:styleId="TOC3">
    <w:name w:val="toc 3"/>
    <w:basedOn w:val="Normal"/>
    <w:next w:val="Normal"/>
    <w:autoRedefine/>
    <w:uiPriority w:val="39"/>
    <w:unhideWhenUsed/>
    <w:rsid w:val="00D161FF"/>
    <w:pPr>
      <w:spacing w:after="100"/>
      <w:ind w:left="440"/>
    </w:pPr>
  </w:style>
  <w:style w:type="paragraph" w:styleId="TOC4">
    <w:name w:val="toc 4"/>
    <w:basedOn w:val="Normal"/>
    <w:next w:val="Normal"/>
    <w:autoRedefine/>
    <w:uiPriority w:val="39"/>
    <w:unhideWhenUsed/>
    <w:rsid w:val="00D161FF"/>
    <w:pPr>
      <w:spacing w:after="100"/>
      <w:ind w:left="660"/>
    </w:pPr>
  </w:style>
  <w:style w:type="paragraph" w:styleId="TOC5">
    <w:name w:val="toc 5"/>
    <w:basedOn w:val="Normal"/>
    <w:next w:val="Normal"/>
    <w:autoRedefine/>
    <w:uiPriority w:val="39"/>
    <w:semiHidden/>
    <w:unhideWhenUsed/>
    <w:rsid w:val="00D161FF"/>
    <w:pPr>
      <w:spacing w:after="100"/>
      <w:ind w:left="880"/>
    </w:pPr>
  </w:style>
  <w:style w:type="paragraph" w:styleId="TOC6">
    <w:name w:val="toc 6"/>
    <w:basedOn w:val="Normal"/>
    <w:next w:val="Normal"/>
    <w:autoRedefine/>
    <w:uiPriority w:val="39"/>
    <w:semiHidden/>
    <w:unhideWhenUsed/>
    <w:rsid w:val="00D161FF"/>
    <w:pPr>
      <w:spacing w:after="100"/>
      <w:ind w:left="1100"/>
    </w:pPr>
  </w:style>
  <w:style w:type="paragraph" w:styleId="TOC7">
    <w:name w:val="toc 7"/>
    <w:basedOn w:val="Normal"/>
    <w:next w:val="Normal"/>
    <w:autoRedefine/>
    <w:uiPriority w:val="39"/>
    <w:semiHidden/>
    <w:unhideWhenUsed/>
    <w:rsid w:val="00D161FF"/>
    <w:pPr>
      <w:spacing w:after="100"/>
      <w:ind w:left="1320"/>
    </w:pPr>
  </w:style>
  <w:style w:type="paragraph" w:styleId="TOC8">
    <w:name w:val="toc 8"/>
    <w:basedOn w:val="Normal"/>
    <w:next w:val="Normal"/>
    <w:autoRedefine/>
    <w:uiPriority w:val="39"/>
    <w:semiHidden/>
    <w:unhideWhenUsed/>
    <w:rsid w:val="00D161FF"/>
    <w:pPr>
      <w:spacing w:after="100"/>
      <w:ind w:left="1540"/>
    </w:pPr>
  </w:style>
  <w:style w:type="paragraph" w:styleId="TOC9">
    <w:name w:val="toc 9"/>
    <w:basedOn w:val="Normal"/>
    <w:next w:val="Normal"/>
    <w:autoRedefine/>
    <w:uiPriority w:val="39"/>
    <w:semiHidden/>
    <w:unhideWhenUsed/>
    <w:rsid w:val="00D161F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ist.dla.mil/" TargetMode="External"/><Relationship Id="rId13" Type="http://schemas.openxmlformats.org/officeDocument/2006/relationships/hyperlink" Target="mailto:osd.pentagon.ousd-atl.mbx.pdi@mail.mil" TargetMode="External"/><Relationship Id="rId18" Type="http://schemas.openxmlformats.org/officeDocument/2006/relationships/hyperlink" Target="https://www.transactionservices.dla.mil/daasinq"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fms.treas.gov/fastbook/index.html" TargetMode="External"/><Relationship Id="rId7" Type="http://schemas.openxmlformats.org/officeDocument/2006/relationships/footer" Target="footer1.xml"/><Relationship Id="rId12" Type="http://schemas.openxmlformats.org/officeDocument/2006/relationships/hyperlink" Target="http://www.acq.osd.mil/dpap/dars/dfars/html/current/211_2.htm" TargetMode="External"/><Relationship Id="rId17" Type="http://schemas.openxmlformats.org/officeDocument/2006/relationships/hyperlink" Target="https://www.acq.osd.mil/dpap/dars/dfars/html/current/253208.htm"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www.acq.osd.mil/dpap/dars/dfars/html/current/253208.htm" TargetMode="External"/><Relationship Id="rId20" Type="http://schemas.openxmlformats.org/officeDocument/2006/relationships/hyperlink" Target="https://www.acq.osd.mil/dpap/dars/dfars/html/current/211_2.htm"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acq.osd.mil/dpap/dars/dfars/html/current/252211.htm"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hyperlink" Target="http://eda.ogden.disa.mil" TargetMode="External"/><Relationship Id="rId10" Type="http://schemas.openxmlformats.org/officeDocument/2006/relationships/hyperlink" Target="http://assist.dla.mil/online/faqs/overview.cfm" TargetMode="External"/><Relationship Id="rId19" Type="http://schemas.openxmlformats.org/officeDocument/2006/relationships/hyperlink" Target="https://www.acq.osd.mil/dpap/dars/dfars/html/current/204_71.htm" TargetMode="External"/><Relationship Id="rId4" Type="http://schemas.openxmlformats.org/officeDocument/2006/relationships/footnotes" Target="footnotes.xml"/><Relationship Id="rId9" Type="http://schemas.openxmlformats.org/officeDocument/2006/relationships/hyperlink" Target="http://quicksearch.dla.mil/" TargetMode="External"/><Relationship Id="rId14" Type="http://schemas.openxmlformats.org/officeDocument/2006/relationships/header" Target="header2.xml"/><Relationship Id="rId22" Type="http://schemas.openxmlformats.org/officeDocument/2006/relationships/hyperlink" Target="http://www.acq.osd.mil/dpap/pdi/eb/procurement_data_standar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2020-04-10T16:53:00Z</dcterms:created>
  <dcterms:modified xsi:type="dcterms:W3CDTF">2020-04-14T15:33:00Z</dcterms:modified>
</cp:coreProperties>
</file>