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3776" w14:textId="77777777" w:rsidR="006430D4" w:rsidRDefault="006430D4">
      <w:pPr>
        <w:sectPr w:rsidR="006430D4">
          <w:pgSz w:w="12240" w:h="15840"/>
          <w:pgMar w:top="1440" w:right="1440" w:bottom="1440" w:left="1440" w:header="720" w:footer="720" w:gutter="0"/>
          <w:cols w:space="720"/>
          <w:docGrid w:linePitch="360"/>
        </w:sectPr>
      </w:pPr>
    </w:p>
    <w:p w14:paraId="2A0BA4AD" w14:textId="77777777" w:rsidR="006430D4" w:rsidRDefault="006430D4" w:rsidP="00A76401">
      <w:pPr>
        <w:pStyle w:val="Heading1"/>
      </w:pPr>
      <w:bookmarkStart w:id="0" w:name="_Toc37677367"/>
      <w:bookmarkStart w:id="1" w:name="_Toc37755776"/>
      <w:r>
        <w:lastRenderedPageBreak/>
        <w:t xml:space="preserve">PGI </w:t>
      </w:r>
      <w:r w:rsidRPr="007B495C">
        <w:t>PART 2</w:t>
      </w:r>
      <w:r>
        <w:t>12</w:t>
      </w:r>
      <w:r w:rsidRPr="007B495C">
        <w:t xml:space="preserve"> - </w:t>
      </w:r>
      <w:r>
        <w:br/>
      </w:r>
      <w:r w:rsidRPr="00A365DD">
        <w:t>ACQUISITION OF COMMERCIAL ITEMS</w:t>
      </w:r>
      <w:bookmarkEnd w:id="0"/>
      <w:bookmarkEnd w:id="1"/>
    </w:p>
    <w:p w14:paraId="1BB94F9A" w14:textId="77777777" w:rsidR="006430D4" w:rsidRDefault="006430D4">
      <w:r>
        <w:br w:type="page"/>
      </w:r>
      <w:r>
        <w:lastRenderedPageBreak/>
        <w:br/>
      </w:r>
    </w:p>
    <w:p w14:paraId="2F2F76C0" w14:textId="77777777" w:rsidR="008B14A9" w:rsidRPr="00413CA1" w:rsidRDefault="008B14A9" w:rsidP="00413CA1">
      <w:pPr>
        <w:jc w:val="center"/>
        <w:rPr>
          <w:b/>
        </w:rPr>
      </w:pPr>
      <w:r w:rsidRPr="00413CA1">
        <w:rPr>
          <w:b/>
        </w:rPr>
        <w:t>Table of Contents</w:t>
      </w:r>
    </w:p>
    <w:p w14:paraId="62E7EA9F" w14:textId="0D2615F4" w:rsidR="00AC24E7" w:rsidRDefault="00AC24E7" w:rsidP="00AC24E7">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5776" w:history="1">
        <w:r w:rsidRPr="00491787">
          <w:rPr>
            <w:rStyle w:val="Hyperlink"/>
            <w:noProof/>
          </w:rPr>
          <w:t>PGI PART 212 -  ACQUISITION OF COMMERCIAL ITEMS</w:t>
        </w:r>
      </w:hyperlink>
    </w:p>
    <w:p w14:paraId="7620BE35" w14:textId="68F1F07F" w:rsidR="00AC24E7" w:rsidRDefault="00AC24E7" w:rsidP="00AC24E7">
      <w:pPr>
        <w:pStyle w:val="TOC2"/>
        <w:tabs>
          <w:tab w:val="right" w:leader="dot" w:pos="9350"/>
        </w:tabs>
        <w:rPr>
          <w:rFonts w:asciiTheme="minorHAnsi" w:eastAsiaTheme="minorEastAsia" w:hAnsiTheme="minorHAnsi" w:cstheme="minorBidi"/>
          <w:noProof/>
        </w:rPr>
      </w:pPr>
      <w:hyperlink w:anchor="_Toc37755777" w:history="1">
        <w:r w:rsidRPr="00491787">
          <w:rPr>
            <w:rStyle w:val="Hyperlink"/>
            <w:caps/>
            <w:noProof/>
          </w:rPr>
          <w:t>PGI 212.1—ACQUISITION OF COMMERCIAL ITEMS</w:t>
        </w:r>
        <w:r w:rsidRPr="00491787">
          <w:rPr>
            <w:rStyle w:val="Hyperlink"/>
            <w:noProof/>
          </w:rPr>
          <w:t>—</w:t>
        </w:r>
        <w:r w:rsidRPr="00491787">
          <w:rPr>
            <w:rStyle w:val="Hyperlink"/>
            <w:caps/>
            <w:noProof/>
          </w:rPr>
          <w:t>GENERAL</w:t>
        </w:r>
      </w:hyperlink>
    </w:p>
    <w:p w14:paraId="612DFF66" w14:textId="49F87FF3" w:rsidR="00AC24E7" w:rsidRDefault="00AC24E7" w:rsidP="00AC24E7">
      <w:pPr>
        <w:pStyle w:val="TOC3"/>
        <w:tabs>
          <w:tab w:val="right" w:leader="dot" w:pos="9350"/>
        </w:tabs>
        <w:rPr>
          <w:rFonts w:asciiTheme="minorHAnsi" w:eastAsiaTheme="minorEastAsia" w:hAnsiTheme="minorHAnsi" w:cstheme="minorBidi"/>
          <w:noProof/>
        </w:rPr>
      </w:pPr>
      <w:hyperlink w:anchor="_Toc37755778" w:history="1">
        <w:r w:rsidRPr="00491787">
          <w:rPr>
            <w:rStyle w:val="Hyperlink"/>
            <w:b/>
            <w:noProof/>
          </w:rPr>
          <w:t>PGI 212.102  Applicability.</w:t>
        </w:r>
      </w:hyperlink>
    </w:p>
    <w:p w14:paraId="3CABC78B" w14:textId="19E4996E" w:rsidR="00AC24E7" w:rsidRDefault="00AC24E7" w:rsidP="00AC24E7">
      <w:pPr>
        <w:pStyle w:val="TOC2"/>
        <w:tabs>
          <w:tab w:val="right" w:leader="dot" w:pos="9350"/>
        </w:tabs>
        <w:rPr>
          <w:rFonts w:asciiTheme="minorHAnsi" w:eastAsiaTheme="minorEastAsia" w:hAnsiTheme="minorHAnsi" w:cstheme="minorBidi"/>
          <w:noProof/>
        </w:rPr>
      </w:pPr>
      <w:hyperlink w:anchor="_Toc37755779" w:history="1">
        <w:r w:rsidRPr="00491787">
          <w:rPr>
            <w:rStyle w:val="Hyperlink"/>
            <w:caps/>
            <w:noProof/>
          </w:rPr>
          <w:t>PGI 212.71—PILOT PROGRAM FOR ACQUISITION of MILITARY-PURPOSE NONDEVELOPMENTAL ITEMS</w:t>
        </w:r>
      </w:hyperlink>
    </w:p>
    <w:p w14:paraId="2512F105" w14:textId="0DC064B8" w:rsidR="00AC24E7" w:rsidRDefault="00AC24E7" w:rsidP="00AC24E7">
      <w:pPr>
        <w:pStyle w:val="TOC3"/>
        <w:tabs>
          <w:tab w:val="right" w:leader="dot" w:pos="9350"/>
        </w:tabs>
        <w:rPr>
          <w:rFonts w:asciiTheme="minorHAnsi" w:eastAsiaTheme="minorEastAsia" w:hAnsiTheme="minorHAnsi" w:cstheme="minorBidi"/>
          <w:noProof/>
        </w:rPr>
      </w:pPr>
      <w:hyperlink w:anchor="_Toc37755780" w:history="1">
        <w:r w:rsidRPr="00491787">
          <w:rPr>
            <w:rStyle w:val="Hyperlink"/>
            <w:b/>
            <w:noProof/>
          </w:rPr>
          <w:t>PGI 212.7102  Pilot Program.</w:t>
        </w:r>
      </w:hyperlink>
    </w:p>
    <w:p w14:paraId="62B51844" w14:textId="674B7314" w:rsidR="00AC24E7" w:rsidRDefault="00AC24E7" w:rsidP="00AC24E7">
      <w:pPr>
        <w:pStyle w:val="TOC4"/>
        <w:tabs>
          <w:tab w:val="right" w:leader="dot" w:pos="9350"/>
        </w:tabs>
        <w:rPr>
          <w:rFonts w:asciiTheme="minorHAnsi" w:eastAsiaTheme="minorEastAsia" w:hAnsiTheme="minorHAnsi" w:cstheme="minorBidi"/>
          <w:noProof/>
        </w:rPr>
      </w:pPr>
      <w:hyperlink w:anchor="_Toc37755781" w:history="1">
        <w:r w:rsidRPr="00491787">
          <w:rPr>
            <w:rStyle w:val="Hyperlink"/>
            <w:b/>
            <w:noProof/>
          </w:rPr>
          <w:t>PGI 212.7102-3  Reporting requirements.</w:t>
        </w:r>
      </w:hyperlink>
    </w:p>
    <w:p w14:paraId="039C730A" w14:textId="5870E588" w:rsidR="006430D4" w:rsidRPr="006430D4" w:rsidRDefault="00AC24E7" w:rsidP="006430D4">
      <w:r>
        <w:rPr>
          <w:rStyle w:val="Hyperlink"/>
          <w:caps/>
          <w:noProof/>
        </w:rPr>
        <w:fldChar w:fldCharType="end"/>
      </w:r>
    </w:p>
    <w:p w14:paraId="23F5E654" w14:textId="77777777" w:rsidR="006430D4" w:rsidRDefault="006430D4" w:rsidP="003558FA">
      <w:pPr>
        <w:jc w:val="center"/>
      </w:pPr>
      <w:bookmarkStart w:id="2" w:name="BM206_2"/>
      <w:r w:rsidRPr="00DF327A">
        <w:rPr>
          <w:i/>
          <w:szCs w:val="24"/>
        </w:rPr>
        <w:t>(</w:t>
      </w:r>
      <w:r>
        <w:rPr>
          <w:i/>
          <w:szCs w:val="24"/>
        </w:rPr>
        <w:t>Revised</w:t>
      </w:r>
      <w:r w:rsidRPr="00DF327A">
        <w:rPr>
          <w:i/>
          <w:szCs w:val="24"/>
        </w:rPr>
        <w:t xml:space="preserve"> </w:t>
      </w:r>
      <w:r>
        <w:rPr>
          <w:i/>
          <w:szCs w:val="24"/>
        </w:rPr>
        <w:t>August 9, 2019</w:t>
      </w:r>
      <w:r w:rsidRPr="00DF327A">
        <w:rPr>
          <w:i/>
          <w:szCs w:val="24"/>
        </w:rPr>
        <w:t>)</w:t>
      </w:r>
    </w:p>
    <w:p w14:paraId="2B91F7FD" w14:textId="77777777" w:rsidR="006430D4" w:rsidRDefault="006430D4" w:rsidP="003558FA">
      <w:pPr>
        <w:pStyle w:val="Heading2"/>
      </w:pPr>
      <w:r>
        <w:rPr>
          <w:i/>
          <w:szCs w:val="24"/>
        </w:rPr>
        <w:br/>
      </w:r>
      <w:bookmarkStart w:id="3" w:name="BM212_2"/>
      <w:bookmarkStart w:id="4" w:name="_Toc37415646"/>
      <w:bookmarkStart w:id="5" w:name="_Toc37677368"/>
      <w:bookmarkStart w:id="6" w:name="_Toc37755777"/>
      <w:bookmarkEnd w:id="2"/>
      <w:r w:rsidRPr="00DF327A">
        <w:rPr>
          <w:caps/>
        </w:rPr>
        <w:t>PGI 212.1—ACQUISITION OF COMMERCIAL ITEMS</w:t>
      </w:r>
      <w:r w:rsidRPr="00DF327A">
        <w:rPr>
          <w:szCs w:val="24"/>
        </w:rPr>
        <w:t>—</w:t>
      </w:r>
      <w:r w:rsidRPr="00DF327A">
        <w:rPr>
          <w:caps/>
        </w:rPr>
        <w:t>GENERAL</w:t>
      </w:r>
      <w:bookmarkEnd w:id="3"/>
      <w:bookmarkEnd w:id="4"/>
      <w:bookmarkEnd w:id="5"/>
      <w:bookmarkEnd w:id="6"/>
    </w:p>
    <w:p w14:paraId="19E365BA" w14:textId="77777777" w:rsidR="006430D4" w:rsidRDefault="006430D4" w:rsidP="003558FA">
      <w:pPr>
        <w:pStyle w:val="Heading3"/>
      </w:pPr>
      <w:r>
        <w:rPr>
          <w:b/>
          <w:szCs w:val="24"/>
        </w:rPr>
        <w:br/>
      </w:r>
      <w:bookmarkStart w:id="7" w:name="_Toc37415647"/>
      <w:bookmarkStart w:id="8" w:name="_Toc37677369"/>
      <w:bookmarkStart w:id="9" w:name="_Toc37755778"/>
      <w:r w:rsidRPr="00DF327A">
        <w:rPr>
          <w:b/>
          <w:szCs w:val="24"/>
        </w:rPr>
        <w:t xml:space="preserve">PGI </w:t>
      </w:r>
      <w:proofErr w:type="gramStart"/>
      <w:r w:rsidRPr="00DF327A">
        <w:rPr>
          <w:b/>
          <w:szCs w:val="24"/>
        </w:rPr>
        <w:t>212.102  Applicability</w:t>
      </w:r>
      <w:proofErr w:type="gramEnd"/>
      <w:r w:rsidRPr="00DF327A">
        <w:rPr>
          <w:b/>
          <w:szCs w:val="24"/>
        </w:rPr>
        <w:t>.</w:t>
      </w:r>
      <w:bookmarkEnd w:id="7"/>
      <w:bookmarkEnd w:id="8"/>
      <w:bookmarkEnd w:id="9"/>
    </w:p>
    <w:p w14:paraId="43C2489E" w14:textId="77777777" w:rsidR="006430D4" w:rsidRDefault="006430D4" w:rsidP="003558FA">
      <w:pPr>
        <w:pStyle w:val="List1"/>
      </w:pPr>
      <w:r>
        <w:rPr>
          <w:b/>
        </w:rPr>
        <w:br/>
      </w:r>
      <w:r w:rsidRPr="00A36548">
        <w:t>(a)(</w:t>
      </w:r>
      <w:proofErr w:type="spellStart"/>
      <w:r w:rsidRPr="00A36548">
        <w:t>i</w:t>
      </w:r>
      <w:proofErr w:type="spellEnd"/>
      <w:proofErr w:type="gramStart"/>
      <w:r w:rsidRPr="00A36548">
        <w:t xml:space="preserve">)  </w:t>
      </w:r>
      <w:r w:rsidRPr="00A36548">
        <w:rPr>
          <w:i/>
        </w:rPr>
        <w:t>Commercial</w:t>
      </w:r>
      <w:proofErr w:type="gramEnd"/>
      <w:r w:rsidRPr="00A36548">
        <w:rPr>
          <w:i/>
        </w:rPr>
        <w:t xml:space="preserve"> item determination</w:t>
      </w:r>
      <w:r w:rsidRPr="00A36548">
        <w:t>.</w:t>
      </w:r>
    </w:p>
    <w:p w14:paraId="0F68AA25" w14:textId="77777777" w:rsidR="006430D4" w:rsidRDefault="006430D4" w:rsidP="003558FA">
      <w:pPr>
        <w:pStyle w:val="List6"/>
      </w:pPr>
      <w:r>
        <w:br/>
      </w:r>
      <w:r w:rsidRPr="00101584">
        <w:rPr>
          <w:kern w:val="20"/>
        </w:rPr>
        <w:t xml:space="preserve">(1) </w:t>
      </w:r>
      <w:r w:rsidRPr="00101584">
        <w:rPr>
          <w:i/>
          <w:kern w:val="20"/>
        </w:rPr>
        <w:t>Making the commercial item determination</w:t>
      </w:r>
      <w:r w:rsidRPr="00101584">
        <w:rPr>
          <w:kern w:val="20"/>
        </w:rPr>
        <w:t>.</w:t>
      </w:r>
    </w:p>
    <w:p w14:paraId="3D5411A0" w14:textId="77777777" w:rsidR="006430D4" w:rsidRDefault="006430D4" w:rsidP="003558FA">
      <w:pPr>
        <w:pStyle w:val="List4"/>
        <w:rPr>
          <w:b/>
        </w:rPr>
      </w:pPr>
      <w:r>
        <w:rPr>
          <w:b/>
          <w:spacing w:val="-5"/>
          <w:kern w:val="20"/>
          <w:szCs w:val="24"/>
        </w:rPr>
        <w:br/>
      </w:r>
      <w:r w:rsidRPr="00101584">
        <w:rPr>
          <w:spacing w:val="-5"/>
          <w:kern w:val="20"/>
          <w:szCs w:val="24"/>
        </w:rPr>
        <w:t xml:space="preserve">(A) The contracting officer may </w:t>
      </w:r>
      <w:r>
        <w:rPr>
          <w:spacing w:val="-5"/>
          <w:kern w:val="20"/>
          <w:szCs w:val="24"/>
        </w:rPr>
        <w:t xml:space="preserve">make the commercial item determination or </w:t>
      </w:r>
      <w:r w:rsidRPr="00101584">
        <w:rPr>
          <w:spacing w:val="-5"/>
          <w:kern w:val="20"/>
          <w:szCs w:val="24"/>
        </w:rPr>
        <w:t xml:space="preserve">request </w:t>
      </w:r>
      <w:r>
        <w:rPr>
          <w:spacing w:val="-5"/>
          <w:kern w:val="20"/>
          <w:szCs w:val="24"/>
        </w:rPr>
        <w:t>a</w:t>
      </w:r>
      <w:r w:rsidRPr="00101584">
        <w:rPr>
          <w:spacing w:val="-5"/>
          <w:kern w:val="20"/>
          <w:szCs w:val="24"/>
        </w:rPr>
        <w:t xml:space="preserve"> Defense Contract Management Agency (DCMA) Commercial Item Group (CIG) contracting officer</w:t>
      </w:r>
      <w:r>
        <w:rPr>
          <w:spacing w:val="-5"/>
          <w:kern w:val="20"/>
          <w:szCs w:val="24"/>
        </w:rPr>
        <w:t xml:space="preserve"> make</w:t>
      </w:r>
      <w:r w:rsidRPr="00101584">
        <w:rPr>
          <w:spacing w:val="-5"/>
          <w:kern w:val="20"/>
          <w:szCs w:val="24"/>
        </w:rPr>
        <w:t xml:space="preserve"> </w:t>
      </w:r>
      <w:r>
        <w:rPr>
          <w:spacing w:val="-5"/>
          <w:kern w:val="20"/>
          <w:szCs w:val="24"/>
        </w:rPr>
        <w:t>the</w:t>
      </w:r>
      <w:r w:rsidRPr="00101584">
        <w:rPr>
          <w:spacing w:val="-5"/>
          <w:kern w:val="20"/>
          <w:szCs w:val="24"/>
        </w:rPr>
        <w:t xml:space="preserve"> determination</w:t>
      </w:r>
      <w:r>
        <w:rPr>
          <w:spacing w:val="-5"/>
          <w:kern w:val="20"/>
          <w:szCs w:val="24"/>
        </w:rPr>
        <w:t>.  To request a determination from a DCMA CIG contracting officer, the contracting officer shall send a request to the e-mail address at paragraph (a)(</w:t>
      </w:r>
      <w:proofErr w:type="spellStart"/>
      <w:r>
        <w:rPr>
          <w:spacing w:val="-5"/>
          <w:kern w:val="20"/>
          <w:szCs w:val="24"/>
        </w:rPr>
        <w:t>i</w:t>
      </w:r>
      <w:proofErr w:type="spellEnd"/>
      <w:r>
        <w:rPr>
          <w:spacing w:val="-5"/>
          <w:kern w:val="20"/>
          <w:szCs w:val="24"/>
        </w:rPr>
        <w:t xml:space="preserve">)(3).  </w:t>
      </w:r>
      <w:r w:rsidRPr="00EB12CC">
        <w:rPr>
          <w:spacing w:val="-5"/>
          <w:kern w:val="20"/>
          <w:szCs w:val="24"/>
        </w:rPr>
        <w:t xml:space="preserve">The contracting officer may withdraw the request </w:t>
      </w:r>
      <w:r>
        <w:rPr>
          <w:spacing w:val="-5"/>
          <w:kern w:val="20"/>
          <w:szCs w:val="24"/>
        </w:rPr>
        <w:t xml:space="preserve">for a CIG commercial item determination </w:t>
      </w:r>
      <w:r w:rsidRPr="00EB12CC">
        <w:rPr>
          <w:spacing w:val="-5"/>
          <w:kern w:val="20"/>
          <w:szCs w:val="24"/>
        </w:rPr>
        <w:t xml:space="preserve">at any point prior to the determination being </w:t>
      </w:r>
      <w:r w:rsidRPr="00EB12CC">
        <w:rPr>
          <w:spacing w:val="-5"/>
          <w:kern w:val="20"/>
          <w:szCs w:val="24"/>
        </w:rPr>
        <w:lastRenderedPageBreak/>
        <w:t>made.</w:t>
      </w:r>
      <w:r>
        <w:rPr>
          <w:spacing w:val="-5"/>
          <w:kern w:val="20"/>
          <w:szCs w:val="24"/>
        </w:rPr>
        <w:t xml:space="preserve">  Contracting officers shall include the completed commercial item determination in the contract file.  </w:t>
      </w:r>
    </w:p>
    <w:p w14:paraId="5D350C34" w14:textId="77777777" w:rsidR="006430D4" w:rsidRDefault="006430D4" w:rsidP="003558FA">
      <w:pPr>
        <w:pStyle w:val="List4"/>
        <w:rPr>
          <w:b/>
        </w:rPr>
      </w:pPr>
      <w:r>
        <w:rPr>
          <w:b/>
          <w:spacing w:val="-5"/>
          <w:kern w:val="20"/>
          <w:szCs w:val="24"/>
        </w:rPr>
        <w:br/>
      </w:r>
      <w:r w:rsidRPr="00101584">
        <w:rPr>
          <w:spacing w:val="-5"/>
          <w:kern w:val="20"/>
          <w:szCs w:val="24"/>
        </w:rPr>
        <w:t>(B) Before making a commercial item determination, the contracting officer shall search for a prior DoD commercial item determination for the same item within the DoD Commercial Item Database located on the website identified in paragraph (a)(i</w:t>
      </w:r>
      <w:r>
        <w:rPr>
          <w:spacing w:val="-5"/>
          <w:kern w:val="20"/>
          <w:szCs w:val="24"/>
        </w:rPr>
        <w:t>ii</w:t>
      </w:r>
      <w:r w:rsidRPr="00101584">
        <w:rPr>
          <w:spacing w:val="-5"/>
          <w:kern w:val="20"/>
          <w:szCs w:val="24"/>
        </w:rPr>
        <w:t>)(</w:t>
      </w:r>
      <w:r>
        <w:rPr>
          <w:spacing w:val="-5"/>
          <w:kern w:val="20"/>
          <w:szCs w:val="24"/>
        </w:rPr>
        <w:t>2</w:t>
      </w:r>
      <w:r w:rsidRPr="00101584">
        <w:rPr>
          <w:spacing w:val="-5"/>
          <w:kern w:val="20"/>
          <w:szCs w:val="24"/>
        </w:rPr>
        <w:t xml:space="preserve">).  </w:t>
      </w:r>
    </w:p>
    <w:p w14:paraId="57220201" w14:textId="77777777" w:rsidR="006430D4" w:rsidRDefault="006430D4" w:rsidP="003558FA">
      <w:pPr>
        <w:pStyle w:val="List4"/>
        <w:rPr>
          <w:b/>
        </w:rPr>
      </w:pPr>
      <w:r>
        <w:rPr>
          <w:b/>
          <w:spacing w:val="-5"/>
          <w:kern w:val="20"/>
          <w:szCs w:val="24"/>
        </w:rPr>
        <w:br/>
      </w:r>
      <w:r w:rsidRPr="00101584">
        <w:rPr>
          <w:spacing w:val="-5"/>
          <w:kern w:val="20"/>
          <w:szCs w:val="24"/>
        </w:rPr>
        <w:t xml:space="preserve">(C) Particular care must be taken to document determinations involving “modifications of a type customarily available in the marketplace,” and items only “offered for sale, lease, or license to the general public,” but not yet actually sold, leased, or licensed.  In these situations, the documentation must clearly detail the particulars of the modifications and sales offers.  When such items lack </w:t>
      </w:r>
      <w:proofErr w:type="gramStart"/>
      <w:r w:rsidRPr="00101584">
        <w:rPr>
          <w:spacing w:val="-5"/>
          <w:kern w:val="20"/>
          <w:szCs w:val="24"/>
        </w:rPr>
        <w:t>sufficient</w:t>
      </w:r>
      <w:proofErr w:type="gramEnd"/>
      <w:r w:rsidRPr="00101584">
        <w:rPr>
          <w:spacing w:val="-5"/>
          <w:kern w:val="20"/>
          <w:szCs w:val="24"/>
        </w:rPr>
        <w:t xml:space="preserve"> market pricing histories, additional diligence must be given to determinations that prices are fair and reasonable as required by FAR subpart 15.4.  </w:t>
      </w:r>
    </w:p>
    <w:p w14:paraId="4EB3B568" w14:textId="77777777" w:rsidR="006430D4" w:rsidRDefault="006430D4" w:rsidP="003558FA">
      <w:pPr>
        <w:pStyle w:val="List6"/>
      </w:pPr>
      <w:r>
        <w:rPr>
          <w:b/>
          <w:kern w:val="20"/>
        </w:rPr>
        <w:br/>
      </w:r>
      <w:r w:rsidRPr="00101584">
        <w:rPr>
          <w:kern w:val="20"/>
        </w:rPr>
        <w:t xml:space="preserve">(2) </w:t>
      </w:r>
      <w:r w:rsidRPr="00101584">
        <w:rPr>
          <w:i/>
          <w:kern w:val="20"/>
        </w:rPr>
        <w:t>Documenting the commercial item determination</w:t>
      </w:r>
      <w:r w:rsidRPr="00101584">
        <w:rPr>
          <w:kern w:val="20"/>
        </w:rPr>
        <w:t xml:space="preserve">.  The contracting officer making the determination shall document the market research and rationale supporting a conclusion that the item is commercial. </w:t>
      </w:r>
    </w:p>
    <w:p w14:paraId="5F4336D6" w14:textId="77777777" w:rsidR="006430D4" w:rsidRDefault="006430D4" w:rsidP="003558FA">
      <w:pPr>
        <w:pStyle w:val="List6"/>
      </w:pPr>
      <w:r>
        <w:rPr>
          <w:b/>
          <w:kern w:val="20"/>
        </w:rPr>
        <w:br/>
      </w:r>
      <w:r w:rsidRPr="00101584">
        <w:rPr>
          <w:kern w:val="20"/>
        </w:rPr>
        <w:t xml:space="preserve">(3) </w:t>
      </w:r>
      <w:r w:rsidRPr="00101584">
        <w:rPr>
          <w:i/>
          <w:kern w:val="20"/>
        </w:rPr>
        <w:t>DoD commercial item database</w:t>
      </w:r>
      <w:r w:rsidRPr="00101584">
        <w:rPr>
          <w:kern w:val="20"/>
        </w:rPr>
        <w:t>.  Within 30 days of making a commercial item determination, the contracting officer shall e-mail the commercial item determination to DCMA</w:t>
      </w:r>
      <w:r>
        <w:rPr>
          <w:kern w:val="20"/>
        </w:rPr>
        <w:t xml:space="preserve"> </w:t>
      </w:r>
      <w:r w:rsidRPr="00101584">
        <w:rPr>
          <w:kern w:val="20"/>
        </w:rPr>
        <w:t xml:space="preserve">CIG at </w:t>
      </w:r>
      <w:hyperlink r:id="rId6" w:history="1">
        <w:r w:rsidRPr="001F5959">
          <w:rPr>
            <w:rStyle w:val="Hyperlink"/>
            <w:kern w:val="20"/>
          </w:rPr>
          <w:t>dcma.boston-ma.eastern-rc.mbx.Commercial@mail.mil</w:t>
        </w:r>
      </w:hyperlink>
      <w:r w:rsidRPr="00101584">
        <w:rPr>
          <w:kern w:val="20"/>
        </w:rPr>
        <w:t xml:space="preserve"> </w:t>
      </w:r>
      <w:r w:rsidRPr="00707D2D">
        <w:rPr>
          <w:kern w:val="20"/>
        </w:rPr>
        <w:t>so that it can be uploaded by the CIG to the DoD Commercial Item Database.</w:t>
      </w:r>
    </w:p>
    <w:p w14:paraId="309BAAB3" w14:textId="77777777" w:rsidR="006430D4" w:rsidRDefault="006430D4" w:rsidP="003558FA">
      <w:pPr>
        <w:pStyle w:val="List3"/>
        <w:rPr>
          <w:b/>
        </w:rPr>
      </w:pPr>
      <w:r>
        <w:rPr>
          <w:b/>
          <w:spacing w:val="-5"/>
          <w:kern w:val="20"/>
          <w:szCs w:val="24"/>
        </w:rPr>
        <w:br/>
      </w:r>
      <w:r w:rsidRPr="00101584">
        <w:rPr>
          <w:spacing w:val="-5"/>
          <w:kern w:val="20"/>
          <w:szCs w:val="24"/>
        </w:rPr>
        <w:t xml:space="preserve">(ii)  </w:t>
      </w:r>
      <w:r w:rsidRPr="00101584">
        <w:rPr>
          <w:i/>
          <w:spacing w:val="-5"/>
          <w:kern w:val="20"/>
          <w:szCs w:val="24"/>
        </w:rPr>
        <w:t>Prior commercial item determination</w:t>
      </w:r>
      <w:r w:rsidRPr="00101584">
        <w:rPr>
          <w:spacing w:val="-5"/>
          <w:kern w:val="20"/>
          <w:szCs w:val="24"/>
        </w:rPr>
        <w:t xml:space="preserve">.  If a prior DoD commercial item determination for the same item is made by a military department, defense agency, or another component of DoD, contracting officers may presume that the prior commercial item determination shall serve as a determination for subsequent procurements of such item, unless </w:t>
      </w:r>
      <w:r>
        <w:rPr>
          <w:spacing w:val="-5"/>
          <w:kern w:val="20"/>
          <w:szCs w:val="24"/>
        </w:rPr>
        <w:t xml:space="preserve">the process is followed to overturn the prior </w:t>
      </w:r>
      <w:r w:rsidRPr="00101584">
        <w:rPr>
          <w:spacing w:val="-5"/>
          <w:kern w:val="20"/>
          <w:szCs w:val="24"/>
        </w:rPr>
        <w:t xml:space="preserve"> determination (see DFARS </w:t>
      </w:r>
      <w:hyperlink r:id="rId7" w:anchor="212.102" w:history="1">
        <w:r w:rsidRPr="001F5959">
          <w:rPr>
            <w:rStyle w:val="Hyperlink"/>
            <w:spacing w:val="-5"/>
            <w:kern w:val="20"/>
            <w:szCs w:val="24"/>
          </w:rPr>
          <w:t>212.102</w:t>
        </w:r>
      </w:hyperlink>
      <w:r w:rsidRPr="00101584">
        <w:rPr>
          <w:spacing w:val="-5"/>
          <w:kern w:val="20"/>
          <w:szCs w:val="24"/>
        </w:rPr>
        <w:t xml:space="preserve">(a)(ii)(B)).   </w:t>
      </w:r>
    </w:p>
    <w:p w14:paraId="5EF071A3" w14:textId="77777777" w:rsidR="006430D4" w:rsidRDefault="006430D4" w:rsidP="003558FA">
      <w:pPr>
        <w:pStyle w:val="List3"/>
        <w:rPr>
          <w:b/>
        </w:rPr>
      </w:pPr>
      <w:r>
        <w:rPr>
          <w:b/>
          <w:spacing w:val="-5"/>
          <w:kern w:val="20"/>
          <w:szCs w:val="24"/>
        </w:rPr>
        <w:br/>
      </w:r>
      <w:r w:rsidRPr="00101584">
        <w:rPr>
          <w:spacing w:val="-5"/>
          <w:kern w:val="20"/>
          <w:szCs w:val="24"/>
        </w:rPr>
        <w:t xml:space="preserve">(iii) </w:t>
      </w:r>
      <w:r w:rsidRPr="00101584">
        <w:rPr>
          <w:i/>
          <w:spacing w:val="-5"/>
          <w:kern w:val="20"/>
          <w:szCs w:val="24"/>
        </w:rPr>
        <w:t>Commercial item support</w:t>
      </w:r>
      <w:r w:rsidRPr="00101584">
        <w:rPr>
          <w:spacing w:val="-5"/>
          <w:kern w:val="20"/>
          <w:szCs w:val="24"/>
        </w:rPr>
        <w:t>.</w:t>
      </w:r>
    </w:p>
    <w:p w14:paraId="49446789" w14:textId="77777777" w:rsidR="006430D4" w:rsidRDefault="006430D4" w:rsidP="003558FA">
      <w:pPr>
        <w:pStyle w:val="List6"/>
      </w:pPr>
      <w:r>
        <w:rPr>
          <w:b/>
          <w:kern w:val="20"/>
        </w:rPr>
        <w:lastRenderedPageBreak/>
        <w:br/>
      </w:r>
      <w:r w:rsidRPr="00101584">
        <w:rPr>
          <w:kern w:val="20"/>
        </w:rPr>
        <w:t xml:space="preserve">(1) </w:t>
      </w:r>
      <w:r w:rsidRPr="00101584">
        <w:rPr>
          <w:i/>
          <w:kern w:val="20"/>
        </w:rPr>
        <w:t>Commercial item guidebook</w:t>
      </w:r>
      <w:r w:rsidRPr="00101584">
        <w:rPr>
          <w:kern w:val="20"/>
        </w:rPr>
        <w:t xml:space="preserve">.  See the </w:t>
      </w:r>
      <w:hyperlink r:id="rId8" w:history="1">
        <w:r w:rsidRPr="00356F01">
          <w:rPr>
            <w:rStyle w:val="Hyperlink"/>
            <w:kern w:val="20"/>
          </w:rPr>
          <w:t>Department of Defense Guidebook for Acquiring Commercial Items, Part A: Commercial Item Determination</w:t>
        </w:r>
      </w:hyperlink>
      <w:r w:rsidRPr="00101584">
        <w:rPr>
          <w:kern w:val="20"/>
        </w:rPr>
        <w:t>, for detailed guidance and practical examples on improving the consistency and timeliness of commercial item determinations to include a template for new commercial item determinations and for general information related to commercial items.</w:t>
      </w:r>
    </w:p>
    <w:p w14:paraId="6044CD22" w14:textId="77777777" w:rsidR="006430D4" w:rsidRDefault="006430D4" w:rsidP="003558FA">
      <w:pPr>
        <w:pStyle w:val="List6"/>
      </w:pPr>
      <w:r>
        <w:rPr>
          <w:b/>
          <w:kern w:val="20"/>
        </w:rPr>
        <w:br/>
      </w:r>
      <w:r w:rsidRPr="00101584">
        <w:rPr>
          <w:kern w:val="20"/>
        </w:rPr>
        <w:t xml:space="preserve">(2) </w:t>
      </w:r>
      <w:r w:rsidRPr="00101584">
        <w:rPr>
          <w:i/>
          <w:kern w:val="20"/>
        </w:rPr>
        <w:t>DCMA CIG</w:t>
      </w:r>
      <w:r w:rsidRPr="00101584">
        <w:rPr>
          <w:kern w:val="20"/>
        </w:rPr>
        <w:t xml:space="preserve">.  Contracting officers </w:t>
      </w:r>
      <w:proofErr w:type="gramStart"/>
      <w:r w:rsidRPr="00101584">
        <w:rPr>
          <w:kern w:val="20"/>
        </w:rPr>
        <w:t>are able to</w:t>
      </w:r>
      <w:proofErr w:type="gramEnd"/>
      <w:r w:rsidRPr="00101584">
        <w:rPr>
          <w:kern w:val="20"/>
        </w:rPr>
        <w:t xml:space="preserve"> request support and assistance on market research, price reasonableness, and commercial item determinations from the DCMA CIG.  The DCMA CIG contact information is available at </w:t>
      </w:r>
      <w:hyperlink r:id="rId9" w:history="1">
        <w:r w:rsidRPr="00101584">
          <w:rPr>
            <w:rStyle w:val="Hyperlink"/>
            <w:kern w:val="20"/>
          </w:rPr>
          <w:t>http://www.dcma.mil/commercial-item-group/</w:t>
        </w:r>
      </w:hyperlink>
      <w:r w:rsidRPr="00101584">
        <w:rPr>
          <w:kern w:val="20"/>
        </w:rPr>
        <w:t>.</w:t>
      </w:r>
    </w:p>
    <w:p w14:paraId="4A7E6D70" w14:textId="77777777" w:rsidR="006430D4" w:rsidRPr="00101584" w:rsidRDefault="006430D4" w:rsidP="003558FA">
      <w:r>
        <w:rPr>
          <w:b/>
          <w:spacing w:val="-5"/>
          <w:kern w:val="20"/>
          <w:szCs w:val="24"/>
        </w:rPr>
        <w:br/>
      </w:r>
    </w:p>
    <w:p w14:paraId="6F394497" w14:textId="77777777" w:rsidR="006430D4" w:rsidRDefault="006430D4">
      <w:pPr>
        <w:sectPr w:rsidR="006430D4" w:rsidSect="005D6393">
          <w:headerReference w:type="default" r:id="rId10"/>
          <w:footerReference w:type="default" r:id="rId11"/>
          <w:pgSz w:w="12240" w:h="15840"/>
          <w:pgMar w:top="1440" w:right="1440" w:bottom="1440" w:left="1440" w:header="720" w:footer="720" w:gutter="0"/>
          <w:cols w:space="720"/>
          <w:docGrid w:linePitch="360"/>
        </w:sectPr>
      </w:pPr>
    </w:p>
    <w:p w14:paraId="03094C12" w14:textId="77777777" w:rsidR="006430D4" w:rsidRDefault="006430D4" w:rsidP="00EC08DA">
      <w:r w:rsidRPr="00DF327A">
        <w:rPr>
          <w:b/>
          <w:caps/>
        </w:rPr>
        <w:lastRenderedPageBreak/>
        <w:t>PGI 212.</w:t>
      </w:r>
      <w:r>
        <w:rPr>
          <w:b/>
          <w:caps/>
        </w:rPr>
        <w:t>4</w:t>
      </w:r>
      <w:r w:rsidRPr="00DF327A">
        <w:rPr>
          <w:b/>
          <w:caps/>
        </w:rPr>
        <w:t>—</w:t>
      </w:r>
      <w:r>
        <w:rPr>
          <w:b/>
          <w:caps/>
        </w:rPr>
        <w:t>UNIQUE REQUIREMENTS REGARDING TERMS AND CONDITIONS FOR COMMERCIAL ITEMS</w:t>
      </w:r>
    </w:p>
    <w:p w14:paraId="16B801B8" w14:textId="77777777" w:rsidR="006430D4" w:rsidRPr="00DF327A" w:rsidRDefault="006430D4" w:rsidP="00EC08DA">
      <w:pPr>
        <w:jc w:val="center"/>
        <w:rPr>
          <w:i/>
          <w:szCs w:val="24"/>
        </w:rPr>
      </w:pPr>
      <w:r>
        <w:br/>
      </w:r>
      <w:r w:rsidRPr="00DF327A">
        <w:rPr>
          <w:i/>
          <w:szCs w:val="24"/>
        </w:rPr>
        <w:t>(</w:t>
      </w:r>
      <w:r>
        <w:rPr>
          <w:i/>
          <w:szCs w:val="24"/>
        </w:rPr>
        <w:t>Removed October 29, 2010</w:t>
      </w:r>
      <w:r w:rsidRPr="00DF327A">
        <w:rPr>
          <w:i/>
          <w:szCs w:val="24"/>
        </w:rPr>
        <w:t>)</w:t>
      </w:r>
    </w:p>
    <w:p w14:paraId="2C26A5A5" w14:textId="77777777" w:rsidR="006430D4" w:rsidRDefault="006430D4">
      <w:pPr>
        <w:sectPr w:rsidR="006430D4" w:rsidSect="00B05829">
          <w:headerReference w:type="default" r:id="rId12"/>
          <w:footerReference w:type="default" r:id="rId13"/>
          <w:pgSz w:w="12240" w:h="15840"/>
          <w:pgMar w:top="1440" w:right="1440" w:bottom="1440" w:left="1440" w:header="720" w:footer="720" w:gutter="0"/>
          <w:cols w:space="720"/>
          <w:docGrid w:linePitch="360"/>
        </w:sectPr>
      </w:pPr>
    </w:p>
    <w:p w14:paraId="61AD8574" w14:textId="77777777" w:rsidR="006430D4" w:rsidRDefault="006430D4" w:rsidP="0039701A">
      <w:r>
        <w:rPr>
          <w:b/>
          <w:caps/>
        </w:rPr>
        <w:lastRenderedPageBreak/>
        <w:t>PGI</w:t>
      </w:r>
      <w:r w:rsidRPr="008114D3">
        <w:rPr>
          <w:b/>
          <w:caps/>
        </w:rPr>
        <w:t xml:space="preserve"> 212.70—pilot program for transition to follow-on contracting </w:t>
      </w:r>
      <w:r w:rsidRPr="001430DB">
        <w:rPr>
          <w:b/>
          <w:caps/>
          <w:szCs w:val="24"/>
        </w:rPr>
        <w:t>after use of other transaction authority</w:t>
      </w:r>
    </w:p>
    <w:p w14:paraId="58E59D2A" w14:textId="77777777" w:rsidR="006430D4" w:rsidRDefault="006430D4" w:rsidP="0039701A">
      <w:pPr>
        <w:jc w:val="center"/>
        <w:rPr>
          <w:i/>
        </w:rPr>
      </w:pPr>
      <w:r>
        <w:br/>
      </w:r>
      <w:r>
        <w:rPr>
          <w:i/>
        </w:rPr>
        <w:t>(Removed July 15, 2009)</w:t>
      </w:r>
    </w:p>
    <w:p w14:paraId="7BCB2EEB" w14:textId="77777777" w:rsidR="006430D4" w:rsidRPr="001430DB" w:rsidRDefault="006430D4" w:rsidP="0039701A">
      <w:r>
        <w:rPr>
          <w:i/>
        </w:rPr>
        <w:br/>
      </w:r>
    </w:p>
    <w:p w14:paraId="3CD3E555" w14:textId="77777777" w:rsidR="006430D4" w:rsidRDefault="006430D4">
      <w:pPr>
        <w:sectPr w:rsidR="006430D4" w:rsidSect="00D55114">
          <w:headerReference w:type="default" r:id="rId14"/>
          <w:footerReference w:type="default" r:id="rId15"/>
          <w:pgSz w:w="12240" w:h="15840"/>
          <w:pgMar w:top="1440" w:right="1440" w:bottom="1440" w:left="1440" w:header="720" w:footer="720" w:gutter="0"/>
          <w:cols w:space="720"/>
          <w:docGrid w:linePitch="360"/>
        </w:sectPr>
      </w:pPr>
    </w:p>
    <w:p w14:paraId="2811C060" w14:textId="77777777" w:rsidR="006430D4" w:rsidRDefault="006430D4" w:rsidP="005A3E94">
      <w:pPr>
        <w:jc w:val="center"/>
      </w:pPr>
      <w:r>
        <w:rPr>
          <w:i/>
          <w:szCs w:val="24"/>
        </w:rPr>
        <w:lastRenderedPageBreak/>
        <w:t>(Revised June 30, 2016)</w:t>
      </w:r>
    </w:p>
    <w:p w14:paraId="4C0DFC30" w14:textId="77777777" w:rsidR="006430D4" w:rsidRDefault="006430D4" w:rsidP="005A3E94">
      <w:pPr>
        <w:pStyle w:val="Heading2"/>
      </w:pPr>
      <w:r>
        <w:rPr>
          <w:i/>
          <w:szCs w:val="24"/>
        </w:rPr>
        <w:br/>
      </w:r>
      <w:bookmarkStart w:id="10" w:name="_Toc37415648"/>
      <w:bookmarkStart w:id="11" w:name="_Toc37677370"/>
      <w:bookmarkStart w:id="12" w:name="_Toc37755779"/>
      <w:r w:rsidRPr="00DF327A">
        <w:rPr>
          <w:caps/>
        </w:rPr>
        <w:t>PGI 212.</w:t>
      </w:r>
      <w:r>
        <w:rPr>
          <w:caps/>
        </w:rPr>
        <w:t>7</w:t>
      </w:r>
      <w:r w:rsidRPr="00DF327A">
        <w:rPr>
          <w:caps/>
        </w:rPr>
        <w:t>1—</w:t>
      </w:r>
      <w:r>
        <w:rPr>
          <w:caps/>
        </w:rPr>
        <w:t>PILOT PROGRAM FOR ACQUISITION of MILITARY-PURPOSE NONDEVELOPMENTAL ITEMS</w:t>
      </w:r>
      <w:bookmarkEnd w:id="10"/>
      <w:bookmarkEnd w:id="11"/>
      <w:bookmarkEnd w:id="12"/>
    </w:p>
    <w:p w14:paraId="4F90AB0F" w14:textId="77777777" w:rsidR="006430D4" w:rsidRPr="00DF327A" w:rsidRDefault="006430D4" w:rsidP="005A3E94">
      <w:pPr>
        <w:pStyle w:val="Heading3"/>
      </w:pPr>
      <w:r>
        <w:rPr>
          <w:b/>
          <w:szCs w:val="24"/>
        </w:rPr>
        <w:br/>
      </w:r>
      <w:bookmarkStart w:id="13" w:name="_Toc37415649"/>
      <w:bookmarkStart w:id="14" w:name="_Toc37677371"/>
      <w:bookmarkStart w:id="15" w:name="_Toc37755780"/>
      <w:r w:rsidRPr="00DF327A">
        <w:rPr>
          <w:b/>
          <w:szCs w:val="24"/>
        </w:rPr>
        <w:t xml:space="preserve">PGI </w:t>
      </w:r>
      <w:proofErr w:type="gramStart"/>
      <w:r w:rsidRPr="00DF327A">
        <w:rPr>
          <w:b/>
          <w:szCs w:val="24"/>
        </w:rPr>
        <w:t>212.</w:t>
      </w:r>
      <w:r>
        <w:rPr>
          <w:b/>
          <w:szCs w:val="24"/>
        </w:rPr>
        <w:t>7</w:t>
      </w:r>
      <w:r w:rsidRPr="00DF327A">
        <w:rPr>
          <w:b/>
          <w:szCs w:val="24"/>
        </w:rPr>
        <w:t>10</w:t>
      </w:r>
      <w:r>
        <w:rPr>
          <w:b/>
          <w:szCs w:val="24"/>
        </w:rPr>
        <w:t>2</w:t>
      </w:r>
      <w:r w:rsidRPr="00DF327A">
        <w:rPr>
          <w:b/>
          <w:szCs w:val="24"/>
        </w:rPr>
        <w:t xml:space="preserve">  </w:t>
      </w:r>
      <w:r>
        <w:rPr>
          <w:b/>
          <w:szCs w:val="24"/>
        </w:rPr>
        <w:t>Pilot</w:t>
      </w:r>
      <w:proofErr w:type="gramEnd"/>
      <w:r>
        <w:rPr>
          <w:b/>
          <w:szCs w:val="24"/>
        </w:rPr>
        <w:t xml:space="preserve"> Program</w:t>
      </w:r>
      <w:r w:rsidRPr="00DF327A">
        <w:rPr>
          <w:b/>
          <w:szCs w:val="24"/>
        </w:rPr>
        <w:t>.</w:t>
      </w:r>
      <w:bookmarkEnd w:id="13"/>
      <w:bookmarkEnd w:id="14"/>
      <w:bookmarkEnd w:id="15"/>
    </w:p>
    <w:p w14:paraId="7BFF2E52" w14:textId="77777777" w:rsidR="006430D4" w:rsidRDefault="006430D4" w:rsidP="005A3E94">
      <w:r w:rsidRPr="00DF327A">
        <w:rPr>
          <w:szCs w:val="24"/>
        </w:rPr>
        <w:t xml:space="preserve">Contracting officers shall ensure that contract files fully and adequately document the market research and rationale supporting a conclusion that the </w:t>
      </w:r>
      <w:r>
        <w:rPr>
          <w:szCs w:val="24"/>
        </w:rPr>
        <w:t xml:space="preserve">military-purpose </w:t>
      </w:r>
      <w:proofErr w:type="spellStart"/>
      <w:r>
        <w:rPr>
          <w:szCs w:val="24"/>
        </w:rPr>
        <w:t>nondevelopmental</w:t>
      </w:r>
      <w:proofErr w:type="spellEnd"/>
      <w:r w:rsidRPr="00DF327A">
        <w:rPr>
          <w:szCs w:val="24"/>
        </w:rPr>
        <w:t xml:space="preserve"> item definition in </w:t>
      </w:r>
      <w:r>
        <w:rPr>
          <w:szCs w:val="24"/>
        </w:rPr>
        <w:t>D</w:t>
      </w:r>
      <w:r w:rsidRPr="00DF327A">
        <w:rPr>
          <w:szCs w:val="24"/>
        </w:rPr>
        <w:t>FAR</w:t>
      </w:r>
      <w:r>
        <w:rPr>
          <w:szCs w:val="24"/>
        </w:rPr>
        <w:t>S</w:t>
      </w:r>
      <w:r w:rsidRPr="00DF327A">
        <w:rPr>
          <w:szCs w:val="24"/>
        </w:rPr>
        <w:t xml:space="preserve"> </w:t>
      </w:r>
      <w:hyperlink r:id="rId16" w:anchor="212.7101" w:history="1">
        <w:r w:rsidRPr="00550636">
          <w:rPr>
            <w:rStyle w:val="Hyperlink"/>
            <w:szCs w:val="24"/>
          </w:rPr>
          <w:t>212.7101</w:t>
        </w:r>
      </w:hyperlink>
      <w:r>
        <w:rPr>
          <w:szCs w:val="24"/>
        </w:rPr>
        <w:t xml:space="preserve"> has been satisfied.</w:t>
      </w:r>
    </w:p>
    <w:p w14:paraId="07A0F1C2" w14:textId="77777777" w:rsidR="006430D4" w:rsidRDefault="006430D4" w:rsidP="005A3E94">
      <w:pPr>
        <w:pStyle w:val="Heading4"/>
      </w:pPr>
      <w:r>
        <w:br/>
      </w:r>
      <w:bookmarkStart w:id="16" w:name="_Toc37677372"/>
      <w:bookmarkStart w:id="17" w:name="_Toc37755781"/>
      <w:r w:rsidRPr="00DF327A">
        <w:rPr>
          <w:b/>
        </w:rPr>
        <w:t>PGI 212.</w:t>
      </w:r>
      <w:r>
        <w:rPr>
          <w:b/>
        </w:rPr>
        <w:t>7</w:t>
      </w:r>
      <w:r w:rsidRPr="00DF327A">
        <w:rPr>
          <w:b/>
        </w:rPr>
        <w:t>10</w:t>
      </w:r>
      <w:r>
        <w:rPr>
          <w:b/>
        </w:rPr>
        <w:t>2-</w:t>
      </w:r>
      <w:proofErr w:type="gramStart"/>
      <w:r>
        <w:rPr>
          <w:b/>
        </w:rPr>
        <w:t>3</w:t>
      </w:r>
      <w:r w:rsidRPr="00DF327A">
        <w:rPr>
          <w:b/>
        </w:rPr>
        <w:t xml:space="preserve">  </w:t>
      </w:r>
      <w:r>
        <w:rPr>
          <w:b/>
        </w:rPr>
        <w:t>Reporting</w:t>
      </w:r>
      <w:proofErr w:type="gramEnd"/>
      <w:r>
        <w:rPr>
          <w:b/>
        </w:rPr>
        <w:t xml:space="preserve"> requirements</w:t>
      </w:r>
      <w:r w:rsidRPr="00DF327A">
        <w:rPr>
          <w:b/>
        </w:rPr>
        <w:t>.</w:t>
      </w:r>
      <w:bookmarkEnd w:id="16"/>
      <w:bookmarkEnd w:id="17"/>
    </w:p>
    <w:p w14:paraId="44675D98" w14:textId="77777777" w:rsidR="006430D4" w:rsidRDefault="006430D4" w:rsidP="005A3E94">
      <w:pPr>
        <w:pStyle w:val="List1"/>
      </w:pPr>
      <w:r>
        <w:rPr>
          <w:b/>
        </w:rPr>
        <w:br/>
      </w:r>
      <w:r w:rsidRPr="00DF327A">
        <w:t xml:space="preserve">(a)  </w:t>
      </w:r>
      <w:r w:rsidRPr="009D2D41">
        <w:t xml:space="preserve">By October 31 each year, departments and agencies shall </w:t>
      </w:r>
      <w:r>
        <w:t xml:space="preserve">submit a consolidated report identifying all contracts awarded under the Pilot Program on Acquisition of Military Purpose </w:t>
      </w:r>
      <w:proofErr w:type="spellStart"/>
      <w:r>
        <w:t>Nondevelopmental</w:t>
      </w:r>
      <w:proofErr w:type="spellEnd"/>
      <w:r>
        <w:t xml:space="preserve"> Items during the preceding fiscal year.  Submit the </w:t>
      </w:r>
      <w:proofErr w:type="spellStart"/>
      <w:r>
        <w:t>requiredinformation</w:t>
      </w:r>
      <w:proofErr w:type="spellEnd"/>
      <w:r>
        <w:t xml:space="preserve"> </w:t>
      </w:r>
      <w:r w:rsidRPr="001578DF">
        <w:t xml:space="preserve">via email </w:t>
      </w:r>
      <w:r w:rsidRPr="001578DF">
        <w:rPr>
          <w:lang w:val="en"/>
        </w:rPr>
        <w:t xml:space="preserve">at </w:t>
      </w:r>
      <w:hyperlink r:id="rId17" w:tgtFrame="_parent" w:history="1">
        <w:r w:rsidRPr="001578DF">
          <w:rPr>
            <w:rStyle w:val="Hyperlink"/>
            <w:lang w:val="en"/>
          </w:rPr>
          <w:t>osd.pentagon.ousd-atl.mbx.cpic@mail.mil</w:t>
        </w:r>
      </w:hyperlink>
      <w:r w:rsidRPr="001578DF">
        <w:rPr>
          <w:lang w:val="en"/>
        </w:rPr>
        <w:t>.</w:t>
      </w:r>
    </w:p>
    <w:p w14:paraId="4C7E59F3" w14:textId="77777777" w:rsidR="006430D4" w:rsidRDefault="006430D4" w:rsidP="005A3E94">
      <w:r>
        <w:rPr>
          <w:szCs w:val="24"/>
        </w:rPr>
        <w:br/>
      </w:r>
      <w:r w:rsidRPr="009D2D41">
        <w:rPr>
          <w:szCs w:val="24"/>
        </w:rPr>
        <w:t>(</w:t>
      </w:r>
      <w:r>
        <w:rPr>
          <w:szCs w:val="24"/>
        </w:rPr>
        <w:t>b</w:t>
      </w:r>
      <w:r w:rsidRPr="009D2D41">
        <w:rPr>
          <w:szCs w:val="24"/>
        </w:rPr>
        <w:t xml:space="preserve">)  </w:t>
      </w:r>
      <w:r>
        <w:rPr>
          <w:szCs w:val="24"/>
        </w:rPr>
        <w:t>The report shall include the following:</w:t>
      </w:r>
    </w:p>
    <w:p w14:paraId="264D8EEE" w14:textId="77777777" w:rsidR="006430D4" w:rsidRDefault="006430D4" w:rsidP="001578DF">
      <w:pPr>
        <w:pStyle w:val="PlainText"/>
        <w:ind w:left="360" w:firstLine="360"/>
        <w:rPr>
          <w:rFonts w:ascii="Arial" w:hAnsi="Arial" w:cs="Arial"/>
          <w:sz w:val="24"/>
          <w:szCs w:val="24"/>
        </w:rPr>
      </w:pPr>
      <w:r>
        <w:rPr>
          <w:rFonts w:ascii="Arial" w:hAnsi="Arial" w:cs="Arial"/>
          <w:szCs w:val="24"/>
        </w:rPr>
        <w:br/>
      </w:r>
      <w:r>
        <w:rPr>
          <w:rFonts w:ascii="Arial" w:hAnsi="Arial" w:cs="Arial"/>
          <w:sz w:val="24"/>
          <w:szCs w:val="24"/>
        </w:rPr>
        <w:t>(</w:t>
      </w:r>
      <w:r w:rsidRPr="00F23610">
        <w:rPr>
          <w:rFonts w:ascii="Arial" w:hAnsi="Arial" w:cs="Arial"/>
          <w:sz w:val="24"/>
          <w:szCs w:val="24"/>
        </w:rPr>
        <w:t>1) Name of the contractor receiving a contract award under the pilot described in this subpart.</w:t>
      </w:r>
    </w:p>
    <w:p w14:paraId="0870F72A" w14:textId="77777777" w:rsidR="006430D4" w:rsidRDefault="006430D4" w:rsidP="005A3E94">
      <w:pPr>
        <w:pStyle w:val="List2"/>
      </w:pPr>
      <w:r>
        <w:br/>
      </w:r>
      <w:r w:rsidRPr="00F23610">
        <w:t>(2) Description of the item or items to be acquired.</w:t>
      </w:r>
    </w:p>
    <w:p w14:paraId="70C6AA4C" w14:textId="77777777" w:rsidR="006430D4" w:rsidRDefault="006430D4" w:rsidP="005A3E94">
      <w:pPr>
        <w:pStyle w:val="List2"/>
      </w:pPr>
      <w:r>
        <w:rPr>
          <w:sz w:val="24"/>
          <w:szCs w:val="24"/>
        </w:rPr>
        <w:br/>
      </w:r>
      <w:r w:rsidRPr="00F23610">
        <w:rPr>
          <w:sz w:val="24"/>
          <w:szCs w:val="24"/>
        </w:rPr>
        <w:t xml:space="preserve">(3) The military purpose to be served by such item or items. </w:t>
      </w:r>
    </w:p>
    <w:p w14:paraId="10800D9D" w14:textId="77777777" w:rsidR="006430D4" w:rsidRDefault="006430D4" w:rsidP="005A3E94">
      <w:pPr>
        <w:pStyle w:val="List2"/>
      </w:pPr>
      <w:r>
        <w:rPr>
          <w:sz w:val="24"/>
          <w:szCs w:val="24"/>
        </w:rPr>
        <w:br/>
      </w:r>
      <w:r w:rsidRPr="00F23610">
        <w:rPr>
          <w:sz w:val="24"/>
          <w:szCs w:val="24"/>
        </w:rPr>
        <w:t>(4) The amount of the contract.</w:t>
      </w:r>
    </w:p>
    <w:p w14:paraId="1B96F802" w14:textId="77777777" w:rsidR="006430D4" w:rsidRDefault="006430D4" w:rsidP="005A3E94">
      <w:pPr>
        <w:pStyle w:val="List2"/>
      </w:pPr>
      <w:r>
        <w:rPr>
          <w:sz w:val="24"/>
          <w:szCs w:val="24"/>
        </w:rPr>
        <w:lastRenderedPageBreak/>
        <w:br/>
      </w:r>
      <w:r w:rsidRPr="00F23610">
        <w:rPr>
          <w:sz w:val="24"/>
          <w:szCs w:val="24"/>
        </w:rPr>
        <w:t>(5) Actions taken by the contracting officer to ensure that the price paid for such item</w:t>
      </w:r>
      <w:r>
        <w:rPr>
          <w:sz w:val="24"/>
          <w:szCs w:val="24"/>
        </w:rPr>
        <w:t>(s)</w:t>
      </w:r>
      <w:r w:rsidRPr="00F23610">
        <w:rPr>
          <w:sz w:val="24"/>
          <w:szCs w:val="24"/>
        </w:rPr>
        <w:t xml:space="preserve"> is fair and reasonable.</w:t>
      </w:r>
    </w:p>
    <w:p w14:paraId="09B53281" w14:textId="77777777" w:rsidR="006430D4" w:rsidRDefault="006430D4" w:rsidP="005A3E94">
      <w:pPr>
        <w:pStyle w:val="List1"/>
      </w:pPr>
      <w:r>
        <w:rPr>
          <w:sz w:val="24"/>
        </w:rPr>
        <w:br/>
      </w:r>
      <w:r>
        <w:t xml:space="preserve">(c)  </w:t>
      </w:r>
      <w:r w:rsidRPr="00F52B20">
        <w:t xml:space="preserve">The required format </w:t>
      </w:r>
      <w:r>
        <w:t xml:space="preserve">for the report </w:t>
      </w:r>
      <w:r w:rsidRPr="00F52B20">
        <w:t>is available</w:t>
      </w:r>
      <w:r>
        <w:t xml:space="preserve"> </w:t>
      </w:r>
      <w:bookmarkStart w:id="18" w:name="OLE_LINK1"/>
      <w:bookmarkStart w:id="19" w:name="OLE_LINK2"/>
      <w:r>
        <w:t xml:space="preserve">at </w:t>
      </w:r>
      <w:hyperlink r:id="rId18" w:history="1">
        <w:r w:rsidRPr="00C308F2">
          <w:rPr>
            <w:rStyle w:val="Hyperlink"/>
          </w:rPr>
          <w:t>http://www.acq.osd.mil/dpap/dars/pgi/docs/Template_for_Annual_Report_(PGI_212-7102-3_Pilot_for_Military_Purpose_Nondevelopmental%20Items).xlsx</w:t>
        </w:r>
        <w:bookmarkEnd w:id="18"/>
        <w:bookmarkEnd w:id="19"/>
      </w:hyperlink>
      <w:r w:rsidRPr="001578DF">
        <w:t>.</w:t>
      </w:r>
    </w:p>
    <w:p w14:paraId="075F472C" w14:textId="77777777" w:rsidR="006430D4" w:rsidRPr="001578DF" w:rsidRDefault="006430D4" w:rsidP="005A3E94">
      <w:r>
        <w:rPr>
          <w:szCs w:val="24"/>
        </w:rPr>
        <w:br/>
      </w:r>
    </w:p>
    <w:p w14:paraId="6D3A2153" w14:textId="77777777" w:rsidR="00850595" w:rsidRDefault="00850595"/>
    <w:sectPr w:rsidR="00850595" w:rsidSect="004D5C5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4F0B8" w14:textId="77777777" w:rsidR="00122485" w:rsidRDefault="00122485">
      <w:pPr>
        <w:spacing w:after="0" w:line="240" w:lineRule="auto"/>
      </w:pPr>
      <w:r>
        <w:separator/>
      </w:r>
    </w:p>
  </w:endnote>
  <w:endnote w:type="continuationSeparator" w:id="0">
    <w:p w14:paraId="6A1518B9" w14:textId="77777777" w:rsidR="00122485" w:rsidRDefault="0012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FCF8E" w14:textId="77777777" w:rsidR="00363666" w:rsidRDefault="00122485">
    <w:pPr>
      <w:pStyle w:val="Footer"/>
      <w:rPr>
        <w:rFonts w:ascii="Century Schoolbook" w:hAnsi="Century Schoolbook"/>
        <w:sz w:val="20"/>
      </w:rPr>
    </w:pPr>
  </w:p>
  <w:p w14:paraId="7F6A4F67" w14:textId="77777777" w:rsidR="00363666" w:rsidRDefault="00122485">
    <w:pPr>
      <w:pStyle w:val="Footer"/>
      <w:tabs>
        <w:tab w:val="clear" w:pos="8640"/>
      </w:tabs>
      <w:rPr>
        <w:rFonts w:ascii="Century Schoolbook" w:hAnsi="Century Schoolbook"/>
        <w:b/>
        <w:sz w:val="20"/>
      </w:rPr>
    </w:pPr>
  </w:p>
  <w:p w14:paraId="2C7513F0" w14:textId="77777777" w:rsidR="00363666" w:rsidRPr="00BC71C0" w:rsidRDefault="006430D4">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12</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ADCDF" w14:textId="77777777" w:rsidR="00577CB3" w:rsidRDefault="00122485">
    <w:pPr>
      <w:pStyle w:val="Footer"/>
      <w:rPr>
        <w:rFonts w:ascii="Century Schoolbook" w:hAnsi="Century Schoolbook"/>
        <w:sz w:val="20"/>
      </w:rPr>
    </w:pPr>
  </w:p>
  <w:p w14:paraId="0EC85C16" w14:textId="77777777" w:rsidR="00577CB3" w:rsidRDefault="00122485">
    <w:pPr>
      <w:pStyle w:val="Footer"/>
      <w:tabs>
        <w:tab w:val="clear" w:pos="8640"/>
      </w:tabs>
      <w:rPr>
        <w:rFonts w:ascii="Century Schoolbook" w:hAnsi="Century Schoolbook"/>
        <w:b/>
        <w:sz w:val="20"/>
      </w:rPr>
    </w:pPr>
  </w:p>
  <w:p w14:paraId="3781823F" w14:textId="77777777" w:rsidR="00577CB3" w:rsidRPr="00BC71C0" w:rsidRDefault="006430D4">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12</w:t>
    </w:r>
    <w:r w:rsidRPr="00BC71C0">
      <w:rPr>
        <w:szCs w:val="22"/>
      </w:rPr>
      <w:t>.</w:t>
    </w:r>
    <w:r>
      <w:rPr>
        <w:szCs w:val="22"/>
      </w:rPr>
      <w:t>4</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E1EE" w14:textId="77777777" w:rsidR="00577CB3" w:rsidRDefault="00122485">
    <w:pPr>
      <w:pStyle w:val="Footer"/>
      <w:rPr>
        <w:rFonts w:ascii="Century Schoolbook" w:hAnsi="Century Schoolbook"/>
        <w:sz w:val="20"/>
      </w:rPr>
    </w:pPr>
  </w:p>
  <w:p w14:paraId="641C45DE" w14:textId="77777777" w:rsidR="00577CB3" w:rsidRDefault="00122485">
    <w:pPr>
      <w:pStyle w:val="Footer"/>
      <w:tabs>
        <w:tab w:val="clear" w:pos="8640"/>
      </w:tabs>
      <w:rPr>
        <w:rFonts w:ascii="Century Schoolbook" w:hAnsi="Century Schoolbook"/>
        <w:b/>
        <w:sz w:val="20"/>
      </w:rPr>
    </w:pPr>
  </w:p>
  <w:p w14:paraId="2BB150C2" w14:textId="77777777" w:rsidR="00577CB3" w:rsidRPr="00BC71C0" w:rsidRDefault="006430D4">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12</w:t>
    </w:r>
    <w:r w:rsidRPr="00BC71C0">
      <w:rPr>
        <w:szCs w:val="22"/>
      </w:rPr>
      <w:t>.</w:t>
    </w:r>
    <w:r>
      <w:rPr>
        <w:szCs w:val="22"/>
      </w:rPr>
      <w:t>70</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30032" w14:textId="77777777" w:rsidR="00550636" w:rsidRDefault="00122485">
    <w:pPr>
      <w:pStyle w:val="Footer"/>
      <w:rPr>
        <w:rFonts w:ascii="Century Schoolbook" w:hAnsi="Century Schoolbook"/>
        <w:sz w:val="20"/>
      </w:rPr>
    </w:pPr>
  </w:p>
  <w:p w14:paraId="0FEB7993" w14:textId="77777777" w:rsidR="00550636" w:rsidRDefault="00122485">
    <w:pPr>
      <w:pStyle w:val="Footer"/>
      <w:tabs>
        <w:tab w:val="clear" w:pos="8640"/>
      </w:tabs>
      <w:rPr>
        <w:rFonts w:ascii="Century Schoolbook" w:hAnsi="Century Schoolbook"/>
        <w:b/>
        <w:sz w:val="20"/>
      </w:rPr>
    </w:pPr>
  </w:p>
  <w:p w14:paraId="57A3B62C" w14:textId="77777777" w:rsidR="00550636" w:rsidRPr="00BC71C0" w:rsidRDefault="006430D4">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12</w:t>
    </w:r>
    <w:r w:rsidRPr="00BC71C0">
      <w:rPr>
        <w:szCs w:val="22"/>
      </w:rPr>
      <w:t>.</w:t>
    </w:r>
    <w:r>
      <w:rPr>
        <w:szCs w:val="22"/>
      </w:rPr>
      <w:t>71</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6508F" w14:textId="77777777" w:rsidR="00122485" w:rsidRDefault="00122485">
      <w:pPr>
        <w:spacing w:after="0" w:line="240" w:lineRule="auto"/>
      </w:pPr>
      <w:r>
        <w:separator/>
      </w:r>
    </w:p>
  </w:footnote>
  <w:footnote w:type="continuationSeparator" w:id="0">
    <w:p w14:paraId="7E03D337" w14:textId="77777777" w:rsidR="00122485" w:rsidRDefault="00122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EE1D0" w14:textId="77777777" w:rsidR="00363666" w:rsidRDefault="006430D4" w:rsidP="003E6AA4">
    <w:pPr>
      <w:pStyle w:val="Header"/>
      <w:tabs>
        <w:tab w:val="clear" w:pos="8640"/>
        <w:tab w:val="left" w:pos="4590"/>
      </w:tabs>
      <w:jc w:val="center"/>
      <w:rPr>
        <w:sz w:val="28"/>
        <w:szCs w:val="28"/>
      </w:rPr>
    </w:pPr>
    <w:r w:rsidRPr="002B1BC7">
      <w:rPr>
        <w:sz w:val="28"/>
        <w:szCs w:val="28"/>
      </w:rPr>
      <w:t>DFARS Procedures, Guidance, and Information</w:t>
    </w:r>
  </w:p>
  <w:p w14:paraId="1509A6FB" w14:textId="77777777" w:rsidR="00363666" w:rsidRPr="002B1BC7" w:rsidRDefault="00122485" w:rsidP="003E6AA4">
    <w:pPr>
      <w:pStyle w:val="Header"/>
      <w:tabs>
        <w:tab w:val="clear" w:pos="8640"/>
        <w:tab w:val="left" w:pos="4590"/>
      </w:tabs>
      <w:jc w:val="center"/>
      <w:rPr>
        <w:sz w:val="28"/>
        <w:szCs w:val="28"/>
      </w:rPr>
    </w:pPr>
  </w:p>
  <w:p w14:paraId="2E57AA6D" w14:textId="77777777" w:rsidR="00363666" w:rsidRPr="00BC71C0" w:rsidRDefault="006430D4">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12</w:t>
    </w:r>
    <w:r w:rsidRPr="00BC71C0">
      <w:rPr>
        <w:szCs w:val="24"/>
      </w:rPr>
      <w:t>—</w:t>
    </w:r>
    <w:r>
      <w:rPr>
        <w:szCs w:val="24"/>
      </w:rPr>
      <w:t xml:space="preserve">Acquisition of Commercial Items  </w:t>
    </w:r>
  </w:p>
  <w:p w14:paraId="7431D6C2" w14:textId="77777777" w:rsidR="00363666" w:rsidRDefault="00122485">
    <w:pPr>
      <w:pStyle w:val="Header"/>
      <w:tabs>
        <w:tab w:val="clear" w:pos="8640"/>
        <w:tab w:val="right" w:pos="9260"/>
      </w:tabs>
      <w:spacing w:before="20" w:line="20" w:lineRule="exact"/>
      <w:rPr>
        <w:rFonts w:ascii="Geneva" w:hAnsi="Geneva"/>
        <w:b/>
        <w:position w:val="6"/>
        <w:sz w:val="18"/>
      </w:rPr>
    </w:pPr>
  </w:p>
  <w:p w14:paraId="3708D566" w14:textId="77777777" w:rsidR="00363666" w:rsidRDefault="00122485">
    <w:pPr>
      <w:pStyle w:val="Header"/>
      <w:tabs>
        <w:tab w:val="clear" w:pos="8640"/>
        <w:tab w:val="right" w:pos="9260"/>
      </w:tabs>
      <w:rPr>
        <w:rFonts w:ascii="Century Schoolbook" w:hAnsi="Century Schoolbook"/>
        <w:b/>
        <w:sz w:val="20"/>
      </w:rPr>
    </w:pPr>
  </w:p>
  <w:p w14:paraId="68EF8CE2" w14:textId="77777777" w:rsidR="00363666" w:rsidRDefault="00122485">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6EC04" w14:textId="77777777" w:rsidR="00577CB3" w:rsidRDefault="006430D4" w:rsidP="003E6AA4">
    <w:pPr>
      <w:pStyle w:val="Header"/>
      <w:tabs>
        <w:tab w:val="clear" w:pos="8640"/>
        <w:tab w:val="left" w:pos="4590"/>
      </w:tabs>
      <w:jc w:val="center"/>
      <w:rPr>
        <w:sz w:val="28"/>
        <w:szCs w:val="28"/>
      </w:rPr>
    </w:pPr>
    <w:r w:rsidRPr="002B1BC7">
      <w:rPr>
        <w:sz w:val="28"/>
        <w:szCs w:val="28"/>
      </w:rPr>
      <w:t>DFARS Procedures, Guidance, and Information</w:t>
    </w:r>
  </w:p>
  <w:p w14:paraId="1C6922DB" w14:textId="77777777" w:rsidR="00577CB3" w:rsidRPr="002B1BC7" w:rsidRDefault="00122485" w:rsidP="003E6AA4">
    <w:pPr>
      <w:pStyle w:val="Header"/>
      <w:tabs>
        <w:tab w:val="clear" w:pos="8640"/>
        <w:tab w:val="left" w:pos="4590"/>
      </w:tabs>
      <w:jc w:val="center"/>
      <w:rPr>
        <w:sz w:val="28"/>
        <w:szCs w:val="28"/>
      </w:rPr>
    </w:pPr>
  </w:p>
  <w:p w14:paraId="086AF764" w14:textId="77777777" w:rsidR="00577CB3" w:rsidRPr="00BC71C0" w:rsidRDefault="006430D4">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12</w:t>
    </w:r>
    <w:r w:rsidRPr="00BC71C0">
      <w:rPr>
        <w:szCs w:val="24"/>
      </w:rPr>
      <w:t>—</w:t>
    </w:r>
    <w:r>
      <w:rPr>
        <w:szCs w:val="24"/>
      </w:rPr>
      <w:t xml:space="preserve">Acquisition of Commercial Items  </w:t>
    </w:r>
  </w:p>
  <w:p w14:paraId="0AA163EA" w14:textId="77777777" w:rsidR="00577CB3" w:rsidRDefault="00122485">
    <w:pPr>
      <w:pStyle w:val="Header"/>
      <w:tabs>
        <w:tab w:val="clear" w:pos="8640"/>
        <w:tab w:val="right" w:pos="9260"/>
      </w:tabs>
      <w:spacing w:before="20" w:line="20" w:lineRule="exact"/>
      <w:rPr>
        <w:rFonts w:ascii="Geneva" w:hAnsi="Geneva"/>
        <w:b/>
        <w:position w:val="6"/>
        <w:sz w:val="18"/>
      </w:rPr>
    </w:pPr>
  </w:p>
  <w:p w14:paraId="6C82BE67" w14:textId="77777777" w:rsidR="00577CB3" w:rsidRDefault="00122485">
    <w:pPr>
      <w:pStyle w:val="Header"/>
      <w:tabs>
        <w:tab w:val="clear" w:pos="8640"/>
        <w:tab w:val="right" w:pos="9260"/>
      </w:tabs>
      <w:rPr>
        <w:rFonts w:ascii="Century Schoolbook" w:hAnsi="Century Schoolbook"/>
        <w:b/>
        <w:sz w:val="20"/>
      </w:rPr>
    </w:pPr>
  </w:p>
  <w:p w14:paraId="6ECF70AC" w14:textId="77777777" w:rsidR="00577CB3" w:rsidRDefault="00122485">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F44DA" w14:textId="77777777" w:rsidR="00577CB3" w:rsidRDefault="006430D4" w:rsidP="003E6AA4">
    <w:pPr>
      <w:pStyle w:val="Header"/>
      <w:tabs>
        <w:tab w:val="clear" w:pos="8640"/>
        <w:tab w:val="left" w:pos="4590"/>
      </w:tabs>
      <w:jc w:val="center"/>
      <w:rPr>
        <w:sz w:val="28"/>
        <w:szCs w:val="28"/>
      </w:rPr>
    </w:pPr>
    <w:r w:rsidRPr="002B1BC7">
      <w:rPr>
        <w:sz w:val="28"/>
        <w:szCs w:val="28"/>
      </w:rPr>
      <w:t>DFARS Procedures, Guidance, and Information</w:t>
    </w:r>
  </w:p>
  <w:p w14:paraId="263152A9" w14:textId="77777777" w:rsidR="00577CB3" w:rsidRPr="002B1BC7" w:rsidRDefault="00122485" w:rsidP="003E6AA4">
    <w:pPr>
      <w:pStyle w:val="Header"/>
      <w:tabs>
        <w:tab w:val="clear" w:pos="8640"/>
        <w:tab w:val="left" w:pos="4590"/>
      </w:tabs>
      <w:jc w:val="center"/>
      <w:rPr>
        <w:sz w:val="28"/>
        <w:szCs w:val="28"/>
      </w:rPr>
    </w:pPr>
  </w:p>
  <w:p w14:paraId="4D3CF3C9" w14:textId="77777777" w:rsidR="00577CB3" w:rsidRPr="00BC71C0" w:rsidRDefault="006430D4">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12</w:t>
    </w:r>
    <w:r w:rsidRPr="00BC71C0">
      <w:rPr>
        <w:szCs w:val="24"/>
      </w:rPr>
      <w:t>—</w:t>
    </w:r>
    <w:r>
      <w:rPr>
        <w:szCs w:val="24"/>
      </w:rPr>
      <w:t xml:space="preserve">Acquisition of Commercial Items  </w:t>
    </w:r>
  </w:p>
  <w:p w14:paraId="3661506B" w14:textId="77777777" w:rsidR="00577CB3" w:rsidRDefault="00122485">
    <w:pPr>
      <w:pStyle w:val="Header"/>
      <w:tabs>
        <w:tab w:val="clear" w:pos="8640"/>
        <w:tab w:val="right" w:pos="9260"/>
      </w:tabs>
      <w:spacing w:before="20" w:line="20" w:lineRule="exact"/>
      <w:rPr>
        <w:rFonts w:ascii="Geneva" w:hAnsi="Geneva"/>
        <w:b/>
        <w:position w:val="6"/>
        <w:sz w:val="18"/>
      </w:rPr>
    </w:pPr>
  </w:p>
  <w:p w14:paraId="4E56F003" w14:textId="77777777" w:rsidR="00577CB3" w:rsidRDefault="00122485">
    <w:pPr>
      <w:pStyle w:val="Header"/>
      <w:tabs>
        <w:tab w:val="clear" w:pos="8640"/>
        <w:tab w:val="right" w:pos="9260"/>
      </w:tabs>
      <w:rPr>
        <w:rFonts w:ascii="Century Schoolbook" w:hAnsi="Century Schoolbook"/>
        <w:b/>
        <w:sz w:val="20"/>
      </w:rPr>
    </w:pPr>
  </w:p>
  <w:p w14:paraId="78428671" w14:textId="77777777" w:rsidR="00577CB3" w:rsidRDefault="00122485">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C67A" w14:textId="77777777" w:rsidR="00550636" w:rsidRDefault="006430D4" w:rsidP="003E6AA4">
    <w:pPr>
      <w:pStyle w:val="Header"/>
      <w:tabs>
        <w:tab w:val="clear" w:pos="8640"/>
        <w:tab w:val="left" w:pos="4590"/>
      </w:tabs>
      <w:jc w:val="center"/>
      <w:rPr>
        <w:sz w:val="28"/>
        <w:szCs w:val="28"/>
      </w:rPr>
    </w:pPr>
    <w:r w:rsidRPr="002B1BC7">
      <w:rPr>
        <w:sz w:val="28"/>
        <w:szCs w:val="28"/>
      </w:rPr>
      <w:t>DFARS Procedures, Guidance, and Information</w:t>
    </w:r>
  </w:p>
  <w:p w14:paraId="561EEB12" w14:textId="77777777" w:rsidR="00550636" w:rsidRPr="002B1BC7" w:rsidRDefault="00122485" w:rsidP="003E6AA4">
    <w:pPr>
      <w:pStyle w:val="Header"/>
      <w:tabs>
        <w:tab w:val="clear" w:pos="8640"/>
        <w:tab w:val="left" w:pos="4590"/>
      </w:tabs>
      <w:jc w:val="center"/>
      <w:rPr>
        <w:sz w:val="28"/>
        <w:szCs w:val="28"/>
      </w:rPr>
    </w:pPr>
  </w:p>
  <w:p w14:paraId="7B2CE694" w14:textId="77777777" w:rsidR="00550636" w:rsidRPr="00BC71C0" w:rsidRDefault="006430D4">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12</w:t>
    </w:r>
    <w:r w:rsidRPr="00BC71C0">
      <w:rPr>
        <w:szCs w:val="24"/>
      </w:rPr>
      <w:t>—</w:t>
    </w:r>
    <w:r>
      <w:rPr>
        <w:szCs w:val="24"/>
      </w:rPr>
      <w:t>Acquisition of Commercial Items</w:t>
    </w:r>
  </w:p>
  <w:p w14:paraId="0496C231" w14:textId="77777777" w:rsidR="00550636" w:rsidRDefault="00122485">
    <w:pPr>
      <w:pStyle w:val="Header"/>
      <w:tabs>
        <w:tab w:val="clear" w:pos="8640"/>
        <w:tab w:val="right" w:pos="9260"/>
      </w:tabs>
      <w:spacing w:before="20" w:line="20" w:lineRule="exact"/>
      <w:rPr>
        <w:rFonts w:ascii="Geneva" w:hAnsi="Geneva"/>
        <w:b/>
        <w:position w:val="6"/>
        <w:sz w:val="18"/>
      </w:rPr>
    </w:pPr>
  </w:p>
  <w:p w14:paraId="26A4802F" w14:textId="77777777" w:rsidR="00550636" w:rsidRDefault="00122485">
    <w:pPr>
      <w:pStyle w:val="Header"/>
      <w:tabs>
        <w:tab w:val="clear" w:pos="8640"/>
        <w:tab w:val="right" w:pos="9260"/>
      </w:tabs>
      <w:rPr>
        <w:rFonts w:ascii="Century Schoolbook" w:hAnsi="Century Schoolbook"/>
        <w:b/>
        <w:sz w:val="20"/>
      </w:rPr>
    </w:pPr>
  </w:p>
  <w:p w14:paraId="0FD64F43" w14:textId="77777777" w:rsidR="00550636" w:rsidRDefault="00122485">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D4"/>
    <w:rsid w:val="00122485"/>
    <w:rsid w:val="00413CA1"/>
    <w:rsid w:val="00505901"/>
    <w:rsid w:val="006430D4"/>
    <w:rsid w:val="007D6208"/>
    <w:rsid w:val="00850595"/>
    <w:rsid w:val="008B14A9"/>
    <w:rsid w:val="00954252"/>
    <w:rsid w:val="00AC24E7"/>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1763"/>
  <w15:chartTrackingRefBased/>
  <w15:docId w15:val="{5969D4F2-D8C7-4482-B137-19594EA5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6430D4"/>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6430D4"/>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6430D4"/>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6430D4"/>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D4"/>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6430D4"/>
    <w:rPr>
      <w:rFonts w:ascii="Arial" w:eastAsiaTheme="majorEastAsia" w:hAnsi="Arial" w:cs="Arial"/>
      <w:b/>
      <w:sz w:val="28"/>
      <w:szCs w:val="26"/>
    </w:rPr>
  </w:style>
  <w:style w:type="character" w:customStyle="1" w:styleId="Heading3Char">
    <w:name w:val="Heading 3 Char"/>
    <w:basedOn w:val="DefaultParagraphFont"/>
    <w:link w:val="Heading3"/>
    <w:rsid w:val="006430D4"/>
    <w:rPr>
      <w:rFonts w:ascii="Arial" w:eastAsia="Times New Roman" w:hAnsi="Arial" w:cs="Arial"/>
      <w:szCs w:val="20"/>
    </w:rPr>
  </w:style>
  <w:style w:type="paragraph" w:styleId="Footer">
    <w:name w:val="footer"/>
    <w:basedOn w:val="Normal"/>
    <w:link w:val="FooterChar"/>
    <w:rsid w:val="006430D4"/>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6430D4"/>
    <w:rPr>
      <w:rFonts w:ascii="Arial" w:eastAsia="Times New Roman" w:hAnsi="Arial" w:cs="Arial"/>
      <w:szCs w:val="20"/>
    </w:rPr>
  </w:style>
  <w:style w:type="paragraph" w:styleId="Header">
    <w:name w:val="header"/>
    <w:basedOn w:val="Normal"/>
    <w:link w:val="HeaderChar"/>
    <w:rsid w:val="006430D4"/>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6430D4"/>
    <w:rPr>
      <w:rFonts w:ascii="Arial" w:eastAsia="Times New Roman" w:hAnsi="Arial" w:cs="Arial"/>
      <w:szCs w:val="20"/>
    </w:rPr>
  </w:style>
  <w:style w:type="character" w:styleId="Hyperlink">
    <w:name w:val="Hyperlink"/>
    <w:basedOn w:val="DefaultParagraphFont"/>
    <w:uiPriority w:val="99"/>
    <w:rsid w:val="006430D4"/>
    <w:rPr>
      <w:color w:val="0563C1" w:themeColor="hyperlink"/>
      <w:u w:val="single"/>
    </w:rPr>
  </w:style>
  <w:style w:type="paragraph" w:customStyle="1" w:styleId="List1">
    <w:name w:val="List 1"/>
    <w:link w:val="List1Char"/>
    <w:rsid w:val="006430D4"/>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Heading3Char"/>
    <w:link w:val="List1"/>
    <w:rsid w:val="006430D4"/>
    <w:rPr>
      <w:rFonts w:ascii="Arial" w:eastAsia="Times New Roman" w:hAnsi="Arial" w:cs="Arial"/>
      <w:szCs w:val="24"/>
    </w:rPr>
  </w:style>
  <w:style w:type="paragraph" w:styleId="List3">
    <w:name w:val="List 3"/>
    <w:rsid w:val="006430D4"/>
    <w:pPr>
      <w:spacing w:after="0" w:line="240" w:lineRule="auto"/>
      <w:ind w:left="1080" w:hanging="360"/>
      <w:contextualSpacing/>
    </w:pPr>
    <w:rPr>
      <w:rFonts w:ascii="Arial" w:eastAsia="Times New Roman" w:hAnsi="Arial" w:cs="Arial"/>
      <w:szCs w:val="20"/>
    </w:rPr>
  </w:style>
  <w:style w:type="paragraph" w:styleId="List4">
    <w:name w:val="List 4"/>
    <w:link w:val="List4Char"/>
    <w:rsid w:val="006430D4"/>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6430D4"/>
    <w:pPr>
      <w:ind w:left="1800" w:firstLine="0"/>
    </w:pPr>
    <w:rPr>
      <w:rFonts w:eastAsia="Times New Roman"/>
      <w:spacing w:val="-5"/>
      <w:szCs w:val="24"/>
    </w:rPr>
  </w:style>
  <w:style w:type="character" w:customStyle="1" w:styleId="List4Char">
    <w:name w:val="List 4 Char"/>
    <w:basedOn w:val="DefaultParagraphFont"/>
    <w:link w:val="List4"/>
    <w:rsid w:val="006430D4"/>
    <w:rPr>
      <w:rFonts w:ascii="Arial" w:eastAsia="Times New Roman" w:hAnsi="Arial" w:cs="Arial"/>
      <w:szCs w:val="20"/>
    </w:rPr>
  </w:style>
  <w:style w:type="character" w:customStyle="1" w:styleId="List6Char">
    <w:name w:val="List 6 Char"/>
    <w:basedOn w:val="List4Char"/>
    <w:link w:val="List6"/>
    <w:rsid w:val="006430D4"/>
    <w:rPr>
      <w:rFonts w:ascii="Arial" w:eastAsia="Times New Roman" w:hAnsi="Arial" w:cs="Arial"/>
      <w:spacing w:val="-5"/>
      <w:szCs w:val="24"/>
    </w:rPr>
  </w:style>
  <w:style w:type="paragraph" w:styleId="List2">
    <w:name w:val="List 2"/>
    <w:basedOn w:val="Normal"/>
    <w:link w:val="List2Char"/>
    <w:unhideWhenUsed/>
    <w:rsid w:val="006430D4"/>
    <w:pPr>
      <w:ind w:left="720" w:hanging="360"/>
      <w:contextualSpacing/>
    </w:pPr>
  </w:style>
  <w:style w:type="character" w:customStyle="1" w:styleId="Heading4Char">
    <w:name w:val="Heading 4 Char"/>
    <w:basedOn w:val="DefaultParagraphFont"/>
    <w:link w:val="Heading4"/>
    <w:rsid w:val="006430D4"/>
    <w:rPr>
      <w:rFonts w:ascii="Arial" w:eastAsia="Times New Roman" w:hAnsi="Arial" w:cs="Arial"/>
      <w:szCs w:val="20"/>
    </w:rPr>
  </w:style>
  <w:style w:type="paragraph" w:styleId="PlainText">
    <w:name w:val="Plain Text"/>
    <w:basedOn w:val="Normal"/>
    <w:link w:val="PlainTextChar"/>
    <w:uiPriority w:val="99"/>
    <w:rsid w:val="006430D4"/>
    <w:pPr>
      <w:spacing w:before="120" w:after="100" w:afterAutospacing="1" w:line="240" w:lineRule="auto"/>
    </w:pPr>
    <w:rPr>
      <w:rFonts w:ascii="Courier New" w:eastAsia="Times New Roman" w:hAnsi="Courier New" w:cs="Courier New"/>
      <w:b/>
      <w:sz w:val="20"/>
      <w:szCs w:val="20"/>
    </w:rPr>
  </w:style>
  <w:style w:type="character" w:customStyle="1" w:styleId="PlainTextChar">
    <w:name w:val="Plain Text Char"/>
    <w:basedOn w:val="DefaultParagraphFont"/>
    <w:link w:val="PlainText"/>
    <w:uiPriority w:val="99"/>
    <w:rsid w:val="006430D4"/>
    <w:rPr>
      <w:rFonts w:ascii="Courier New" w:eastAsia="Times New Roman" w:hAnsi="Courier New" w:cs="Courier New"/>
      <w:b/>
      <w:sz w:val="20"/>
      <w:szCs w:val="20"/>
    </w:rPr>
  </w:style>
  <w:style w:type="character" w:customStyle="1" w:styleId="List2Char">
    <w:name w:val="List 2 Char"/>
    <w:basedOn w:val="DefaultParagraphFont"/>
    <w:link w:val="List2"/>
    <w:rsid w:val="006430D4"/>
  </w:style>
  <w:style w:type="paragraph" w:styleId="TOC1">
    <w:name w:val="toc 1"/>
    <w:basedOn w:val="Normal"/>
    <w:next w:val="Normal"/>
    <w:autoRedefine/>
    <w:uiPriority w:val="39"/>
    <w:unhideWhenUsed/>
    <w:rsid w:val="006430D4"/>
    <w:pPr>
      <w:spacing w:after="100"/>
    </w:pPr>
  </w:style>
  <w:style w:type="paragraph" w:styleId="TOC2">
    <w:name w:val="toc 2"/>
    <w:basedOn w:val="Normal"/>
    <w:next w:val="Normal"/>
    <w:autoRedefine/>
    <w:uiPriority w:val="39"/>
    <w:unhideWhenUsed/>
    <w:rsid w:val="006430D4"/>
    <w:pPr>
      <w:spacing w:after="100"/>
      <w:ind w:left="220"/>
    </w:pPr>
  </w:style>
  <w:style w:type="paragraph" w:styleId="TOC3">
    <w:name w:val="toc 3"/>
    <w:basedOn w:val="Normal"/>
    <w:next w:val="Normal"/>
    <w:autoRedefine/>
    <w:uiPriority w:val="39"/>
    <w:unhideWhenUsed/>
    <w:rsid w:val="006430D4"/>
    <w:pPr>
      <w:spacing w:after="100"/>
      <w:ind w:left="440"/>
    </w:pPr>
  </w:style>
  <w:style w:type="paragraph" w:styleId="TOC4">
    <w:name w:val="toc 4"/>
    <w:basedOn w:val="Normal"/>
    <w:next w:val="Normal"/>
    <w:autoRedefine/>
    <w:uiPriority w:val="39"/>
    <w:unhideWhenUsed/>
    <w:rsid w:val="006430D4"/>
    <w:pPr>
      <w:spacing w:after="100"/>
      <w:ind w:left="660"/>
    </w:pPr>
  </w:style>
  <w:style w:type="paragraph" w:styleId="TOC5">
    <w:name w:val="toc 5"/>
    <w:basedOn w:val="Normal"/>
    <w:next w:val="Normal"/>
    <w:autoRedefine/>
    <w:uiPriority w:val="39"/>
    <w:semiHidden/>
    <w:unhideWhenUsed/>
    <w:rsid w:val="006430D4"/>
    <w:pPr>
      <w:spacing w:after="100"/>
      <w:ind w:left="880"/>
    </w:pPr>
  </w:style>
  <w:style w:type="paragraph" w:styleId="TOC6">
    <w:name w:val="toc 6"/>
    <w:basedOn w:val="Normal"/>
    <w:next w:val="Normal"/>
    <w:autoRedefine/>
    <w:uiPriority w:val="39"/>
    <w:semiHidden/>
    <w:unhideWhenUsed/>
    <w:rsid w:val="006430D4"/>
    <w:pPr>
      <w:spacing w:after="100"/>
      <w:ind w:left="1100"/>
    </w:pPr>
  </w:style>
  <w:style w:type="paragraph" w:styleId="TOC7">
    <w:name w:val="toc 7"/>
    <w:basedOn w:val="Normal"/>
    <w:next w:val="Normal"/>
    <w:autoRedefine/>
    <w:uiPriority w:val="39"/>
    <w:semiHidden/>
    <w:unhideWhenUsed/>
    <w:rsid w:val="006430D4"/>
    <w:pPr>
      <w:spacing w:after="100"/>
      <w:ind w:left="1320"/>
    </w:pPr>
  </w:style>
  <w:style w:type="paragraph" w:styleId="TOC8">
    <w:name w:val="toc 8"/>
    <w:basedOn w:val="Normal"/>
    <w:next w:val="Normal"/>
    <w:autoRedefine/>
    <w:uiPriority w:val="39"/>
    <w:semiHidden/>
    <w:unhideWhenUsed/>
    <w:rsid w:val="006430D4"/>
    <w:pPr>
      <w:spacing w:after="100"/>
      <w:ind w:left="1540"/>
    </w:pPr>
  </w:style>
  <w:style w:type="paragraph" w:styleId="TOC9">
    <w:name w:val="toc 9"/>
    <w:basedOn w:val="Normal"/>
    <w:next w:val="Normal"/>
    <w:autoRedefine/>
    <w:uiPriority w:val="39"/>
    <w:semiHidden/>
    <w:unhideWhenUsed/>
    <w:rsid w:val="006430D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pgi/docs/DoD_Guidebook_PartA_Commercial_Item_Determination_07_10_19.pdf" TargetMode="External"/><Relationship Id="rId13" Type="http://schemas.openxmlformats.org/officeDocument/2006/relationships/footer" Target="footer2.xml"/><Relationship Id="rId18" Type="http://schemas.openxmlformats.org/officeDocument/2006/relationships/hyperlink" Target="http://www.acq.osd.mil/dpap/dars/pgi/docs/Template_for_Annual_Report_(PGI_212-7102-3_Pilot_for_Military_Purpose_Nondevelopmental%20Items).xls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acq.osd.mil/dpap/dars/dfars/html/current/212_1.htm" TargetMode="External"/><Relationship Id="rId12" Type="http://schemas.openxmlformats.org/officeDocument/2006/relationships/header" Target="header2.xml"/><Relationship Id="rId17" Type="http://schemas.openxmlformats.org/officeDocument/2006/relationships/hyperlink" Target="mailto:osd.pentagon.ousd-atl.mbx.cpic@mail.mil" TargetMode="External"/><Relationship Id="rId2" Type="http://schemas.openxmlformats.org/officeDocument/2006/relationships/settings" Target="settings.xml"/><Relationship Id="rId16" Type="http://schemas.openxmlformats.org/officeDocument/2006/relationships/hyperlink" Target="http://www.acq.osd.mil/dpap/dars/dfars/html/current/212_71.htm" TargetMode="External"/><Relationship Id="rId20" Type="http://schemas.openxmlformats.org/officeDocument/2006/relationships/footer" Target="footer4.xml"/><Relationship Id="rId1" Type="http://schemas.openxmlformats.org/officeDocument/2006/relationships/styles" Target="styles.xml"/><Relationship Id="rId6" Type="http://schemas.openxmlformats.org/officeDocument/2006/relationships/hyperlink" Target="mailto:dcma.boston-ma.eastern-rc.mbx.Commercial@mail.mi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yperlink" Target="http://www.dcma.mil/commercial-item-group/" TargetMode="Externa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2020-04-10T16:53:00Z</dcterms:created>
  <dcterms:modified xsi:type="dcterms:W3CDTF">2020-04-14T15:22:00Z</dcterms:modified>
</cp:coreProperties>
</file>