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7DAA6" w14:textId="77777777" w:rsidR="00321F1A" w:rsidRDefault="00321F1A">
      <w:pPr>
        <w:sectPr w:rsidR="00321F1A">
          <w:pgSz w:w="12240" w:h="15840"/>
          <w:pgMar w:top="1440" w:right="1440" w:bottom="1440" w:left="1440" w:header="720" w:footer="720" w:gutter="0"/>
          <w:cols w:space="720"/>
          <w:docGrid w:linePitch="360"/>
        </w:sectPr>
      </w:pPr>
    </w:p>
    <w:p w14:paraId="344C1714" w14:textId="77777777" w:rsidR="00321F1A" w:rsidRDefault="00321F1A" w:rsidP="007A4292">
      <w:pPr>
        <w:pStyle w:val="Heading1"/>
      </w:pPr>
      <w:bookmarkStart w:id="0" w:name="_Toc37677373"/>
      <w:bookmarkStart w:id="1" w:name="_Toc37755759"/>
      <w:r>
        <w:lastRenderedPageBreak/>
        <w:t xml:space="preserve">PGI </w:t>
      </w:r>
      <w:r w:rsidRPr="007B495C">
        <w:t>PART 2</w:t>
      </w:r>
      <w:r>
        <w:t>13</w:t>
      </w:r>
      <w:r w:rsidRPr="007B495C">
        <w:t xml:space="preserve"> - </w:t>
      </w:r>
      <w:r>
        <w:br/>
      </w:r>
      <w:r w:rsidRPr="00FE431B">
        <w:t>SIMPLIFIED ACQUISITION PROCEDURES</w:t>
      </w:r>
      <w:bookmarkEnd w:id="0"/>
      <w:bookmarkEnd w:id="1"/>
    </w:p>
    <w:p w14:paraId="661E2F02" w14:textId="77777777" w:rsidR="00321F1A" w:rsidRDefault="00321F1A">
      <w:r>
        <w:br w:type="page"/>
      </w:r>
      <w:r>
        <w:lastRenderedPageBreak/>
        <w:br/>
      </w:r>
    </w:p>
    <w:p w14:paraId="2EFE4A47" w14:textId="77777777" w:rsidR="0020329C" w:rsidRPr="00C966AD" w:rsidRDefault="0020329C" w:rsidP="00C966AD">
      <w:pPr>
        <w:jc w:val="center"/>
        <w:rPr>
          <w:b/>
        </w:rPr>
      </w:pPr>
      <w:r w:rsidRPr="00C966AD">
        <w:rPr>
          <w:b/>
        </w:rPr>
        <w:t>Table of Contents</w:t>
      </w:r>
    </w:p>
    <w:p w14:paraId="592119F7" w14:textId="72C23047" w:rsidR="00024DE6" w:rsidRDefault="00024DE6" w:rsidP="00024DE6">
      <w:pPr>
        <w:pStyle w:val="TOC1"/>
        <w:tabs>
          <w:tab w:val="right" w:leader="dot" w:pos="9350"/>
        </w:tabs>
        <w:rPr>
          <w:rFonts w:asciiTheme="minorHAnsi" w:eastAsiaTheme="minorEastAsia" w:hAnsiTheme="minorHAnsi" w:cstheme="minorBidi"/>
          <w:noProof/>
        </w:rPr>
      </w:pPr>
      <w:r>
        <w:rPr>
          <w:rStyle w:val="Hyperlink"/>
          <w:caps/>
          <w:noProof/>
        </w:rPr>
        <w:fldChar w:fldCharType="begin"/>
      </w:r>
      <w:r>
        <w:rPr>
          <w:rStyle w:val="Hyperlink"/>
          <w:caps/>
          <w:noProof/>
        </w:rPr>
        <w:instrText xml:space="preserve"> TOC \o "1-4" \n \h \z \u </w:instrText>
      </w:r>
      <w:r>
        <w:rPr>
          <w:rStyle w:val="Hyperlink"/>
          <w:caps/>
          <w:noProof/>
        </w:rPr>
        <w:fldChar w:fldCharType="separate"/>
      </w:r>
      <w:hyperlink w:anchor="_Toc37755759" w:history="1">
        <w:r w:rsidRPr="00C942E6">
          <w:rPr>
            <w:rStyle w:val="Hyperlink"/>
            <w:noProof/>
          </w:rPr>
          <w:t>PGI PART 213 -  SIMPLIFIED ACQUISITION PROCEDURES</w:t>
        </w:r>
      </w:hyperlink>
    </w:p>
    <w:p w14:paraId="65EDEB39" w14:textId="3C8133C8" w:rsidR="00024DE6" w:rsidRDefault="00024DE6" w:rsidP="00024DE6">
      <w:pPr>
        <w:pStyle w:val="TOC2"/>
        <w:tabs>
          <w:tab w:val="right" w:leader="dot" w:pos="9350"/>
        </w:tabs>
        <w:rPr>
          <w:rFonts w:asciiTheme="minorHAnsi" w:eastAsiaTheme="minorEastAsia" w:hAnsiTheme="minorHAnsi" w:cstheme="minorBidi"/>
          <w:noProof/>
        </w:rPr>
      </w:pPr>
      <w:hyperlink w:anchor="_Toc37755760" w:history="1">
        <w:r w:rsidRPr="00C942E6">
          <w:rPr>
            <w:rStyle w:val="Hyperlink"/>
            <w:caps/>
            <w:noProof/>
          </w:rPr>
          <w:t>PGI 213.1—Procedures</w:t>
        </w:r>
      </w:hyperlink>
    </w:p>
    <w:p w14:paraId="7365E962" w14:textId="44EC9A94" w:rsidR="00024DE6" w:rsidRDefault="00024DE6" w:rsidP="00024DE6">
      <w:pPr>
        <w:pStyle w:val="TOC3"/>
        <w:tabs>
          <w:tab w:val="right" w:leader="dot" w:pos="9350"/>
        </w:tabs>
        <w:rPr>
          <w:rFonts w:asciiTheme="minorHAnsi" w:eastAsiaTheme="minorEastAsia" w:hAnsiTheme="minorHAnsi" w:cstheme="minorBidi"/>
          <w:noProof/>
        </w:rPr>
      </w:pPr>
      <w:hyperlink w:anchor="_Toc37755761" w:history="1">
        <w:r w:rsidRPr="00C942E6">
          <w:rPr>
            <w:rStyle w:val="Hyperlink"/>
            <w:noProof/>
          </w:rPr>
          <w:t>PGI 213.104  Promoting competition.</w:t>
        </w:r>
      </w:hyperlink>
    </w:p>
    <w:p w14:paraId="27B74239" w14:textId="5A02B0A1" w:rsidR="00024DE6" w:rsidRDefault="00024DE6" w:rsidP="00024DE6">
      <w:pPr>
        <w:pStyle w:val="TOC2"/>
        <w:tabs>
          <w:tab w:val="right" w:leader="dot" w:pos="9350"/>
        </w:tabs>
        <w:rPr>
          <w:rFonts w:asciiTheme="minorHAnsi" w:eastAsiaTheme="minorEastAsia" w:hAnsiTheme="minorHAnsi" w:cstheme="minorBidi"/>
          <w:noProof/>
        </w:rPr>
      </w:pPr>
      <w:hyperlink w:anchor="_Toc37755762" w:history="1">
        <w:r w:rsidRPr="00C942E6">
          <w:rPr>
            <w:rStyle w:val="Hyperlink"/>
            <w:noProof/>
            <w:lang w:val="en"/>
          </w:rPr>
          <w:t>PGI 213.2—ACTIONS AT OR BELOW THE MICRO-PURCHASE THRESHOLD</w:t>
        </w:r>
      </w:hyperlink>
    </w:p>
    <w:p w14:paraId="3C7454A8" w14:textId="6C9C4B17" w:rsidR="00024DE6" w:rsidRDefault="00024DE6" w:rsidP="00024DE6">
      <w:pPr>
        <w:pStyle w:val="TOC3"/>
        <w:tabs>
          <w:tab w:val="right" w:leader="dot" w:pos="9350"/>
        </w:tabs>
        <w:rPr>
          <w:rFonts w:asciiTheme="minorHAnsi" w:eastAsiaTheme="minorEastAsia" w:hAnsiTheme="minorHAnsi" w:cstheme="minorBidi"/>
          <w:noProof/>
        </w:rPr>
      </w:pPr>
      <w:hyperlink w:anchor="_Toc37755763" w:history="1">
        <w:r w:rsidRPr="00C942E6">
          <w:rPr>
            <w:rStyle w:val="Hyperlink"/>
            <w:bCs/>
            <w:noProof/>
            <w:lang w:val="en"/>
          </w:rPr>
          <w:t>PGI 213.201  General.</w:t>
        </w:r>
      </w:hyperlink>
    </w:p>
    <w:p w14:paraId="55E0839A" w14:textId="7E9F3DF8" w:rsidR="00024DE6" w:rsidRDefault="00024DE6" w:rsidP="00024DE6">
      <w:pPr>
        <w:pStyle w:val="TOC2"/>
        <w:tabs>
          <w:tab w:val="right" w:leader="dot" w:pos="9350"/>
        </w:tabs>
        <w:rPr>
          <w:rFonts w:asciiTheme="minorHAnsi" w:eastAsiaTheme="minorEastAsia" w:hAnsiTheme="minorHAnsi" w:cstheme="minorBidi"/>
          <w:noProof/>
        </w:rPr>
      </w:pPr>
      <w:hyperlink w:anchor="_Toc37755764" w:history="1">
        <w:r w:rsidRPr="00C942E6">
          <w:rPr>
            <w:rStyle w:val="Hyperlink"/>
            <w:noProof/>
          </w:rPr>
          <w:t>PGI 213.3—SIMPLIFIED ACQUISITION METHODS</w:t>
        </w:r>
      </w:hyperlink>
    </w:p>
    <w:p w14:paraId="21258B3B" w14:textId="6A89945B" w:rsidR="00024DE6" w:rsidRDefault="00024DE6" w:rsidP="00024DE6">
      <w:pPr>
        <w:pStyle w:val="TOC2"/>
        <w:tabs>
          <w:tab w:val="right" w:leader="dot" w:pos="9350"/>
        </w:tabs>
        <w:rPr>
          <w:rFonts w:asciiTheme="minorHAnsi" w:eastAsiaTheme="minorEastAsia" w:hAnsiTheme="minorHAnsi" w:cstheme="minorBidi"/>
          <w:noProof/>
        </w:rPr>
      </w:pPr>
      <w:hyperlink w:anchor="_Toc37755765" w:history="1">
        <w:r w:rsidRPr="00C942E6">
          <w:rPr>
            <w:rStyle w:val="Hyperlink"/>
            <w:noProof/>
          </w:rPr>
          <w:t>PGI 213.3—SIMPLIFIED ACQUISITION METHODS</w:t>
        </w:r>
      </w:hyperlink>
    </w:p>
    <w:p w14:paraId="385B1992" w14:textId="07CA1A5C" w:rsidR="00024DE6" w:rsidRDefault="00024DE6" w:rsidP="00024DE6">
      <w:pPr>
        <w:pStyle w:val="TOC3"/>
        <w:tabs>
          <w:tab w:val="right" w:leader="dot" w:pos="9350"/>
        </w:tabs>
        <w:rPr>
          <w:rFonts w:asciiTheme="minorHAnsi" w:eastAsiaTheme="minorEastAsia" w:hAnsiTheme="minorHAnsi" w:cstheme="minorBidi"/>
          <w:noProof/>
        </w:rPr>
      </w:pPr>
      <w:hyperlink w:anchor="_Toc37755766" w:history="1">
        <w:r w:rsidRPr="00C942E6">
          <w:rPr>
            <w:rStyle w:val="Hyperlink"/>
            <w:b/>
            <w:noProof/>
          </w:rPr>
          <w:t>PGI 213.301  Governmentwide commercial purchase card</w:t>
        </w:r>
        <w:r w:rsidRPr="00C942E6">
          <w:rPr>
            <w:rStyle w:val="Hyperlink"/>
            <w:noProof/>
          </w:rPr>
          <w:t>.</w:t>
        </w:r>
      </w:hyperlink>
    </w:p>
    <w:p w14:paraId="19F0C64A" w14:textId="18FD376A" w:rsidR="00024DE6" w:rsidRDefault="00024DE6" w:rsidP="00024DE6">
      <w:pPr>
        <w:pStyle w:val="TOC3"/>
        <w:tabs>
          <w:tab w:val="right" w:leader="dot" w:pos="9350"/>
        </w:tabs>
        <w:rPr>
          <w:rFonts w:asciiTheme="minorHAnsi" w:eastAsiaTheme="minorEastAsia" w:hAnsiTheme="minorHAnsi" w:cstheme="minorBidi"/>
          <w:noProof/>
        </w:rPr>
      </w:pPr>
      <w:hyperlink w:anchor="_Toc37755767" w:history="1">
        <w:r w:rsidRPr="00C942E6">
          <w:rPr>
            <w:rStyle w:val="Hyperlink"/>
            <w:b/>
            <w:noProof/>
          </w:rPr>
          <w:t>PGI 213.302  Purchase orders.</w:t>
        </w:r>
      </w:hyperlink>
    </w:p>
    <w:p w14:paraId="44F3CCF7" w14:textId="4C90E00C" w:rsidR="00024DE6" w:rsidRDefault="00024DE6" w:rsidP="00024DE6">
      <w:pPr>
        <w:pStyle w:val="TOC4"/>
        <w:tabs>
          <w:tab w:val="right" w:leader="dot" w:pos="9350"/>
        </w:tabs>
        <w:rPr>
          <w:rFonts w:asciiTheme="minorHAnsi" w:eastAsiaTheme="minorEastAsia" w:hAnsiTheme="minorHAnsi" w:cstheme="minorBidi"/>
          <w:noProof/>
        </w:rPr>
      </w:pPr>
      <w:hyperlink w:anchor="_Toc37755768" w:history="1">
        <w:r w:rsidRPr="00C942E6">
          <w:rPr>
            <w:rStyle w:val="Hyperlink"/>
            <w:b/>
            <w:noProof/>
          </w:rPr>
          <w:t>PGI 213.302-3  Obtaining contractor acceptance and modifying purchase orders.</w:t>
        </w:r>
      </w:hyperlink>
    </w:p>
    <w:p w14:paraId="580AEF87" w14:textId="4D6478A2" w:rsidR="00024DE6" w:rsidRDefault="00024DE6" w:rsidP="00024DE6">
      <w:pPr>
        <w:pStyle w:val="TOC3"/>
        <w:tabs>
          <w:tab w:val="right" w:leader="dot" w:pos="9350"/>
        </w:tabs>
        <w:rPr>
          <w:rFonts w:asciiTheme="minorHAnsi" w:eastAsiaTheme="minorEastAsia" w:hAnsiTheme="minorHAnsi" w:cstheme="minorBidi"/>
          <w:noProof/>
        </w:rPr>
      </w:pPr>
      <w:hyperlink w:anchor="_Toc37755769" w:history="1">
        <w:r w:rsidRPr="00C942E6">
          <w:rPr>
            <w:rStyle w:val="Hyperlink"/>
            <w:b/>
            <w:bCs/>
            <w:noProof/>
          </w:rPr>
          <w:t xml:space="preserve">PGI 213.306  </w:t>
        </w:r>
        <w:r w:rsidRPr="00C942E6">
          <w:rPr>
            <w:rStyle w:val="Hyperlink"/>
            <w:b/>
            <w:noProof/>
          </w:rPr>
          <w:t>SF 44,  Purchase Order-Invoice-Voucher</w:t>
        </w:r>
        <w:r w:rsidRPr="00C942E6">
          <w:rPr>
            <w:rStyle w:val="Hyperlink"/>
            <w:noProof/>
          </w:rPr>
          <w:t>.</w:t>
        </w:r>
      </w:hyperlink>
    </w:p>
    <w:p w14:paraId="5F804047" w14:textId="3693F90B" w:rsidR="00321F1A" w:rsidRPr="00321F1A" w:rsidRDefault="00024DE6" w:rsidP="00321F1A">
      <w:r>
        <w:rPr>
          <w:rStyle w:val="Hyperlink"/>
          <w:caps/>
          <w:noProof/>
        </w:rPr>
        <w:fldChar w:fldCharType="end"/>
      </w:r>
    </w:p>
    <w:p w14:paraId="562ECA85" w14:textId="77777777" w:rsidR="00321F1A" w:rsidRDefault="00321F1A" w:rsidP="00294CB7">
      <w:pPr>
        <w:tabs>
          <w:tab w:val="left" w:pos="360"/>
          <w:tab w:val="left" w:pos="810"/>
          <w:tab w:val="left" w:pos="1210"/>
          <w:tab w:val="left" w:pos="1656"/>
          <w:tab w:val="left" w:pos="2131"/>
          <w:tab w:val="left" w:pos="2520"/>
          <w:tab w:val="bar" w:pos="10080"/>
        </w:tabs>
        <w:jc w:val="center"/>
        <w:rPr>
          <w:b/>
          <w:i/>
          <w:spacing w:val="-5"/>
          <w:kern w:val="20"/>
          <w:szCs w:val="24"/>
        </w:rPr>
      </w:pPr>
      <w:r w:rsidRPr="007E4812">
        <w:rPr>
          <w:i/>
          <w:spacing w:val="-5"/>
          <w:kern w:val="20"/>
          <w:szCs w:val="24"/>
        </w:rPr>
        <w:t>(Added April 20, 2015)</w:t>
      </w:r>
    </w:p>
    <w:p w14:paraId="5C1C2B47" w14:textId="77777777" w:rsidR="00321F1A" w:rsidRDefault="00321F1A" w:rsidP="00294CB7">
      <w:pPr>
        <w:pStyle w:val="Heading2"/>
      </w:pPr>
      <w:r>
        <w:rPr>
          <w:b w:val="0"/>
          <w:i/>
          <w:spacing w:val="-5"/>
          <w:kern w:val="20"/>
          <w:szCs w:val="24"/>
        </w:rPr>
        <w:br/>
      </w:r>
      <w:bookmarkStart w:id="2" w:name="_Toc37415650"/>
      <w:bookmarkStart w:id="3" w:name="_Toc37677374"/>
      <w:bookmarkStart w:id="4" w:name="_Toc37755760"/>
      <w:r w:rsidRPr="000B486C">
        <w:rPr>
          <w:caps/>
          <w:szCs w:val="24"/>
        </w:rPr>
        <w:t>PGI 213.1—Procedures</w:t>
      </w:r>
      <w:bookmarkEnd w:id="2"/>
      <w:bookmarkEnd w:id="3"/>
      <w:bookmarkEnd w:id="4"/>
    </w:p>
    <w:p w14:paraId="3FB53043" w14:textId="77777777" w:rsidR="00321F1A" w:rsidRPr="000B486C" w:rsidRDefault="00321F1A" w:rsidP="00294CB7">
      <w:pPr>
        <w:pStyle w:val="Heading3"/>
      </w:pPr>
      <w:r>
        <w:rPr>
          <w:b/>
          <w:szCs w:val="24"/>
        </w:rPr>
        <w:br/>
      </w:r>
      <w:bookmarkStart w:id="5" w:name="_Toc37415651"/>
      <w:bookmarkStart w:id="6" w:name="_Toc37677375"/>
      <w:bookmarkStart w:id="7" w:name="_Toc37755761"/>
      <w:r>
        <w:rPr>
          <w:szCs w:val="24"/>
        </w:rPr>
        <w:t xml:space="preserve">PGI </w:t>
      </w:r>
      <w:proofErr w:type="gramStart"/>
      <w:r w:rsidRPr="00294CB7">
        <w:t xml:space="preserve">213.104  </w:t>
      </w:r>
      <w:r>
        <w:rPr>
          <w:szCs w:val="24"/>
        </w:rPr>
        <w:t>Promoting</w:t>
      </w:r>
      <w:proofErr w:type="gramEnd"/>
      <w:r>
        <w:rPr>
          <w:szCs w:val="24"/>
        </w:rPr>
        <w:t xml:space="preserve"> c</w:t>
      </w:r>
      <w:r w:rsidRPr="000B486C">
        <w:rPr>
          <w:szCs w:val="24"/>
        </w:rPr>
        <w:t>ompetition.</w:t>
      </w:r>
      <w:bookmarkEnd w:id="5"/>
      <w:bookmarkEnd w:id="6"/>
      <w:bookmarkEnd w:id="7"/>
    </w:p>
    <w:p w14:paraId="250962A4" w14:textId="77777777" w:rsidR="00321F1A" w:rsidRDefault="00321F1A" w:rsidP="00294CB7">
      <w:r w:rsidRPr="00A84BA1">
        <w:t xml:space="preserve">For information on the various approaches that may be used to competitively fulfill DoD requirements, see the Office of the Under Secretary of Defense for Acquisition, Technology, and Logistics </w:t>
      </w:r>
      <w:hyperlink r:id="rId6" w:history="1">
        <w:r w:rsidRPr="00996648">
          <w:rPr>
            <w:color w:val="0000FF"/>
            <w:u w:val="single"/>
          </w:rPr>
          <w:t>Guidelines for Creating and Maintaining a Competitive Environment for Supplies and Services in the Department of Defense</w:t>
        </w:r>
      </w:hyperlink>
      <w:r w:rsidRPr="000B486C">
        <w:t>.</w:t>
      </w:r>
    </w:p>
    <w:p w14:paraId="741A016C" w14:textId="77777777" w:rsidR="00321F1A" w:rsidRPr="00AF489B" w:rsidRDefault="00321F1A" w:rsidP="00AF489B">
      <w:pPr>
        <w:spacing w:line="240" w:lineRule="exact"/>
      </w:pPr>
      <w:r>
        <w:rPr>
          <w:spacing w:val="-5"/>
          <w:kern w:val="20"/>
          <w:szCs w:val="24"/>
        </w:rPr>
        <w:lastRenderedPageBreak/>
        <w:br/>
      </w:r>
    </w:p>
    <w:p w14:paraId="24B56FE4" w14:textId="77777777" w:rsidR="00321F1A" w:rsidRDefault="00321F1A">
      <w:pPr>
        <w:sectPr w:rsidR="00321F1A" w:rsidSect="00906FCC">
          <w:headerReference w:type="default" r:id="rId7"/>
          <w:footerReference w:type="default" r:id="rId8"/>
          <w:pgSz w:w="12240" w:h="15840"/>
          <w:pgMar w:top="1440" w:right="1440" w:bottom="1440" w:left="1440" w:header="720" w:footer="720" w:gutter="0"/>
          <w:cols w:space="720"/>
          <w:docGrid w:linePitch="360"/>
        </w:sectPr>
      </w:pPr>
    </w:p>
    <w:p w14:paraId="5F9247C8" w14:textId="77777777" w:rsidR="00321F1A" w:rsidRDefault="00321F1A" w:rsidP="00AE4DC6">
      <w:pPr>
        <w:tabs>
          <w:tab w:val="left" w:pos="360"/>
          <w:tab w:val="left" w:pos="810"/>
          <w:tab w:val="left" w:pos="1210"/>
          <w:tab w:val="left" w:pos="1656"/>
          <w:tab w:val="left" w:pos="2131"/>
          <w:tab w:val="left" w:pos="2520"/>
          <w:tab w:val="left" w:pos="2610"/>
          <w:tab w:val="bar" w:pos="10080"/>
        </w:tabs>
        <w:jc w:val="center"/>
        <w:rPr>
          <w:b/>
          <w:i/>
          <w:spacing w:val="-5"/>
          <w:kern w:val="20"/>
          <w:szCs w:val="24"/>
        </w:rPr>
      </w:pPr>
      <w:r w:rsidRPr="007E4812">
        <w:rPr>
          <w:i/>
          <w:spacing w:val="-5"/>
          <w:kern w:val="20"/>
          <w:szCs w:val="24"/>
        </w:rPr>
        <w:lastRenderedPageBreak/>
        <w:t>(</w:t>
      </w:r>
      <w:r>
        <w:rPr>
          <w:i/>
          <w:spacing w:val="-5"/>
          <w:kern w:val="20"/>
          <w:szCs w:val="24"/>
        </w:rPr>
        <w:t>Revised May 30, 2018</w:t>
      </w:r>
      <w:r w:rsidRPr="007E4812">
        <w:rPr>
          <w:i/>
          <w:spacing w:val="-5"/>
          <w:kern w:val="20"/>
          <w:szCs w:val="24"/>
        </w:rPr>
        <w:t>)</w:t>
      </w:r>
    </w:p>
    <w:p w14:paraId="09D8A837" w14:textId="77777777" w:rsidR="00321F1A" w:rsidRDefault="00321F1A" w:rsidP="00AE4DC6">
      <w:pPr>
        <w:pStyle w:val="Heading2"/>
        <w:rPr>
          <w:lang w:val="en"/>
        </w:rPr>
      </w:pPr>
      <w:r>
        <w:rPr>
          <w:b w:val="0"/>
          <w:i/>
          <w:spacing w:val="-5"/>
          <w:kern w:val="20"/>
          <w:szCs w:val="24"/>
        </w:rPr>
        <w:br/>
      </w:r>
      <w:bookmarkStart w:id="8" w:name="_Toc37415652"/>
      <w:bookmarkStart w:id="9" w:name="_Toc37677376"/>
      <w:bookmarkStart w:id="10" w:name="_Toc37755762"/>
      <w:r w:rsidRPr="00851B71">
        <w:rPr>
          <w:szCs w:val="24"/>
          <w:lang w:val="en"/>
        </w:rPr>
        <w:t>PGI 213.2—ACTIONS AT OR BELOW THE MICRO-PURCHASE THRESHOLD</w:t>
      </w:r>
      <w:bookmarkEnd w:id="8"/>
      <w:bookmarkEnd w:id="9"/>
      <w:bookmarkEnd w:id="10"/>
    </w:p>
    <w:p w14:paraId="57B9F050" w14:textId="77777777" w:rsidR="00321F1A" w:rsidRDefault="00321F1A" w:rsidP="00AE4DC6">
      <w:pPr>
        <w:pStyle w:val="Heading3"/>
        <w:rPr>
          <w:lang w:val="en"/>
        </w:rPr>
      </w:pPr>
      <w:r>
        <w:rPr>
          <w:bCs/>
          <w:szCs w:val="24"/>
          <w:lang w:val="en"/>
        </w:rPr>
        <w:br/>
      </w:r>
      <w:bookmarkStart w:id="11" w:name="_Toc37415653"/>
      <w:bookmarkStart w:id="12" w:name="_Toc37677377"/>
      <w:bookmarkStart w:id="13" w:name="_Toc37755763"/>
      <w:r w:rsidRPr="00851B71">
        <w:rPr>
          <w:bCs/>
          <w:szCs w:val="24"/>
          <w:lang w:val="en"/>
        </w:rPr>
        <w:t xml:space="preserve">PGI </w:t>
      </w:r>
      <w:proofErr w:type="gramStart"/>
      <w:r w:rsidRPr="00851B71">
        <w:rPr>
          <w:bCs/>
          <w:szCs w:val="24"/>
          <w:lang w:val="en"/>
        </w:rPr>
        <w:t>213.201</w:t>
      </w:r>
      <w:r>
        <w:rPr>
          <w:bCs/>
          <w:szCs w:val="24"/>
          <w:lang w:val="en"/>
        </w:rPr>
        <w:t xml:space="preserve">  General</w:t>
      </w:r>
      <w:proofErr w:type="gramEnd"/>
      <w:r>
        <w:rPr>
          <w:bCs/>
          <w:szCs w:val="24"/>
          <w:lang w:val="en"/>
        </w:rPr>
        <w:t>.</w:t>
      </w:r>
      <w:bookmarkEnd w:id="11"/>
      <w:bookmarkEnd w:id="12"/>
      <w:bookmarkEnd w:id="13"/>
    </w:p>
    <w:p w14:paraId="13451EF5" w14:textId="77777777" w:rsidR="00321F1A" w:rsidRDefault="00321F1A" w:rsidP="00AE4DC6">
      <w:pPr>
        <w:pStyle w:val="List1"/>
        <w:rPr>
          <w:lang w:val="en"/>
        </w:rPr>
      </w:pPr>
      <w:r>
        <w:rPr>
          <w:bCs w:val="0"/>
          <w:lang w:val="en"/>
        </w:rPr>
        <w:br/>
      </w:r>
      <w:r w:rsidRPr="00851B71">
        <w:rPr>
          <w:lang w:val="en"/>
        </w:rPr>
        <w:t>(g)(</w:t>
      </w:r>
      <w:proofErr w:type="spellStart"/>
      <w:r w:rsidRPr="00851B71">
        <w:rPr>
          <w:lang w:val="en"/>
        </w:rPr>
        <w:t>i</w:t>
      </w:r>
      <w:proofErr w:type="spellEnd"/>
      <w:r w:rsidRPr="00851B71">
        <w:rPr>
          <w:lang w:val="en"/>
        </w:rPr>
        <w:t xml:space="preserve">)  The higher micro-purchase thresholds in FAR 13.201(g) are authorized for purchases that have a clear and direct relationship to the support of a declared </w:t>
      </w:r>
      <w:bookmarkStart w:id="14" w:name="OLE_LINK3"/>
      <w:bookmarkStart w:id="15" w:name="OLE_LINK4"/>
      <w:r w:rsidRPr="00851B71">
        <w:rPr>
          <w:lang w:val="en"/>
        </w:rPr>
        <w:t>contingency operation</w:t>
      </w:r>
      <w:bookmarkEnd w:id="14"/>
      <w:bookmarkEnd w:id="15"/>
      <w:r>
        <w:rPr>
          <w:lang w:val="en"/>
        </w:rPr>
        <w:t>;</w:t>
      </w:r>
      <w:r w:rsidRPr="00851B71">
        <w:rPr>
          <w:lang w:val="en"/>
        </w:rPr>
        <w:t xml:space="preserve"> to facilitate defense against or recovery from </w:t>
      </w:r>
      <w:r>
        <w:rPr>
          <w:lang w:val="en"/>
        </w:rPr>
        <w:t xml:space="preserve">cyber, </w:t>
      </w:r>
      <w:r w:rsidRPr="00851B71">
        <w:rPr>
          <w:lang w:val="en"/>
        </w:rPr>
        <w:t>nuclear, biological, chemical, or radiological attack</w:t>
      </w:r>
      <w:r>
        <w:rPr>
          <w:lang w:val="en"/>
        </w:rPr>
        <w:t xml:space="preserve">; </w:t>
      </w:r>
      <w:r w:rsidRPr="00E25D8B">
        <w:rPr>
          <w:lang w:val="en"/>
        </w:rPr>
        <w:t>to support a request from the Secretary of State or the Administrator of the United States Agency for International Development to facilitate provision of international disaster assistance pursuant to 22 U.S.C. 2292 et seq.; or to support response to an emergency or major disaster (42 U.S.C. 5122)</w:t>
      </w:r>
      <w:r w:rsidRPr="00851B71">
        <w:rPr>
          <w:color w:val="000000"/>
        </w:rPr>
        <w:t xml:space="preserve">.  </w:t>
      </w:r>
      <w:r w:rsidRPr="00851B71">
        <w:rPr>
          <w:lang w:val="en"/>
        </w:rPr>
        <w:t xml:space="preserve">To determine if a declaration has been made that authorizes the use of the higher micro-purchase thresholds review the following websites:  </w:t>
      </w:r>
    </w:p>
    <w:p w14:paraId="5DC15413" w14:textId="77777777" w:rsidR="00321F1A" w:rsidRDefault="00321F1A" w:rsidP="00AE4DC6">
      <w:pPr>
        <w:pStyle w:val="List4"/>
        <w:rPr>
          <w:b/>
          <w:lang w:val="en"/>
        </w:rPr>
      </w:pPr>
      <w:r>
        <w:rPr>
          <w:b/>
          <w:szCs w:val="24"/>
          <w:lang w:val="en"/>
        </w:rPr>
        <w:br/>
      </w:r>
      <w:r w:rsidRPr="00851B71">
        <w:rPr>
          <w:szCs w:val="24"/>
          <w:lang w:val="en"/>
        </w:rPr>
        <w:t xml:space="preserve">(A)  Declared domestic contingency operations are listed at </w:t>
      </w:r>
      <w:hyperlink r:id="rId9" w:history="1">
        <w:r w:rsidRPr="00851B71">
          <w:rPr>
            <w:color w:val="0000FF"/>
            <w:szCs w:val="24"/>
            <w:u w:val="single"/>
            <w:lang w:val="en"/>
          </w:rPr>
          <w:t>http://www.acq.osd.mil/dpap/pacc/cc/domestic_emergencies.html</w:t>
        </w:r>
      </w:hyperlink>
      <w:r w:rsidRPr="00851B71">
        <w:rPr>
          <w:szCs w:val="24"/>
          <w:lang w:val="en"/>
        </w:rPr>
        <w:t xml:space="preserve">. </w:t>
      </w:r>
      <w:r w:rsidRPr="00851B71">
        <w:rPr>
          <w:szCs w:val="24"/>
          <w:u w:val="single"/>
          <w:lang w:val="en"/>
        </w:rPr>
        <w:t xml:space="preserve"> </w:t>
      </w:r>
    </w:p>
    <w:p w14:paraId="5CC34A25" w14:textId="77777777" w:rsidR="00321F1A" w:rsidRDefault="00321F1A" w:rsidP="00AE4DC6">
      <w:pPr>
        <w:pStyle w:val="List4"/>
        <w:rPr>
          <w:b/>
          <w:lang w:val="en"/>
        </w:rPr>
      </w:pPr>
      <w:r>
        <w:rPr>
          <w:b/>
          <w:szCs w:val="24"/>
          <w:u w:val="single"/>
          <w:lang w:val="en"/>
        </w:rPr>
        <w:br/>
      </w:r>
      <w:r w:rsidRPr="00851B71">
        <w:rPr>
          <w:szCs w:val="24"/>
          <w:lang w:val="en"/>
        </w:rPr>
        <w:t xml:space="preserve">(B)  Declared overseas contingency operations are listed at </w:t>
      </w:r>
      <w:hyperlink r:id="rId10" w:history="1">
        <w:r w:rsidRPr="00851B71">
          <w:rPr>
            <w:color w:val="0000FF"/>
            <w:szCs w:val="24"/>
            <w:u w:val="single"/>
            <w:lang w:val="en"/>
          </w:rPr>
          <w:t>http://www.acq.osd.mil/dpap/pacc/cc/international_operations.html</w:t>
        </w:r>
      </w:hyperlink>
      <w:r w:rsidRPr="00851B71">
        <w:rPr>
          <w:szCs w:val="24"/>
          <w:lang w:val="en"/>
        </w:rPr>
        <w:t>.</w:t>
      </w:r>
    </w:p>
    <w:p w14:paraId="4B006733" w14:textId="77777777" w:rsidR="00321F1A" w:rsidRDefault="00321F1A" w:rsidP="00AE4DC6">
      <w:pPr>
        <w:pStyle w:val="List3"/>
        <w:rPr>
          <w:b/>
          <w:lang w:val="en"/>
        </w:rPr>
      </w:pPr>
      <w:r>
        <w:rPr>
          <w:b/>
          <w:bCs/>
          <w:szCs w:val="24"/>
          <w:lang w:val="en"/>
        </w:rPr>
        <w:br/>
      </w:r>
      <w:r w:rsidRPr="00851B71">
        <w:rPr>
          <w:szCs w:val="24"/>
          <w:lang w:val="en"/>
        </w:rPr>
        <w:t>(ii)  "United States," as used in this section, is defined in FAR 2.101(b).</w:t>
      </w:r>
    </w:p>
    <w:p w14:paraId="6983EFBC" w14:textId="77777777" w:rsidR="00321F1A" w:rsidRDefault="00321F1A" w:rsidP="00AE4DC6">
      <w:pPr>
        <w:pStyle w:val="List3"/>
        <w:rPr>
          <w:b/>
          <w:lang w:val="en"/>
        </w:rPr>
      </w:pPr>
      <w:r>
        <w:rPr>
          <w:b/>
          <w:szCs w:val="24"/>
          <w:lang w:val="en"/>
        </w:rPr>
        <w:br/>
      </w:r>
      <w:r w:rsidRPr="00851B71">
        <w:rPr>
          <w:szCs w:val="24"/>
          <w:lang w:val="en"/>
        </w:rPr>
        <w:t>(iii)  Except as provided in paragraph (iv) of this section, the following tables illustrate the micro-purchase threshold based on the physical location of the Government purchaser and, for services, the place of performance:</w:t>
      </w:r>
    </w:p>
    <w:p w14:paraId="0590E1D5" w14:textId="77777777" w:rsidR="00321F1A" w:rsidRPr="00851B71" w:rsidRDefault="00321F1A" w:rsidP="00AE4DC6">
      <w:pPr>
        <w:pStyle w:val="List4"/>
        <w:rPr>
          <w:b/>
          <w:lang w:val="en"/>
        </w:rPr>
      </w:pPr>
      <w:r>
        <w:rPr>
          <w:b/>
          <w:szCs w:val="24"/>
          <w:lang w:val="en"/>
        </w:rPr>
        <w:br/>
      </w:r>
      <w:r w:rsidRPr="00851B71">
        <w:rPr>
          <w:szCs w:val="24"/>
          <w:lang w:val="en"/>
        </w:rPr>
        <w:t>(A)  For supplies—</w:t>
      </w:r>
    </w:p>
    <w:p w14:paraId="22345663" w14:textId="77777777" w:rsidR="00321F1A" w:rsidRPr="00851B71" w:rsidRDefault="00321F1A" w:rsidP="00E25D8B">
      <w:pPr>
        <w:tabs>
          <w:tab w:val="left" w:pos="360"/>
          <w:tab w:val="left" w:pos="810"/>
          <w:tab w:val="left" w:pos="1210"/>
          <w:tab w:val="left" w:pos="1656"/>
          <w:tab w:val="left" w:pos="2131"/>
          <w:tab w:val="left" w:pos="2520"/>
          <w:tab w:val="left" w:pos="2610"/>
        </w:tabs>
        <w:spacing w:line="240" w:lineRule="exact"/>
        <w:jc w:val="center"/>
        <w:rPr>
          <w:b/>
          <w:szCs w:val="24"/>
          <w:lang w:val="e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321F1A" w:rsidRPr="00646F6E" w14:paraId="71B44013" w14:textId="77777777" w:rsidTr="00646F6E">
        <w:trPr>
          <w:trHeight w:val="413"/>
          <w:jc w:val="center"/>
        </w:trPr>
        <w:tc>
          <w:tcPr>
            <w:tcW w:w="4878" w:type="dxa"/>
            <w:shd w:val="clear" w:color="auto" w:fill="auto"/>
            <w:vAlign w:val="center"/>
          </w:tcPr>
          <w:p w14:paraId="4CE2DBAC" w14:textId="77777777" w:rsidR="00321F1A" w:rsidRPr="00851B71" w:rsidRDefault="00321F1A" w:rsidP="00E25D8B">
            <w:pPr>
              <w:tabs>
                <w:tab w:val="left" w:pos="360"/>
                <w:tab w:val="left" w:pos="810"/>
                <w:tab w:val="left" w:pos="1210"/>
                <w:tab w:val="left" w:pos="1656"/>
                <w:tab w:val="left" w:pos="2131"/>
                <w:tab w:val="left" w:pos="2520"/>
                <w:tab w:val="left" w:pos="2610"/>
              </w:tabs>
              <w:spacing w:line="240" w:lineRule="exact"/>
              <w:jc w:val="center"/>
              <w:rPr>
                <w:rFonts w:eastAsia="Calibri"/>
                <w:lang w:val="en"/>
              </w:rPr>
            </w:pPr>
            <w:r w:rsidRPr="00851B71">
              <w:rPr>
                <w:rFonts w:eastAsia="Calibri"/>
                <w:lang w:val="en"/>
              </w:rPr>
              <w:t>Government Purchaser Physical Location</w:t>
            </w:r>
          </w:p>
        </w:tc>
        <w:tc>
          <w:tcPr>
            <w:tcW w:w="4698" w:type="dxa"/>
            <w:shd w:val="clear" w:color="auto" w:fill="auto"/>
            <w:vAlign w:val="center"/>
          </w:tcPr>
          <w:p w14:paraId="361228CE" w14:textId="77777777" w:rsidR="00321F1A" w:rsidRPr="00851B71" w:rsidRDefault="00321F1A" w:rsidP="00E25D8B">
            <w:pPr>
              <w:tabs>
                <w:tab w:val="left" w:pos="360"/>
                <w:tab w:val="left" w:pos="810"/>
                <w:tab w:val="left" w:pos="1210"/>
                <w:tab w:val="left" w:pos="1656"/>
                <w:tab w:val="left" w:pos="2131"/>
                <w:tab w:val="left" w:pos="2520"/>
                <w:tab w:val="left" w:pos="2610"/>
              </w:tabs>
              <w:spacing w:line="240" w:lineRule="exact"/>
              <w:jc w:val="center"/>
              <w:rPr>
                <w:rFonts w:eastAsia="Calibri"/>
                <w:lang w:val="en"/>
              </w:rPr>
            </w:pPr>
            <w:r w:rsidRPr="00851B71">
              <w:rPr>
                <w:rFonts w:eastAsia="Calibri"/>
                <w:lang w:val="en"/>
              </w:rPr>
              <w:t>Authorized Micro-Purchase Threshold</w:t>
            </w:r>
          </w:p>
        </w:tc>
      </w:tr>
      <w:tr w:rsidR="00321F1A" w:rsidRPr="00646F6E" w14:paraId="3173E519" w14:textId="77777777" w:rsidTr="00646F6E">
        <w:trPr>
          <w:trHeight w:val="386"/>
          <w:jc w:val="center"/>
        </w:trPr>
        <w:tc>
          <w:tcPr>
            <w:tcW w:w="4878" w:type="dxa"/>
            <w:shd w:val="clear" w:color="auto" w:fill="auto"/>
            <w:vAlign w:val="center"/>
          </w:tcPr>
          <w:p w14:paraId="2B0AFF8E" w14:textId="77777777" w:rsidR="00321F1A" w:rsidRPr="00851B71" w:rsidRDefault="00321F1A" w:rsidP="00E25D8B">
            <w:pPr>
              <w:tabs>
                <w:tab w:val="left" w:pos="360"/>
                <w:tab w:val="left" w:pos="810"/>
                <w:tab w:val="left" w:pos="1210"/>
                <w:tab w:val="left" w:pos="1656"/>
                <w:tab w:val="left" w:pos="2131"/>
                <w:tab w:val="left" w:pos="2520"/>
                <w:tab w:val="left" w:pos="2610"/>
              </w:tabs>
              <w:spacing w:line="240" w:lineRule="exact"/>
              <w:jc w:val="center"/>
              <w:rPr>
                <w:rFonts w:eastAsia="Calibri"/>
                <w:b/>
                <w:lang w:val="en"/>
              </w:rPr>
            </w:pPr>
            <w:r w:rsidRPr="00851B71">
              <w:rPr>
                <w:rFonts w:eastAsia="Calibri"/>
                <w:lang w:val="en"/>
              </w:rPr>
              <w:lastRenderedPageBreak/>
              <w:t>Inside United States</w:t>
            </w:r>
          </w:p>
        </w:tc>
        <w:tc>
          <w:tcPr>
            <w:tcW w:w="4698" w:type="dxa"/>
            <w:shd w:val="clear" w:color="auto" w:fill="auto"/>
            <w:vAlign w:val="center"/>
          </w:tcPr>
          <w:p w14:paraId="5FFABEBB" w14:textId="77777777" w:rsidR="00321F1A" w:rsidRPr="00851B71" w:rsidRDefault="00321F1A" w:rsidP="00E25D8B">
            <w:pPr>
              <w:tabs>
                <w:tab w:val="left" w:pos="360"/>
                <w:tab w:val="left" w:pos="810"/>
                <w:tab w:val="left" w:pos="1210"/>
                <w:tab w:val="left" w:pos="1656"/>
                <w:tab w:val="left" w:pos="2131"/>
                <w:tab w:val="left" w:pos="2520"/>
                <w:tab w:val="left" w:pos="2610"/>
              </w:tabs>
              <w:spacing w:line="240" w:lineRule="exact"/>
              <w:jc w:val="center"/>
              <w:rPr>
                <w:rFonts w:eastAsia="Calibri"/>
                <w:b/>
                <w:lang w:val="en"/>
              </w:rPr>
            </w:pPr>
            <w:r w:rsidRPr="00851B71">
              <w:rPr>
                <w:rFonts w:eastAsia="Calibri"/>
                <w:lang w:val="en"/>
              </w:rPr>
              <w:t>$20,000</w:t>
            </w:r>
          </w:p>
        </w:tc>
      </w:tr>
      <w:tr w:rsidR="00321F1A" w:rsidRPr="00646F6E" w14:paraId="657696A4" w14:textId="77777777" w:rsidTr="00646F6E">
        <w:trPr>
          <w:trHeight w:val="404"/>
          <w:jc w:val="center"/>
        </w:trPr>
        <w:tc>
          <w:tcPr>
            <w:tcW w:w="4878" w:type="dxa"/>
            <w:shd w:val="clear" w:color="auto" w:fill="auto"/>
            <w:vAlign w:val="center"/>
          </w:tcPr>
          <w:p w14:paraId="4628CFC4" w14:textId="77777777" w:rsidR="00321F1A" w:rsidRPr="00851B71" w:rsidRDefault="00321F1A" w:rsidP="00E25D8B">
            <w:pPr>
              <w:tabs>
                <w:tab w:val="left" w:pos="360"/>
                <w:tab w:val="left" w:pos="810"/>
                <w:tab w:val="left" w:pos="1210"/>
                <w:tab w:val="left" w:pos="1656"/>
                <w:tab w:val="left" w:pos="2131"/>
                <w:tab w:val="left" w:pos="2520"/>
                <w:tab w:val="left" w:pos="2610"/>
              </w:tabs>
              <w:spacing w:line="240" w:lineRule="exact"/>
              <w:jc w:val="center"/>
              <w:rPr>
                <w:rFonts w:eastAsia="Calibri"/>
                <w:b/>
                <w:lang w:val="en"/>
              </w:rPr>
            </w:pPr>
            <w:r w:rsidRPr="00851B71">
              <w:rPr>
                <w:rFonts w:eastAsia="Calibri"/>
                <w:lang w:val="en"/>
              </w:rPr>
              <w:t>Outside United States</w:t>
            </w:r>
          </w:p>
        </w:tc>
        <w:tc>
          <w:tcPr>
            <w:tcW w:w="4698" w:type="dxa"/>
            <w:shd w:val="clear" w:color="auto" w:fill="auto"/>
            <w:vAlign w:val="center"/>
          </w:tcPr>
          <w:p w14:paraId="26B76A52" w14:textId="77777777" w:rsidR="00321F1A" w:rsidRPr="00851B71" w:rsidRDefault="00321F1A" w:rsidP="00E25D8B">
            <w:pPr>
              <w:tabs>
                <w:tab w:val="left" w:pos="360"/>
                <w:tab w:val="left" w:pos="810"/>
                <w:tab w:val="left" w:pos="1210"/>
                <w:tab w:val="left" w:pos="1656"/>
                <w:tab w:val="left" w:pos="2131"/>
                <w:tab w:val="left" w:pos="2520"/>
                <w:tab w:val="left" w:pos="2610"/>
              </w:tabs>
              <w:spacing w:line="240" w:lineRule="exact"/>
              <w:jc w:val="center"/>
              <w:rPr>
                <w:rFonts w:eastAsia="Calibri"/>
                <w:b/>
                <w:lang w:val="en"/>
              </w:rPr>
            </w:pPr>
            <w:r w:rsidRPr="00851B71">
              <w:rPr>
                <w:rFonts w:eastAsia="Calibri"/>
                <w:lang w:val="en"/>
              </w:rPr>
              <w:t>$30,000</w:t>
            </w:r>
          </w:p>
        </w:tc>
      </w:tr>
    </w:tbl>
    <w:p w14:paraId="117DFD07" w14:textId="77777777" w:rsidR="00321F1A" w:rsidRPr="00851B71" w:rsidRDefault="00321F1A" w:rsidP="00AE4DC6">
      <w:pPr>
        <w:pStyle w:val="List4"/>
        <w:rPr>
          <w:lang w:val="en"/>
        </w:rPr>
      </w:pPr>
    </w:p>
    <w:p w14:paraId="2960BB27" w14:textId="77777777" w:rsidR="00321F1A" w:rsidRPr="00851B71" w:rsidRDefault="00321F1A" w:rsidP="00AE4DC6">
      <w:pPr>
        <w:pStyle w:val="List4"/>
        <w:rPr>
          <w:b/>
          <w:lang w:val="en"/>
        </w:rPr>
      </w:pPr>
      <w:r w:rsidRPr="00851B71">
        <w:rPr>
          <w:lang w:val="en"/>
        </w:rPr>
        <w:t>(B)  For services, including acquisitions of services subject to 41 U.S.C. chapter 67, Service Contract Labor Standards—</w:t>
      </w:r>
    </w:p>
    <w:p w14:paraId="7EF89730" w14:textId="77777777" w:rsidR="00321F1A" w:rsidRPr="00851B71" w:rsidRDefault="00321F1A" w:rsidP="00AE4DC6">
      <w:pPr>
        <w:rPr>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0"/>
        <w:gridCol w:w="3511"/>
        <w:gridCol w:w="3089"/>
      </w:tblGrid>
      <w:tr w:rsidR="00321F1A" w:rsidRPr="00646F6E" w14:paraId="5DF8E493" w14:textId="77777777" w:rsidTr="00646F6E">
        <w:trPr>
          <w:trHeight w:val="638"/>
        </w:trPr>
        <w:tc>
          <w:tcPr>
            <w:tcW w:w="2808" w:type="dxa"/>
            <w:shd w:val="clear" w:color="auto" w:fill="auto"/>
            <w:vAlign w:val="center"/>
          </w:tcPr>
          <w:p w14:paraId="21CD0C58" w14:textId="77777777" w:rsidR="00321F1A" w:rsidRPr="00851B71" w:rsidRDefault="00321F1A" w:rsidP="00E25D8B">
            <w:pPr>
              <w:tabs>
                <w:tab w:val="left" w:pos="360"/>
                <w:tab w:val="left" w:pos="810"/>
                <w:tab w:val="left" w:pos="1210"/>
                <w:tab w:val="left" w:pos="1656"/>
                <w:tab w:val="left" w:pos="2131"/>
                <w:tab w:val="left" w:pos="2520"/>
                <w:tab w:val="left" w:pos="2610"/>
              </w:tabs>
              <w:spacing w:line="240" w:lineRule="exact"/>
              <w:jc w:val="center"/>
              <w:rPr>
                <w:rFonts w:eastAsia="Calibri"/>
                <w:lang w:val="en"/>
              </w:rPr>
            </w:pPr>
            <w:r w:rsidRPr="00851B71">
              <w:rPr>
                <w:rFonts w:eastAsia="Calibri"/>
                <w:lang w:val="en"/>
              </w:rPr>
              <w:t>Government Purchaser Physical Location</w:t>
            </w:r>
          </w:p>
        </w:tc>
        <w:tc>
          <w:tcPr>
            <w:tcW w:w="3600" w:type="dxa"/>
            <w:shd w:val="clear" w:color="auto" w:fill="auto"/>
            <w:vAlign w:val="center"/>
          </w:tcPr>
          <w:p w14:paraId="525F41D7" w14:textId="77777777" w:rsidR="00321F1A" w:rsidRPr="00851B71" w:rsidRDefault="00321F1A" w:rsidP="00E25D8B">
            <w:pPr>
              <w:tabs>
                <w:tab w:val="left" w:pos="360"/>
                <w:tab w:val="left" w:pos="810"/>
                <w:tab w:val="left" w:pos="1210"/>
                <w:tab w:val="left" w:pos="1656"/>
                <w:tab w:val="left" w:pos="2131"/>
                <w:tab w:val="left" w:pos="2520"/>
                <w:tab w:val="left" w:pos="2610"/>
              </w:tabs>
              <w:spacing w:line="240" w:lineRule="exact"/>
              <w:jc w:val="center"/>
              <w:rPr>
                <w:rFonts w:eastAsia="Calibri"/>
                <w:lang w:val="en"/>
              </w:rPr>
            </w:pPr>
            <w:r w:rsidRPr="00851B71">
              <w:rPr>
                <w:rFonts w:eastAsia="Calibri"/>
                <w:lang w:val="en"/>
              </w:rPr>
              <w:t xml:space="preserve">Place of </w:t>
            </w:r>
          </w:p>
          <w:p w14:paraId="2B6DC5F3" w14:textId="77777777" w:rsidR="00321F1A" w:rsidRPr="00851B71" w:rsidRDefault="00321F1A" w:rsidP="00E25D8B">
            <w:pPr>
              <w:tabs>
                <w:tab w:val="left" w:pos="360"/>
                <w:tab w:val="left" w:pos="810"/>
                <w:tab w:val="left" w:pos="1210"/>
                <w:tab w:val="left" w:pos="1656"/>
                <w:tab w:val="left" w:pos="2131"/>
                <w:tab w:val="left" w:pos="2520"/>
                <w:tab w:val="left" w:pos="2610"/>
              </w:tabs>
              <w:spacing w:line="240" w:lineRule="exact"/>
              <w:jc w:val="center"/>
              <w:rPr>
                <w:rFonts w:eastAsia="Calibri"/>
                <w:lang w:val="en"/>
              </w:rPr>
            </w:pPr>
            <w:r w:rsidRPr="00851B71">
              <w:rPr>
                <w:rFonts w:eastAsia="Calibri"/>
                <w:lang w:val="en"/>
              </w:rPr>
              <w:t>Performance</w:t>
            </w:r>
          </w:p>
        </w:tc>
        <w:tc>
          <w:tcPr>
            <w:tcW w:w="3168" w:type="dxa"/>
            <w:shd w:val="clear" w:color="auto" w:fill="auto"/>
            <w:vAlign w:val="center"/>
          </w:tcPr>
          <w:p w14:paraId="2D4FC3E2" w14:textId="77777777" w:rsidR="00321F1A" w:rsidRPr="00851B71" w:rsidRDefault="00321F1A" w:rsidP="00E25D8B">
            <w:pPr>
              <w:tabs>
                <w:tab w:val="left" w:pos="360"/>
                <w:tab w:val="left" w:pos="810"/>
                <w:tab w:val="left" w:pos="1210"/>
                <w:tab w:val="left" w:pos="1656"/>
                <w:tab w:val="left" w:pos="2131"/>
                <w:tab w:val="left" w:pos="2520"/>
                <w:tab w:val="left" w:pos="2610"/>
              </w:tabs>
              <w:spacing w:line="240" w:lineRule="exact"/>
              <w:jc w:val="center"/>
              <w:rPr>
                <w:rFonts w:eastAsia="Calibri"/>
                <w:lang w:val="en"/>
              </w:rPr>
            </w:pPr>
            <w:r w:rsidRPr="00851B71">
              <w:rPr>
                <w:rFonts w:eastAsia="Calibri"/>
                <w:lang w:val="en"/>
              </w:rPr>
              <w:t xml:space="preserve">Authorized </w:t>
            </w:r>
          </w:p>
          <w:p w14:paraId="681A8F50" w14:textId="77777777" w:rsidR="00321F1A" w:rsidRPr="00851B71" w:rsidRDefault="00321F1A" w:rsidP="00E25D8B">
            <w:pPr>
              <w:tabs>
                <w:tab w:val="left" w:pos="360"/>
                <w:tab w:val="left" w:pos="810"/>
                <w:tab w:val="left" w:pos="1210"/>
                <w:tab w:val="left" w:pos="1656"/>
                <w:tab w:val="left" w:pos="2131"/>
                <w:tab w:val="left" w:pos="2520"/>
                <w:tab w:val="left" w:pos="2610"/>
              </w:tabs>
              <w:spacing w:line="240" w:lineRule="exact"/>
              <w:jc w:val="center"/>
              <w:rPr>
                <w:rFonts w:eastAsia="Calibri"/>
                <w:lang w:val="en"/>
              </w:rPr>
            </w:pPr>
            <w:r w:rsidRPr="00851B71">
              <w:rPr>
                <w:rFonts w:eastAsia="Calibri"/>
                <w:lang w:val="en"/>
              </w:rPr>
              <w:t>Micro-Purchase Threshold</w:t>
            </w:r>
          </w:p>
        </w:tc>
      </w:tr>
      <w:tr w:rsidR="00321F1A" w:rsidRPr="00646F6E" w14:paraId="01B894A7" w14:textId="77777777" w:rsidTr="00646F6E">
        <w:trPr>
          <w:trHeight w:val="323"/>
        </w:trPr>
        <w:tc>
          <w:tcPr>
            <w:tcW w:w="2808" w:type="dxa"/>
            <w:shd w:val="clear" w:color="auto" w:fill="auto"/>
            <w:vAlign w:val="center"/>
          </w:tcPr>
          <w:p w14:paraId="3065C68D" w14:textId="77777777" w:rsidR="00321F1A" w:rsidRPr="00851B71" w:rsidRDefault="00321F1A" w:rsidP="00E25D8B">
            <w:pPr>
              <w:tabs>
                <w:tab w:val="left" w:pos="360"/>
                <w:tab w:val="left" w:pos="810"/>
                <w:tab w:val="left" w:pos="1210"/>
                <w:tab w:val="left" w:pos="1656"/>
                <w:tab w:val="left" w:pos="2131"/>
                <w:tab w:val="left" w:pos="2520"/>
                <w:tab w:val="left" w:pos="2610"/>
              </w:tabs>
              <w:spacing w:line="240" w:lineRule="exact"/>
              <w:jc w:val="center"/>
              <w:rPr>
                <w:rFonts w:eastAsia="Calibri"/>
                <w:b/>
                <w:lang w:val="en"/>
              </w:rPr>
            </w:pPr>
            <w:r w:rsidRPr="00851B71">
              <w:rPr>
                <w:rFonts w:eastAsia="Calibri"/>
                <w:lang w:val="en"/>
              </w:rPr>
              <w:t>Inside United States</w:t>
            </w:r>
          </w:p>
        </w:tc>
        <w:tc>
          <w:tcPr>
            <w:tcW w:w="3600" w:type="dxa"/>
            <w:shd w:val="clear" w:color="auto" w:fill="auto"/>
            <w:vAlign w:val="center"/>
          </w:tcPr>
          <w:p w14:paraId="4B7EDF52" w14:textId="77777777" w:rsidR="00321F1A" w:rsidRPr="00851B71" w:rsidRDefault="00321F1A" w:rsidP="00E25D8B">
            <w:pPr>
              <w:tabs>
                <w:tab w:val="left" w:pos="360"/>
                <w:tab w:val="left" w:pos="810"/>
                <w:tab w:val="left" w:pos="1210"/>
                <w:tab w:val="left" w:pos="1656"/>
                <w:tab w:val="left" w:pos="2131"/>
                <w:tab w:val="left" w:pos="2520"/>
                <w:tab w:val="left" w:pos="2610"/>
              </w:tabs>
              <w:spacing w:line="240" w:lineRule="exact"/>
              <w:jc w:val="center"/>
              <w:rPr>
                <w:rFonts w:eastAsia="Calibri"/>
                <w:b/>
                <w:lang w:val="en"/>
              </w:rPr>
            </w:pPr>
            <w:r w:rsidRPr="00851B71">
              <w:rPr>
                <w:rFonts w:eastAsia="Calibri"/>
                <w:lang w:val="en"/>
              </w:rPr>
              <w:t>Inside or Outside United States</w:t>
            </w:r>
          </w:p>
        </w:tc>
        <w:tc>
          <w:tcPr>
            <w:tcW w:w="3168" w:type="dxa"/>
            <w:shd w:val="clear" w:color="auto" w:fill="auto"/>
            <w:vAlign w:val="center"/>
          </w:tcPr>
          <w:p w14:paraId="5D4A2D4C" w14:textId="77777777" w:rsidR="00321F1A" w:rsidRPr="00851B71" w:rsidRDefault="00321F1A" w:rsidP="00E25D8B">
            <w:pPr>
              <w:tabs>
                <w:tab w:val="left" w:pos="360"/>
                <w:tab w:val="left" w:pos="810"/>
                <w:tab w:val="left" w:pos="1210"/>
                <w:tab w:val="left" w:pos="1656"/>
                <w:tab w:val="left" w:pos="2131"/>
                <w:tab w:val="left" w:pos="2520"/>
                <w:tab w:val="left" w:pos="2610"/>
              </w:tabs>
              <w:spacing w:line="240" w:lineRule="exact"/>
              <w:jc w:val="center"/>
              <w:rPr>
                <w:rFonts w:eastAsia="Calibri"/>
                <w:b/>
                <w:lang w:val="en"/>
              </w:rPr>
            </w:pPr>
            <w:r w:rsidRPr="00851B71">
              <w:rPr>
                <w:rFonts w:eastAsia="Calibri"/>
                <w:lang w:val="en"/>
              </w:rPr>
              <w:t>$20,000</w:t>
            </w:r>
          </w:p>
        </w:tc>
      </w:tr>
      <w:tr w:rsidR="00321F1A" w:rsidRPr="00646F6E" w14:paraId="00CDAF08" w14:textId="77777777" w:rsidTr="00646F6E">
        <w:trPr>
          <w:trHeight w:val="341"/>
        </w:trPr>
        <w:tc>
          <w:tcPr>
            <w:tcW w:w="2808" w:type="dxa"/>
            <w:shd w:val="clear" w:color="auto" w:fill="auto"/>
            <w:vAlign w:val="center"/>
          </w:tcPr>
          <w:p w14:paraId="212B8E8E" w14:textId="77777777" w:rsidR="00321F1A" w:rsidRPr="00851B71" w:rsidRDefault="00321F1A" w:rsidP="00E25D8B">
            <w:pPr>
              <w:tabs>
                <w:tab w:val="left" w:pos="360"/>
                <w:tab w:val="left" w:pos="810"/>
                <w:tab w:val="left" w:pos="1210"/>
                <w:tab w:val="left" w:pos="1656"/>
                <w:tab w:val="left" w:pos="2131"/>
                <w:tab w:val="left" w:pos="2520"/>
                <w:tab w:val="left" w:pos="2610"/>
              </w:tabs>
              <w:spacing w:line="240" w:lineRule="exact"/>
              <w:jc w:val="center"/>
              <w:rPr>
                <w:rFonts w:eastAsia="Calibri"/>
                <w:b/>
                <w:lang w:val="en"/>
              </w:rPr>
            </w:pPr>
            <w:r w:rsidRPr="00851B71">
              <w:rPr>
                <w:rFonts w:eastAsia="Calibri"/>
                <w:lang w:val="en"/>
              </w:rPr>
              <w:t>Outside United States</w:t>
            </w:r>
          </w:p>
        </w:tc>
        <w:tc>
          <w:tcPr>
            <w:tcW w:w="3600" w:type="dxa"/>
            <w:shd w:val="clear" w:color="auto" w:fill="auto"/>
            <w:vAlign w:val="center"/>
          </w:tcPr>
          <w:p w14:paraId="1F08A6CC" w14:textId="77777777" w:rsidR="00321F1A" w:rsidRPr="00851B71" w:rsidRDefault="00321F1A" w:rsidP="00E25D8B">
            <w:pPr>
              <w:tabs>
                <w:tab w:val="left" w:pos="360"/>
                <w:tab w:val="left" w:pos="810"/>
                <w:tab w:val="left" w:pos="1210"/>
                <w:tab w:val="left" w:pos="1656"/>
                <w:tab w:val="left" w:pos="2131"/>
                <w:tab w:val="left" w:pos="2520"/>
                <w:tab w:val="left" w:pos="2610"/>
              </w:tabs>
              <w:spacing w:line="240" w:lineRule="exact"/>
              <w:jc w:val="center"/>
              <w:rPr>
                <w:rFonts w:eastAsia="Calibri"/>
                <w:b/>
                <w:lang w:val="en"/>
              </w:rPr>
            </w:pPr>
            <w:r w:rsidRPr="00851B71">
              <w:rPr>
                <w:rFonts w:eastAsia="Calibri"/>
                <w:lang w:val="en"/>
              </w:rPr>
              <w:t>Inside United States</w:t>
            </w:r>
          </w:p>
        </w:tc>
        <w:tc>
          <w:tcPr>
            <w:tcW w:w="3168" w:type="dxa"/>
            <w:shd w:val="clear" w:color="auto" w:fill="auto"/>
            <w:vAlign w:val="center"/>
          </w:tcPr>
          <w:p w14:paraId="29F395FC" w14:textId="77777777" w:rsidR="00321F1A" w:rsidRPr="00851B71" w:rsidRDefault="00321F1A" w:rsidP="00E25D8B">
            <w:pPr>
              <w:tabs>
                <w:tab w:val="left" w:pos="360"/>
                <w:tab w:val="left" w:pos="810"/>
                <w:tab w:val="left" w:pos="1210"/>
                <w:tab w:val="left" w:pos="1656"/>
                <w:tab w:val="left" w:pos="2131"/>
                <w:tab w:val="left" w:pos="2520"/>
                <w:tab w:val="left" w:pos="2610"/>
              </w:tabs>
              <w:spacing w:line="240" w:lineRule="exact"/>
              <w:jc w:val="center"/>
              <w:rPr>
                <w:rFonts w:eastAsia="Calibri"/>
                <w:b/>
                <w:lang w:val="en"/>
              </w:rPr>
            </w:pPr>
            <w:r w:rsidRPr="00851B71">
              <w:rPr>
                <w:rFonts w:eastAsia="Calibri"/>
                <w:lang w:val="en"/>
              </w:rPr>
              <w:t>$20,000</w:t>
            </w:r>
          </w:p>
        </w:tc>
      </w:tr>
      <w:tr w:rsidR="00321F1A" w:rsidRPr="00646F6E" w14:paraId="08B4C7F7" w14:textId="77777777" w:rsidTr="00646F6E">
        <w:trPr>
          <w:trHeight w:val="359"/>
        </w:trPr>
        <w:tc>
          <w:tcPr>
            <w:tcW w:w="2808" w:type="dxa"/>
            <w:shd w:val="clear" w:color="auto" w:fill="auto"/>
            <w:vAlign w:val="center"/>
          </w:tcPr>
          <w:p w14:paraId="6DC06825" w14:textId="77777777" w:rsidR="00321F1A" w:rsidRPr="00851B71" w:rsidRDefault="00321F1A" w:rsidP="00E25D8B">
            <w:pPr>
              <w:tabs>
                <w:tab w:val="left" w:pos="360"/>
                <w:tab w:val="left" w:pos="810"/>
                <w:tab w:val="left" w:pos="1210"/>
                <w:tab w:val="left" w:pos="1656"/>
                <w:tab w:val="left" w:pos="2131"/>
                <w:tab w:val="left" w:pos="2520"/>
                <w:tab w:val="left" w:pos="2610"/>
              </w:tabs>
              <w:spacing w:line="240" w:lineRule="exact"/>
              <w:jc w:val="center"/>
              <w:rPr>
                <w:rFonts w:eastAsia="Calibri"/>
                <w:b/>
                <w:lang w:val="en"/>
              </w:rPr>
            </w:pPr>
            <w:r w:rsidRPr="00851B71">
              <w:rPr>
                <w:rFonts w:eastAsia="Calibri"/>
                <w:lang w:val="en"/>
              </w:rPr>
              <w:t>Outside United States</w:t>
            </w:r>
          </w:p>
        </w:tc>
        <w:tc>
          <w:tcPr>
            <w:tcW w:w="3600" w:type="dxa"/>
            <w:shd w:val="clear" w:color="auto" w:fill="auto"/>
            <w:vAlign w:val="center"/>
          </w:tcPr>
          <w:p w14:paraId="09685406" w14:textId="77777777" w:rsidR="00321F1A" w:rsidRPr="00851B71" w:rsidRDefault="00321F1A" w:rsidP="00E25D8B">
            <w:pPr>
              <w:tabs>
                <w:tab w:val="left" w:pos="360"/>
                <w:tab w:val="left" w:pos="810"/>
                <w:tab w:val="left" w:pos="1210"/>
                <w:tab w:val="left" w:pos="1656"/>
                <w:tab w:val="left" w:pos="2131"/>
                <w:tab w:val="left" w:pos="2520"/>
                <w:tab w:val="left" w:pos="2610"/>
              </w:tabs>
              <w:spacing w:line="240" w:lineRule="exact"/>
              <w:jc w:val="center"/>
              <w:rPr>
                <w:rFonts w:eastAsia="Calibri"/>
                <w:b/>
                <w:lang w:val="en"/>
              </w:rPr>
            </w:pPr>
            <w:r w:rsidRPr="00851B71">
              <w:rPr>
                <w:rFonts w:eastAsia="Calibri"/>
                <w:lang w:val="en"/>
              </w:rPr>
              <w:t>Outside United States</w:t>
            </w:r>
          </w:p>
        </w:tc>
        <w:tc>
          <w:tcPr>
            <w:tcW w:w="3168" w:type="dxa"/>
            <w:shd w:val="clear" w:color="auto" w:fill="auto"/>
            <w:vAlign w:val="center"/>
          </w:tcPr>
          <w:p w14:paraId="026C1D82" w14:textId="77777777" w:rsidR="00321F1A" w:rsidRPr="00851B71" w:rsidRDefault="00321F1A" w:rsidP="00E25D8B">
            <w:pPr>
              <w:tabs>
                <w:tab w:val="left" w:pos="360"/>
                <w:tab w:val="left" w:pos="810"/>
                <w:tab w:val="left" w:pos="1210"/>
                <w:tab w:val="left" w:pos="1656"/>
                <w:tab w:val="left" w:pos="2131"/>
                <w:tab w:val="left" w:pos="2520"/>
                <w:tab w:val="left" w:pos="2610"/>
              </w:tabs>
              <w:spacing w:line="240" w:lineRule="exact"/>
              <w:jc w:val="center"/>
              <w:rPr>
                <w:rFonts w:eastAsia="Calibri"/>
                <w:b/>
                <w:lang w:val="en"/>
              </w:rPr>
            </w:pPr>
            <w:r w:rsidRPr="00851B71">
              <w:rPr>
                <w:rFonts w:eastAsia="Calibri"/>
                <w:lang w:val="en"/>
              </w:rPr>
              <w:t>$30,000</w:t>
            </w:r>
          </w:p>
        </w:tc>
      </w:tr>
    </w:tbl>
    <w:p w14:paraId="1A680A01" w14:textId="77777777" w:rsidR="00321F1A" w:rsidRPr="00851B71" w:rsidRDefault="00321F1A" w:rsidP="00AE4DC6">
      <w:pPr>
        <w:pStyle w:val="List3"/>
        <w:rPr>
          <w:b/>
          <w:lang w:val="en"/>
        </w:rPr>
      </w:pPr>
    </w:p>
    <w:p w14:paraId="24548679" w14:textId="77777777" w:rsidR="00321F1A" w:rsidRDefault="00321F1A" w:rsidP="00AE4DC6">
      <w:pPr>
        <w:pStyle w:val="List3"/>
        <w:rPr>
          <w:b/>
          <w:lang w:val="en"/>
        </w:rPr>
      </w:pPr>
      <w:r w:rsidRPr="00851B71">
        <w:rPr>
          <w:lang w:val="en"/>
        </w:rPr>
        <w:t>(iv)(</w:t>
      </w:r>
      <w:proofErr w:type="gramStart"/>
      <w:r w:rsidRPr="00851B71">
        <w:rPr>
          <w:lang w:val="en"/>
        </w:rPr>
        <w:t>A)  Government</w:t>
      </w:r>
      <w:proofErr w:type="gramEnd"/>
      <w:r w:rsidRPr="00851B71">
        <w:rPr>
          <w:lang w:val="en"/>
        </w:rPr>
        <w:t xml:space="preserve"> purchasers located inside the United States are prohibited from using the $30,000 contingency micro-purchase threshold, unless specifically authorized by statute. </w:t>
      </w:r>
    </w:p>
    <w:p w14:paraId="59B78A70" w14:textId="77777777" w:rsidR="00321F1A" w:rsidRDefault="00321F1A" w:rsidP="00AE4DC6">
      <w:pPr>
        <w:pStyle w:val="List4"/>
        <w:rPr>
          <w:b/>
          <w:lang w:val="en"/>
        </w:rPr>
      </w:pPr>
      <w:r>
        <w:rPr>
          <w:b/>
          <w:szCs w:val="24"/>
          <w:lang w:val="en"/>
        </w:rPr>
        <w:br/>
      </w:r>
      <w:r w:rsidRPr="00851B71">
        <w:rPr>
          <w:szCs w:val="24"/>
          <w:lang w:val="en"/>
        </w:rPr>
        <w:t xml:space="preserve">(B)  The $2,000 micro-purchase threshold for acquisitions of construction subject to 40 U.S.C. chapter 31, subchapter IV, Wage Rate Requirements (Construction), remains unchanged in the event of a declared </w:t>
      </w:r>
      <w:r w:rsidRPr="00E25D8B">
        <w:rPr>
          <w:szCs w:val="24"/>
          <w:lang w:val="en"/>
        </w:rPr>
        <w:t>contingency operation; a cyber,</w:t>
      </w:r>
      <w:r w:rsidRPr="00E25D8B">
        <w:rPr>
          <w:bCs/>
          <w:szCs w:val="24"/>
          <w:lang w:val="en"/>
        </w:rPr>
        <w:t xml:space="preserve"> nuclear, biological, chemical, or radiological attack; a request from the Secretary of State or the Administrator of the United States Agency for International Development to facilitate provision of international disaster assistance pursuant to 22 U.S.C. 2292 et seq.; or an emergency or major disaster (42 U.S.C. 5122)</w:t>
      </w:r>
      <w:r w:rsidRPr="00E25D8B">
        <w:rPr>
          <w:szCs w:val="24"/>
          <w:lang w:val="en"/>
        </w:rPr>
        <w:t>, regardless of the criteria described above.</w:t>
      </w:r>
    </w:p>
    <w:p w14:paraId="7146CEE7" w14:textId="77777777" w:rsidR="00321F1A" w:rsidRPr="00851B71" w:rsidRDefault="00321F1A" w:rsidP="00E25D8B">
      <w:pPr>
        <w:tabs>
          <w:tab w:val="left" w:pos="810"/>
          <w:tab w:val="left" w:pos="1210"/>
          <w:tab w:val="left" w:pos="1656"/>
          <w:tab w:val="left" w:pos="2131"/>
          <w:tab w:val="left" w:pos="2520"/>
          <w:tab w:val="left" w:pos="2610"/>
        </w:tabs>
        <w:spacing w:line="240" w:lineRule="exact"/>
        <w:rPr>
          <w:b/>
        </w:rPr>
      </w:pPr>
      <w:r>
        <w:rPr>
          <w:b/>
          <w:szCs w:val="24"/>
          <w:lang w:val="en"/>
        </w:rPr>
        <w:br/>
      </w:r>
    </w:p>
    <w:p w14:paraId="447C5EC4" w14:textId="77777777" w:rsidR="00321F1A" w:rsidRDefault="00321F1A">
      <w:pPr>
        <w:sectPr w:rsidR="00321F1A" w:rsidSect="00F90654">
          <w:headerReference w:type="default" r:id="rId11"/>
          <w:footerReference w:type="default" r:id="rId12"/>
          <w:pgSz w:w="12240" w:h="15840"/>
          <w:pgMar w:top="1440" w:right="1440" w:bottom="1440" w:left="1440" w:header="720" w:footer="720" w:gutter="0"/>
          <w:cols w:space="720"/>
          <w:docGrid w:linePitch="360"/>
        </w:sectPr>
      </w:pPr>
    </w:p>
    <w:p w14:paraId="724C5FF0" w14:textId="77777777" w:rsidR="00321F1A" w:rsidRPr="00242B4C" w:rsidRDefault="00321F1A" w:rsidP="008B39FE">
      <w:pPr>
        <w:pStyle w:val="Heading2"/>
      </w:pPr>
      <w:bookmarkStart w:id="16" w:name="_Toc37415654"/>
      <w:bookmarkStart w:id="17" w:name="_Toc37677378"/>
      <w:bookmarkStart w:id="18" w:name="_Toc37755764"/>
      <w:r w:rsidRPr="00242B4C">
        <w:rPr>
          <w:szCs w:val="24"/>
        </w:rPr>
        <w:lastRenderedPageBreak/>
        <w:t>PGI 213.3—SIMPLIFIED ACQUISITION METHODS</w:t>
      </w:r>
      <w:bookmarkEnd w:id="16"/>
      <w:bookmarkEnd w:id="17"/>
      <w:bookmarkEnd w:id="18"/>
    </w:p>
    <w:p w14:paraId="7709791D" w14:textId="77777777" w:rsidR="00321F1A" w:rsidRDefault="00321F1A" w:rsidP="008B39FE">
      <w:pPr>
        <w:jc w:val="center"/>
      </w:pPr>
      <w:r w:rsidRPr="00242B4C">
        <w:rPr>
          <w:i/>
          <w:szCs w:val="24"/>
        </w:rPr>
        <w:t xml:space="preserve">(Revised September </w:t>
      </w:r>
      <w:r>
        <w:rPr>
          <w:i/>
          <w:szCs w:val="24"/>
        </w:rPr>
        <w:t>19, 2014</w:t>
      </w:r>
      <w:r w:rsidRPr="00242B4C">
        <w:rPr>
          <w:i/>
          <w:szCs w:val="24"/>
        </w:rPr>
        <w:t>)</w:t>
      </w:r>
    </w:p>
    <w:p w14:paraId="41784259" w14:textId="77777777" w:rsidR="00321F1A" w:rsidRDefault="00321F1A" w:rsidP="008B39FE">
      <w:pPr>
        <w:pStyle w:val="Heading2"/>
      </w:pPr>
      <w:r>
        <w:rPr>
          <w:i/>
          <w:szCs w:val="24"/>
        </w:rPr>
        <w:br/>
      </w:r>
      <w:bookmarkStart w:id="19" w:name="_Toc37415655"/>
      <w:bookmarkStart w:id="20" w:name="_Toc37677379"/>
      <w:bookmarkStart w:id="21" w:name="_Toc37755765"/>
      <w:r w:rsidRPr="00242B4C">
        <w:rPr>
          <w:szCs w:val="24"/>
        </w:rPr>
        <w:t>PGI 213.3—SIMPLIFIED ACQUISITION METHODS</w:t>
      </w:r>
      <w:bookmarkEnd w:id="19"/>
      <w:bookmarkEnd w:id="20"/>
      <w:bookmarkEnd w:id="21"/>
    </w:p>
    <w:p w14:paraId="3D963111" w14:textId="77777777" w:rsidR="00321F1A" w:rsidRDefault="00321F1A" w:rsidP="008B39FE">
      <w:pPr>
        <w:pStyle w:val="Heading3"/>
      </w:pPr>
      <w:r>
        <w:rPr>
          <w:b/>
          <w:szCs w:val="24"/>
        </w:rPr>
        <w:br/>
      </w:r>
      <w:bookmarkStart w:id="22" w:name="_Toc37415656"/>
      <w:bookmarkStart w:id="23" w:name="_Toc37677380"/>
      <w:bookmarkStart w:id="24" w:name="_Toc37755766"/>
      <w:r w:rsidRPr="009635E3">
        <w:rPr>
          <w:b/>
          <w:szCs w:val="24"/>
        </w:rPr>
        <w:t xml:space="preserve">PGI </w:t>
      </w:r>
      <w:proofErr w:type="gramStart"/>
      <w:r w:rsidRPr="009635E3">
        <w:rPr>
          <w:b/>
          <w:szCs w:val="24"/>
        </w:rPr>
        <w:t>213.301  Governmentwide</w:t>
      </w:r>
      <w:proofErr w:type="gramEnd"/>
      <w:r w:rsidRPr="009635E3">
        <w:rPr>
          <w:b/>
          <w:szCs w:val="24"/>
        </w:rPr>
        <w:t xml:space="preserve"> commercial purchase card</w:t>
      </w:r>
      <w:r w:rsidRPr="009635E3">
        <w:rPr>
          <w:szCs w:val="24"/>
        </w:rPr>
        <w:t>.</w:t>
      </w:r>
      <w:bookmarkEnd w:id="22"/>
      <w:bookmarkEnd w:id="23"/>
      <w:bookmarkEnd w:id="24"/>
    </w:p>
    <w:p w14:paraId="45E51FC2" w14:textId="77777777" w:rsidR="00321F1A" w:rsidRDefault="00321F1A" w:rsidP="008B39FE">
      <w:pPr>
        <w:pStyle w:val="List2"/>
      </w:pPr>
      <w:r>
        <w:rPr>
          <w:szCs w:val="24"/>
        </w:rPr>
        <w:br/>
      </w:r>
      <w:r w:rsidRPr="009635E3">
        <w:rPr>
          <w:szCs w:val="24"/>
        </w:rPr>
        <w:t>(1)  A Governmentwide commercial purchase card program is a program that is authorized pursuant to a delegation of contracting authority and designation as a DoD contracting activity for the purpose of streamlining the purchase and payment processes for supplies and services by use of a Government-issued purchase card.</w:t>
      </w:r>
    </w:p>
    <w:p w14:paraId="0200335E" w14:textId="77777777" w:rsidR="00321F1A" w:rsidRDefault="00321F1A" w:rsidP="008B39FE">
      <w:pPr>
        <w:pStyle w:val="List2"/>
      </w:pPr>
      <w:r>
        <w:rPr>
          <w:szCs w:val="24"/>
        </w:rPr>
        <w:br/>
      </w:r>
      <w:r w:rsidRPr="009635E3">
        <w:rPr>
          <w:szCs w:val="24"/>
        </w:rPr>
        <w:t xml:space="preserve">(2)  Governmentwide commercial purchase card programs cannot be established or operated unless contracting authority is granted in accordance with governing laws and </w:t>
      </w:r>
      <w:proofErr w:type="gramStart"/>
      <w:r w:rsidRPr="009635E3">
        <w:rPr>
          <w:szCs w:val="24"/>
        </w:rPr>
        <w:t>regulations, and</w:t>
      </w:r>
      <w:proofErr w:type="gramEnd"/>
      <w:r w:rsidRPr="009635E3">
        <w:rPr>
          <w:szCs w:val="24"/>
        </w:rPr>
        <w:t xml:space="preserve"> delegated through a contracting activity identified at PGI 202.101.  Further guidance regarding establishment, operation, and oversight of Governmentwide commercial purchase card programs can be found in the “Department of Defense Government Charge Card Guidebook for Establishing and Managing Purchase, Travel, and Fuel Card Programs” at </w:t>
      </w:r>
      <w:hyperlink r:id="rId13" w:history="1">
        <w:r w:rsidRPr="009635E3">
          <w:rPr>
            <w:rStyle w:val="Hyperlink"/>
            <w:szCs w:val="24"/>
          </w:rPr>
          <w:t>http://www.acq.osd.mil/dpap/pdi/pc/policy_documents.html</w:t>
        </w:r>
      </w:hyperlink>
      <w:r w:rsidRPr="009635E3">
        <w:rPr>
          <w:szCs w:val="24"/>
        </w:rPr>
        <w:t>.</w:t>
      </w:r>
    </w:p>
    <w:p w14:paraId="5CBF411D" w14:textId="77777777" w:rsidR="00321F1A" w:rsidRDefault="00321F1A" w:rsidP="008B39FE">
      <w:pPr>
        <w:pStyle w:val="Heading3"/>
      </w:pPr>
      <w:r>
        <w:rPr>
          <w:szCs w:val="24"/>
        </w:rPr>
        <w:br/>
      </w:r>
      <w:bookmarkStart w:id="25" w:name="_Toc37415657"/>
      <w:bookmarkStart w:id="26" w:name="_Toc37677381"/>
      <w:bookmarkStart w:id="27" w:name="_Toc37755767"/>
      <w:r w:rsidRPr="00242B4C">
        <w:rPr>
          <w:b/>
          <w:szCs w:val="24"/>
        </w:rPr>
        <w:t xml:space="preserve">PGI </w:t>
      </w:r>
      <w:proofErr w:type="gramStart"/>
      <w:r w:rsidRPr="00242B4C">
        <w:rPr>
          <w:b/>
          <w:szCs w:val="24"/>
        </w:rPr>
        <w:t>213.302  Purchase</w:t>
      </w:r>
      <w:proofErr w:type="gramEnd"/>
      <w:r w:rsidRPr="00242B4C">
        <w:rPr>
          <w:b/>
          <w:szCs w:val="24"/>
        </w:rPr>
        <w:t xml:space="preserve"> orders.</w:t>
      </w:r>
      <w:bookmarkEnd w:id="25"/>
      <w:bookmarkEnd w:id="26"/>
      <w:bookmarkEnd w:id="27"/>
    </w:p>
    <w:p w14:paraId="3031D692" w14:textId="77777777" w:rsidR="00321F1A" w:rsidRDefault="00321F1A" w:rsidP="008B39FE">
      <w:pPr>
        <w:pStyle w:val="Heading4"/>
      </w:pPr>
      <w:r>
        <w:rPr>
          <w:b/>
        </w:rPr>
        <w:br/>
      </w:r>
      <w:bookmarkStart w:id="28" w:name="_Toc37677382"/>
      <w:bookmarkStart w:id="29" w:name="_Toc37755768"/>
      <w:r w:rsidRPr="00242B4C">
        <w:rPr>
          <w:b/>
        </w:rPr>
        <w:t>PGI 213.302-</w:t>
      </w:r>
      <w:proofErr w:type="gramStart"/>
      <w:r w:rsidRPr="00242B4C">
        <w:rPr>
          <w:b/>
        </w:rPr>
        <w:t>3  Obtaining</w:t>
      </w:r>
      <w:proofErr w:type="gramEnd"/>
      <w:r w:rsidRPr="00242B4C">
        <w:rPr>
          <w:b/>
        </w:rPr>
        <w:t xml:space="preserve"> contractor acceptance and modifying purchase orders.</w:t>
      </w:r>
      <w:bookmarkEnd w:id="28"/>
      <w:bookmarkEnd w:id="29"/>
    </w:p>
    <w:p w14:paraId="03017223" w14:textId="77777777" w:rsidR="00321F1A" w:rsidRDefault="00321F1A" w:rsidP="008B39FE">
      <w:r>
        <w:rPr>
          <w:b/>
          <w:szCs w:val="24"/>
        </w:rPr>
        <w:br/>
      </w:r>
      <w:r w:rsidRPr="00242B4C">
        <w:rPr>
          <w:szCs w:val="24"/>
        </w:rPr>
        <w:t xml:space="preserve">Generally, use unilateral modifications (see FAR 43.103) for— </w:t>
      </w:r>
    </w:p>
    <w:p w14:paraId="69846D0C" w14:textId="77777777" w:rsidR="00321F1A" w:rsidRDefault="00321F1A" w:rsidP="008B39FE">
      <w:pPr>
        <w:pStyle w:val="List2"/>
      </w:pPr>
      <w:r>
        <w:rPr>
          <w:b/>
          <w:szCs w:val="24"/>
        </w:rPr>
        <w:br/>
      </w:r>
      <w:r w:rsidRPr="00242B4C">
        <w:rPr>
          <w:szCs w:val="24"/>
        </w:rPr>
        <w:t>(1)  No-cost amended shipping instructions if—</w:t>
      </w:r>
    </w:p>
    <w:p w14:paraId="18585861" w14:textId="77777777" w:rsidR="00321F1A" w:rsidRDefault="00321F1A" w:rsidP="00D56834">
      <w:pPr>
        <w:pStyle w:val="List3"/>
      </w:pPr>
      <w:r>
        <w:br/>
      </w:r>
      <w:r w:rsidRPr="00242B4C">
        <w:t>(</w:t>
      </w:r>
      <w:proofErr w:type="spellStart"/>
      <w:r w:rsidRPr="00242B4C">
        <w:t>i</w:t>
      </w:r>
      <w:proofErr w:type="spellEnd"/>
      <w:r w:rsidRPr="00242B4C">
        <w:t>)  The amended shipping instructions modify a unilateral purchase order; and</w:t>
      </w:r>
    </w:p>
    <w:p w14:paraId="104344C0" w14:textId="77777777" w:rsidR="00321F1A" w:rsidRDefault="00321F1A" w:rsidP="008B39FE">
      <w:pPr>
        <w:pStyle w:val="List3"/>
      </w:pPr>
      <w:r>
        <w:rPr>
          <w:szCs w:val="24"/>
        </w:rPr>
        <w:lastRenderedPageBreak/>
        <w:br/>
      </w:r>
      <w:r w:rsidRPr="00242B4C">
        <w:rPr>
          <w:szCs w:val="24"/>
        </w:rPr>
        <w:t xml:space="preserve">(ii)  The contractor agrees orally or in writing; and </w:t>
      </w:r>
    </w:p>
    <w:p w14:paraId="7FB14679" w14:textId="77777777" w:rsidR="00321F1A" w:rsidRDefault="00321F1A" w:rsidP="008B39FE">
      <w:pPr>
        <w:pStyle w:val="List2"/>
      </w:pPr>
      <w:r>
        <w:rPr>
          <w:szCs w:val="24"/>
        </w:rPr>
        <w:br/>
      </w:r>
      <w:r w:rsidRPr="00242B4C">
        <w:rPr>
          <w:szCs w:val="24"/>
        </w:rPr>
        <w:t>(2)  Any change made before work begins if—</w:t>
      </w:r>
    </w:p>
    <w:p w14:paraId="4EE99029" w14:textId="77777777" w:rsidR="00321F1A" w:rsidRDefault="00321F1A" w:rsidP="00D56834">
      <w:pPr>
        <w:pStyle w:val="List3"/>
      </w:pPr>
      <w:r>
        <w:br/>
      </w:r>
      <w:r w:rsidRPr="00242B4C">
        <w:t>(</w:t>
      </w:r>
      <w:proofErr w:type="spellStart"/>
      <w:r w:rsidRPr="00242B4C">
        <w:t>i</w:t>
      </w:r>
      <w:proofErr w:type="spellEnd"/>
      <w:r w:rsidRPr="00242B4C">
        <w:t xml:space="preserve">)  The change is within the scope of the original </w:t>
      </w:r>
      <w:proofErr w:type="gramStart"/>
      <w:r w:rsidRPr="00242B4C">
        <w:t>order;</w:t>
      </w:r>
      <w:proofErr w:type="gramEnd"/>
    </w:p>
    <w:p w14:paraId="714C46A3" w14:textId="77777777" w:rsidR="00321F1A" w:rsidRDefault="00321F1A" w:rsidP="008B39FE">
      <w:pPr>
        <w:pStyle w:val="List3"/>
      </w:pPr>
      <w:r>
        <w:rPr>
          <w:szCs w:val="24"/>
        </w:rPr>
        <w:br/>
      </w:r>
      <w:r w:rsidRPr="00242B4C">
        <w:rPr>
          <w:szCs w:val="24"/>
        </w:rPr>
        <w:t xml:space="preserve">(ii)  The contractor </w:t>
      </w:r>
      <w:proofErr w:type="gramStart"/>
      <w:r w:rsidRPr="00242B4C">
        <w:rPr>
          <w:szCs w:val="24"/>
        </w:rPr>
        <w:t>agrees;</w:t>
      </w:r>
      <w:proofErr w:type="gramEnd"/>
    </w:p>
    <w:p w14:paraId="163EE1F0" w14:textId="77777777" w:rsidR="00321F1A" w:rsidRDefault="00321F1A" w:rsidP="008B39FE">
      <w:pPr>
        <w:pStyle w:val="List3"/>
      </w:pPr>
      <w:r>
        <w:rPr>
          <w:szCs w:val="24"/>
        </w:rPr>
        <w:br/>
      </w:r>
      <w:r w:rsidRPr="00242B4C">
        <w:rPr>
          <w:szCs w:val="24"/>
        </w:rPr>
        <w:t>(iii)  The modification references the contractor’s oral or written agreement; and</w:t>
      </w:r>
    </w:p>
    <w:p w14:paraId="056E7E72" w14:textId="77777777" w:rsidR="00321F1A" w:rsidRDefault="00321F1A" w:rsidP="008B39FE">
      <w:pPr>
        <w:pStyle w:val="List3"/>
      </w:pPr>
      <w:r>
        <w:rPr>
          <w:szCs w:val="24"/>
        </w:rPr>
        <w:br/>
      </w:r>
      <w:r w:rsidRPr="00242B4C">
        <w:rPr>
          <w:szCs w:val="24"/>
        </w:rPr>
        <w:t>(iv)  Block 13D of Standard Form 30, Amendment of Solicitation/Modification of Contract, is annotated to reflect the authority for issuance of the modification.</w:t>
      </w:r>
    </w:p>
    <w:p w14:paraId="7AF58F1C" w14:textId="77777777" w:rsidR="00321F1A" w:rsidRDefault="00321F1A" w:rsidP="008B39FE">
      <w:pPr>
        <w:pStyle w:val="Heading3"/>
      </w:pPr>
      <w:r>
        <w:rPr>
          <w:szCs w:val="24"/>
        </w:rPr>
        <w:br/>
      </w:r>
      <w:bookmarkStart w:id="30" w:name="_Toc37415658"/>
      <w:bookmarkStart w:id="31" w:name="_Toc37677383"/>
      <w:bookmarkStart w:id="32" w:name="_Toc37755769"/>
      <w:r w:rsidRPr="00242B4C">
        <w:rPr>
          <w:b/>
          <w:bCs/>
          <w:szCs w:val="24"/>
        </w:rPr>
        <w:t xml:space="preserve">PGI </w:t>
      </w:r>
      <w:proofErr w:type="gramStart"/>
      <w:r w:rsidRPr="00242B4C">
        <w:rPr>
          <w:b/>
          <w:bCs/>
          <w:szCs w:val="24"/>
        </w:rPr>
        <w:t xml:space="preserve">213.306  </w:t>
      </w:r>
      <w:r w:rsidRPr="00242B4C">
        <w:rPr>
          <w:b/>
          <w:szCs w:val="24"/>
        </w:rPr>
        <w:t>SF</w:t>
      </w:r>
      <w:proofErr w:type="gramEnd"/>
      <w:r w:rsidRPr="00242B4C">
        <w:rPr>
          <w:b/>
          <w:szCs w:val="24"/>
        </w:rPr>
        <w:t xml:space="preserve"> 44,  Purchase Order-Invoice-Voucher</w:t>
      </w:r>
      <w:r w:rsidRPr="00242B4C">
        <w:rPr>
          <w:szCs w:val="24"/>
        </w:rPr>
        <w:t>.</w:t>
      </w:r>
      <w:bookmarkEnd w:id="30"/>
      <w:bookmarkEnd w:id="31"/>
      <w:bookmarkEnd w:id="32"/>
    </w:p>
    <w:p w14:paraId="3980321D" w14:textId="77777777" w:rsidR="00321F1A" w:rsidRDefault="00321F1A" w:rsidP="008B39FE">
      <w:pPr>
        <w:pStyle w:val="List1"/>
      </w:pPr>
      <w:r>
        <w:rPr>
          <w:b/>
        </w:rPr>
        <w:br/>
      </w:r>
      <w:r w:rsidRPr="00242B4C">
        <w:t>(a) (1) (A) Establish fuel card accounts—</w:t>
      </w:r>
    </w:p>
    <w:p w14:paraId="060F4FA4" w14:textId="77777777" w:rsidR="00321F1A" w:rsidRDefault="00321F1A" w:rsidP="008B39FE">
      <w:pPr>
        <w:pStyle w:val="List6"/>
      </w:pPr>
      <w:r>
        <w:br/>
      </w:r>
      <w:r w:rsidRPr="00242B4C">
        <w:t>(</w:t>
      </w:r>
      <w:r w:rsidRPr="00242B4C">
        <w:rPr>
          <w:i/>
        </w:rPr>
        <w:t>1)</w:t>
      </w:r>
      <w:r w:rsidRPr="00242B4C">
        <w:t xml:space="preserve">  For DoD customers, contact the Service or Agency Component Program Manager (CPM) for fuel cards (see </w:t>
      </w:r>
      <w:hyperlink r:id="rId14" w:history="1">
        <w:r w:rsidRPr="00242B4C">
          <w:rPr>
            <w:rStyle w:val="Hyperlink"/>
          </w:rPr>
          <w:t>http://www.desc.dla.mil/DCM/Files/CPMPOCs06022010.pdf</w:t>
        </w:r>
      </w:hyperlink>
      <w:r w:rsidRPr="00242B4C">
        <w:t>; and</w:t>
      </w:r>
    </w:p>
    <w:p w14:paraId="146EF689" w14:textId="77777777" w:rsidR="00321F1A" w:rsidRDefault="00321F1A" w:rsidP="008B39FE">
      <w:pPr>
        <w:pStyle w:val="List6"/>
      </w:pPr>
      <w:r>
        <w:br/>
      </w:r>
      <w:r w:rsidRPr="00242B4C">
        <w:t>(</w:t>
      </w:r>
      <w:r w:rsidRPr="00242B4C">
        <w:rPr>
          <w:i/>
        </w:rPr>
        <w:t>2</w:t>
      </w:r>
      <w:r w:rsidRPr="00242B4C">
        <w:t xml:space="preserve">)  For non-DoD customers, contact the designated Account Manager identified at </w:t>
      </w:r>
      <w:hyperlink r:id="rId15" w:history="1">
        <w:r w:rsidRPr="00242B4C">
          <w:rPr>
            <w:rStyle w:val="Hyperlink"/>
          </w:rPr>
          <w:t>http://www.desc.dla.mil/DCM/DCMPage.asp?pageid=41</w:t>
        </w:r>
      </w:hyperlink>
      <w:r w:rsidRPr="00242B4C">
        <w:t>.</w:t>
      </w:r>
    </w:p>
    <w:p w14:paraId="7FF4A2D5" w14:textId="77777777" w:rsidR="00321F1A" w:rsidRDefault="00321F1A" w:rsidP="008B39FE">
      <w:pPr>
        <w:pStyle w:val="List4"/>
      </w:pPr>
      <w:r>
        <w:rPr>
          <w:szCs w:val="24"/>
        </w:rPr>
        <w:br/>
      </w:r>
      <w:r w:rsidRPr="00242B4C">
        <w:rPr>
          <w:szCs w:val="24"/>
        </w:rPr>
        <w:t xml:space="preserve">(B)  Purchases using the AIR Card® and SEA Card® shall follow the guidance found at </w:t>
      </w:r>
      <w:hyperlink r:id="rId16" w:history="1">
        <w:r w:rsidRPr="00242B4C">
          <w:rPr>
            <w:rStyle w:val="Hyperlink"/>
            <w:szCs w:val="24"/>
          </w:rPr>
          <w:t>http://www.desc.dla.mil/DCM/DCMPage.asp?pageid=28</w:t>
        </w:r>
      </w:hyperlink>
      <w:r w:rsidRPr="00242B4C">
        <w:rPr>
          <w:szCs w:val="24"/>
        </w:rPr>
        <w:t>.</w:t>
      </w:r>
    </w:p>
    <w:p w14:paraId="6717C701" w14:textId="77777777" w:rsidR="00321F1A" w:rsidRPr="00242B4C" w:rsidRDefault="00321F1A" w:rsidP="008B39FE">
      <w:pPr>
        <w:pStyle w:val="List1"/>
      </w:pPr>
      <w:r>
        <w:br/>
      </w:r>
      <w:r w:rsidRPr="00242B4C">
        <w:rPr>
          <w:b/>
        </w:rPr>
        <w:t xml:space="preserve">PGI </w:t>
      </w:r>
      <w:proofErr w:type="gramStart"/>
      <w:r w:rsidRPr="00242B4C">
        <w:rPr>
          <w:b/>
        </w:rPr>
        <w:t>213.307  Forms</w:t>
      </w:r>
      <w:proofErr w:type="gramEnd"/>
      <w:r w:rsidRPr="00242B4C">
        <w:rPr>
          <w:b/>
        </w:rPr>
        <w:t>.</w:t>
      </w:r>
    </w:p>
    <w:p w14:paraId="163A547F" w14:textId="77777777" w:rsidR="00321F1A" w:rsidRDefault="00321F1A" w:rsidP="008B39FE">
      <w:pPr>
        <w:pStyle w:val="List1"/>
      </w:pPr>
      <w:r w:rsidRPr="00242B4C">
        <w:t>(a)  If SF 1449 is not used, use DD Form 1155 in accordance with paragraph (b)(</w:t>
      </w:r>
      <w:proofErr w:type="spellStart"/>
      <w:r w:rsidRPr="00242B4C">
        <w:t>i</w:t>
      </w:r>
      <w:proofErr w:type="spellEnd"/>
      <w:r w:rsidRPr="00242B4C">
        <w:t>) of this section.</w:t>
      </w:r>
    </w:p>
    <w:p w14:paraId="56C84B86" w14:textId="77777777" w:rsidR="00321F1A" w:rsidRDefault="00321F1A" w:rsidP="008B39FE">
      <w:pPr>
        <w:pStyle w:val="List1"/>
      </w:pPr>
      <w:r>
        <w:br/>
      </w:r>
      <w:r w:rsidRPr="00242B4C">
        <w:t>(b)(</w:t>
      </w:r>
      <w:proofErr w:type="spellStart"/>
      <w:r w:rsidRPr="00242B4C">
        <w:t>i</w:t>
      </w:r>
      <w:proofErr w:type="spellEnd"/>
      <w:proofErr w:type="gramStart"/>
      <w:r w:rsidRPr="00242B4C">
        <w:t>)  Use</w:t>
      </w:r>
      <w:proofErr w:type="gramEnd"/>
      <w:r w:rsidRPr="00242B4C">
        <w:t xml:space="preserve"> DD Form 1155, Order for Supplies or Services, for purchases made using simplified acquisition procedures.</w:t>
      </w:r>
    </w:p>
    <w:p w14:paraId="5D064725" w14:textId="77777777" w:rsidR="00321F1A" w:rsidRDefault="00321F1A" w:rsidP="008B39FE">
      <w:pPr>
        <w:pStyle w:val="List4"/>
        <w:rPr>
          <w:b/>
        </w:rPr>
      </w:pPr>
      <w:r>
        <w:rPr>
          <w:szCs w:val="24"/>
        </w:rPr>
        <w:lastRenderedPageBreak/>
        <w:br/>
      </w:r>
      <w:r w:rsidRPr="00242B4C">
        <w:rPr>
          <w:szCs w:val="24"/>
        </w:rPr>
        <w:t>(A)  The DD Form 1155 serves as a—</w:t>
      </w:r>
    </w:p>
    <w:p w14:paraId="54E42CC2" w14:textId="77777777" w:rsidR="00321F1A" w:rsidRDefault="00321F1A" w:rsidP="008B39FE">
      <w:pPr>
        <w:pStyle w:val="List6"/>
      </w:pPr>
      <w:r>
        <w:rPr>
          <w:b/>
        </w:rPr>
        <w:br/>
      </w:r>
      <w:r w:rsidRPr="00242B4C">
        <w:rPr>
          <w:i/>
        </w:rPr>
        <w:t>(1)</w:t>
      </w:r>
      <w:r w:rsidRPr="00242B4C">
        <w:t xml:space="preserve">  Purchase order or blanket purchase </w:t>
      </w:r>
      <w:proofErr w:type="gramStart"/>
      <w:r w:rsidRPr="00242B4C">
        <w:t>agreement;</w:t>
      </w:r>
      <w:proofErr w:type="gramEnd"/>
    </w:p>
    <w:p w14:paraId="5095F1E8" w14:textId="77777777" w:rsidR="00321F1A" w:rsidRDefault="00321F1A" w:rsidP="008B39FE">
      <w:pPr>
        <w:pStyle w:val="List6"/>
      </w:pPr>
      <w:r>
        <w:br/>
      </w:r>
      <w:r w:rsidRPr="00242B4C">
        <w:rPr>
          <w:i/>
        </w:rPr>
        <w:t>(2)</w:t>
      </w:r>
      <w:r w:rsidRPr="00242B4C">
        <w:t xml:space="preserve">  Delivery order or task </w:t>
      </w:r>
      <w:proofErr w:type="gramStart"/>
      <w:r w:rsidRPr="00242B4C">
        <w:t>order;</w:t>
      </w:r>
      <w:proofErr w:type="gramEnd"/>
    </w:p>
    <w:p w14:paraId="236E2C8C" w14:textId="77777777" w:rsidR="00321F1A" w:rsidRDefault="00321F1A" w:rsidP="008B39FE">
      <w:pPr>
        <w:pStyle w:val="List6"/>
      </w:pPr>
      <w:r>
        <w:br/>
      </w:r>
      <w:r w:rsidRPr="00242B4C">
        <w:rPr>
          <w:i/>
        </w:rPr>
        <w:t>(3)</w:t>
      </w:r>
      <w:r w:rsidRPr="00242B4C">
        <w:t xml:space="preserve">  Receiving and inspection </w:t>
      </w:r>
      <w:proofErr w:type="gramStart"/>
      <w:r w:rsidRPr="00242B4C">
        <w:t>report;</w:t>
      </w:r>
      <w:proofErr w:type="gramEnd"/>
    </w:p>
    <w:p w14:paraId="54AFB37A" w14:textId="77777777" w:rsidR="00321F1A" w:rsidRDefault="00321F1A" w:rsidP="008B39FE">
      <w:pPr>
        <w:pStyle w:val="List6"/>
      </w:pPr>
      <w:r>
        <w:br/>
      </w:r>
      <w:r w:rsidRPr="00242B4C">
        <w:rPr>
          <w:i/>
        </w:rPr>
        <w:t>(4)</w:t>
      </w:r>
      <w:r w:rsidRPr="00242B4C">
        <w:t xml:space="preserve">  Property </w:t>
      </w:r>
      <w:proofErr w:type="gramStart"/>
      <w:r w:rsidRPr="00242B4C">
        <w:t>voucher;</w:t>
      </w:r>
      <w:proofErr w:type="gramEnd"/>
    </w:p>
    <w:p w14:paraId="73852722" w14:textId="77777777" w:rsidR="00321F1A" w:rsidRDefault="00321F1A" w:rsidP="008B39FE">
      <w:pPr>
        <w:pStyle w:val="List6"/>
      </w:pPr>
      <w:r>
        <w:br/>
      </w:r>
      <w:r w:rsidRPr="00242B4C">
        <w:rPr>
          <w:i/>
        </w:rPr>
        <w:t>(5)</w:t>
      </w:r>
      <w:r w:rsidRPr="00242B4C">
        <w:t xml:space="preserve">  Document for acceptance by the supplier; and</w:t>
      </w:r>
    </w:p>
    <w:p w14:paraId="563B3F0F" w14:textId="77777777" w:rsidR="00321F1A" w:rsidRDefault="00321F1A" w:rsidP="008B39FE">
      <w:pPr>
        <w:pStyle w:val="List6"/>
      </w:pPr>
      <w:r>
        <w:br/>
      </w:r>
      <w:r w:rsidRPr="00242B4C">
        <w:rPr>
          <w:i/>
        </w:rPr>
        <w:t>(6)</w:t>
      </w:r>
      <w:r w:rsidRPr="00242B4C">
        <w:t xml:space="preserve">  Public voucher, when used as—</w:t>
      </w:r>
    </w:p>
    <w:p w14:paraId="39EEF818" w14:textId="77777777" w:rsidR="00321F1A" w:rsidRDefault="00321F1A" w:rsidP="008B39FE">
      <w:pPr>
        <w:pStyle w:val="List5"/>
      </w:pPr>
      <w:r>
        <w:rPr>
          <w:b/>
          <w:szCs w:val="24"/>
        </w:rPr>
        <w:br/>
      </w:r>
      <w:r w:rsidRPr="00242B4C">
        <w:rPr>
          <w:i/>
          <w:szCs w:val="24"/>
        </w:rPr>
        <w:t>(</w:t>
      </w:r>
      <w:proofErr w:type="spellStart"/>
      <w:r w:rsidRPr="00242B4C">
        <w:rPr>
          <w:i/>
          <w:szCs w:val="24"/>
        </w:rPr>
        <w:t>i</w:t>
      </w:r>
      <w:proofErr w:type="spellEnd"/>
      <w:r w:rsidRPr="00242B4C">
        <w:rPr>
          <w:i/>
          <w:szCs w:val="24"/>
        </w:rPr>
        <w:t>)</w:t>
      </w:r>
      <w:r w:rsidRPr="00242B4C">
        <w:rPr>
          <w:szCs w:val="24"/>
        </w:rPr>
        <w:t xml:space="preserve">  A delivery </w:t>
      </w:r>
      <w:proofErr w:type="gramStart"/>
      <w:r w:rsidRPr="00242B4C">
        <w:rPr>
          <w:szCs w:val="24"/>
        </w:rPr>
        <w:t>order;</w:t>
      </w:r>
      <w:proofErr w:type="gramEnd"/>
    </w:p>
    <w:p w14:paraId="1FB07BCD" w14:textId="77777777" w:rsidR="00321F1A" w:rsidRDefault="00321F1A" w:rsidP="008B39FE">
      <w:pPr>
        <w:pStyle w:val="List5"/>
      </w:pPr>
      <w:r>
        <w:rPr>
          <w:szCs w:val="24"/>
        </w:rPr>
        <w:br/>
      </w:r>
      <w:r w:rsidRPr="00242B4C">
        <w:rPr>
          <w:i/>
          <w:szCs w:val="24"/>
        </w:rPr>
        <w:t>(ii)</w:t>
      </w:r>
      <w:r w:rsidRPr="00242B4C">
        <w:rPr>
          <w:szCs w:val="24"/>
        </w:rPr>
        <w:t xml:space="preserve">  The basis for payment of an invoice against blanket purchase agreements or basic ordering agreements when a firm-fixed-price has been established; or</w:t>
      </w:r>
    </w:p>
    <w:p w14:paraId="508A1B19" w14:textId="77777777" w:rsidR="00321F1A" w:rsidRDefault="00321F1A" w:rsidP="008B39FE">
      <w:pPr>
        <w:pStyle w:val="List7"/>
      </w:pPr>
      <w:r>
        <w:br/>
      </w:r>
      <w:r w:rsidRPr="00242B4C">
        <w:rPr>
          <w:i/>
        </w:rPr>
        <w:t>(iii)</w:t>
      </w:r>
      <w:r w:rsidRPr="00242B4C">
        <w:t xml:space="preserve">  A purchase order for acquisitions using simplified acquisition procedures.</w:t>
      </w:r>
    </w:p>
    <w:p w14:paraId="5D3E6DB0" w14:textId="77777777" w:rsidR="00321F1A" w:rsidRDefault="00321F1A" w:rsidP="008B39FE">
      <w:pPr>
        <w:pStyle w:val="List4"/>
      </w:pPr>
      <w:r>
        <w:rPr>
          <w:szCs w:val="24"/>
        </w:rPr>
        <w:br/>
      </w:r>
      <w:r w:rsidRPr="00242B4C">
        <w:rPr>
          <w:szCs w:val="24"/>
        </w:rPr>
        <w:t>(B)  The DD Form 1155 is also authorized for use for—</w:t>
      </w:r>
    </w:p>
    <w:p w14:paraId="3F02F073" w14:textId="77777777" w:rsidR="00321F1A" w:rsidRDefault="00321F1A" w:rsidP="008B39FE">
      <w:pPr>
        <w:pStyle w:val="List6"/>
      </w:pPr>
      <w:r>
        <w:br/>
      </w:r>
      <w:r w:rsidRPr="00242B4C">
        <w:rPr>
          <w:i/>
        </w:rPr>
        <w:t>(1)</w:t>
      </w:r>
      <w:r w:rsidRPr="00242B4C">
        <w:t xml:space="preserve">  Orders placed in accordance with FAR Subparts 8.4, 8.6, 8.7, and 16.5; and</w:t>
      </w:r>
    </w:p>
    <w:p w14:paraId="6ECF3AC0" w14:textId="77777777" w:rsidR="00321F1A" w:rsidRDefault="00321F1A" w:rsidP="008B39FE">
      <w:pPr>
        <w:pStyle w:val="List6"/>
      </w:pPr>
      <w:r>
        <w:br/>
      </w:r>
      <w:r w:rsidRPr="00242B4C">
        <w:rPr>
          <w:i/>
        </w:rPr>
        <w:t>(2)</w:t>
      </w:r>
      <w:r w:rsidRPr="00242B4C">
        <w:t xml:space="preserve">  Classified acquisitions when the purchase is made within the United States or its outlying areas.  Attach the DD Form 254, Contract Security Classification Specification, to the purchase order.</w:t>
      </w:r>
    </w:p>
    <w:p w14:paraId="1F0DC2D3" w14:textId="77777777" w:rsidR="00321F1A" w:rsidRDefault="00321F1A" w:rsidP="008B39FE">
      <w:pPr>
        <w:pStyle w:val="List3"/>
      </w:pPr>
      <w:r>
        <w:rPr>
          <w:szCs w:val="24"/>
        </w:rPr>
        <w:lastRenderedPageBreak/>
        <w:br/>
      </w:r>
      <w:r w:rsidRPr="00242B4C">
        <w:rPr>
          <w:szCs w:val="24"/>
        </w:rPr>
        <w:t>(ii)  Do not use Optional Form 347, Order for Supplies or Services, or Optional Form 348, Order for Supplies or Services Schedule--Continuation.</w:t>
      </w:r>
    </w:p>
    <w:p w14:paraId="6DF7E1DB" w14:textId="77777777" w:rsidR="00321F1A" w:rsidRDefault="00321F1A" w:rsidP="008B39FE">
      <w:pPr>
        <w:pStyle w:val="List3"/>
        <w:rPr>
          <w:b/>
        </w:rPr>
      </w:pPr>
      <w:r>
        <w:rPr>
          <w:szCs w:val="24"/>
        </w:rPr>
        <w:br/>
      </w:r>
      <w:r w:rsidRPr="00242B4C">
        <w:rPr>
          <w:szCs w:val="24"/>
        </w:rPr>
        <w:t>(iii)  Use Standard Form 30, Amendment of Solicitation/Modification of Contract, to—</w:t>
      </w:r>
    </w:p>
    <w:p w14:paraId="59A07A28" w14:textId="77777777" w:rsidR="00321F1A" w:rsidRPr="00242B4C" w:rsidRDefault="00321F1A" w:rsidP="008B39FE">
      <w:pPr>
        <w:pStyle w:val="List4"/>
      </w:pPr>
      <w:r>
        <w:rPr>
          <w:b/>
          <w:szCs w:val="24"/>
        </w:rPr>
        <w:br/>
      </w:r>
      <w:r w:rsidRPr="00242B4C">
        <w:rPr>
          <w:szCs w:val="24"/>
        </w:rPr>
        <w:t>(A)  Modify a purchase order; or</w:t>
      </w:r>
    </w:p>
    <w:p w14:paraId="7C7B2413" w14:textId="77777777" w:rsidR="00321F1A" w:rsidRDefault="00321F1A" w:rsidP="008B39FE">
      <w:pPr>
        <w:pStyle w:val="List4"/>
        <w:rPr>
          <w:szCs w:val="24"/>
        </w:rPr>
      </w:pPr>
      <w:r w:rsidRPr="00242B4C">
        <w:rPr>
          <w:szCs w:val="24"/>
        </w:rPr>
        <w:t>(B)  Cancel a unilateral purchase order.</w:t>
      </w:r>
    </w:p>
    <w:p w14:paraId="1B23DB0D" w14:textId="77777777" w:rsidR="00321F1A" w:rsidRPr="00242B4C" w:rsidRDefault="00321F1A" w:rsidP="008B39FE">
      <w:r>
        <w:br/>
      </w:r>
    </w:p>
    <w:p w14:paraId="499735CC" w14:textId="77777777" w:rsidR="00850595" w:rsidRDefault="00850595"/>
    <w:sectPr w:rsidR="00850595" w:rsidSect="00941021">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01B25" w14:textId="77777777" w:rsidR="00AB3C48" w:rsidRDefault="00AB3C48">
      <w:pPr>
        <w:spacing w:after="0" w:line="240" w:lineRule="auto"/>
      </w:pPr>
      <w:r>
        <w:separator/>
      </w:r>
    </w:p>
  </w:endnote>
  <w:endnote w:type="continuationSeparator" w:id="0">
    <w:p w14:paraId="020EC21B" w14:textId="77777777" w:rsidR="00AB3C48" w:rsidRDefault="00AB3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90A0A" w14:textId="77777777" w:rsidR="000A6AC8" w:rsidRDefault="00AB3C48">
    <w:pPr>
      <w:pStyle w:val="Footer"/>
      <w:rPr>
        <w:rFonts w:ascii="Century Schoolbook" w:hAnsi="Century Schoolbook"/>
        <w:sz w:val="20"/>
      </w:rPr>
    </w:pPr>
  </w:p>
  <w:p w14:paraId="27A30690" w14:textId="77777777" w:rsidR="000A6AC8" w:rsidRDefault="00AB3C48">
    <w:pPr>
      <w:pStyle w:val="Footer"/>
      <w:tabs>
        <w:tab w:val="clear" w:pos="8640"/>
      </w:tabs>
      <w:rPr>
        <w:rFonts w:ascii="Century Schoolbook" w:hAnsi="Century Schoolbook"/>
        <w:b/>
        <w:sz w:val="20"/>
      </w:rPr>
    </w:pPr>
  </w:p>
  <w:p w14:paraId="343F8F7D" w14:textId="77777777" w:rsidR="000A6AC8" w:rsidRPr="00BC71C0" w:rsidRDefault="00321F1A">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13.</w:t>
    </w:r>
    <w:r w:rsidRPr="00BC71C0">
      <w:rPr>
        <w:szCs w:val="22"/>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7BF60" w14:textId="77777777" w:rsidR="000A6AC8" w:rsidRDefault="00AB3C48">
    <w:pPr>
      <w:pStyle w:val="Footer"/>
      <w:rPr>
        <w:rFonts w:ascii="Century Schoolbook" w:hAnsi="Century Schoolbook"/>
        <w:sz w:val="20"/>
      </w:rPr>
    </w:pPr>
  </w:p>
  <w:p w14:paraId="633599CB" w14:textId="77777777" w:rsidR="000A6AC8" w:rsidRDefault="00AB3C48">
    <w:pPr>
      <w:pStyle w:val="Footer"/>
      <w:tabs>
        <w:tab w:val="clear" w:pos="8640"/>
      </w:tabs>
      <w:rPr>
        <w:rFonts w:ascii="Century Schoolbook" w:hAnsi="Century Schoolbook"/>
        <w:b/>
        <w:sz w:val="20"/>
      </w:rPr>
    </w:pPr>
  </w:p>
  <w:p w14:paraId="1A59EB5F" w14:textId="77777777" w:rsidR="000A6AC8" w:rsidRPr="00BC71C0" w:rsidRDefault="00321F1A">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13.2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C0A6A" w14:textId="77777777" w:rsidR="000A6AC8" w:rsidRDefault="00AB3C48">
    <w:pPr>
      <w:pStyle w:val="Footer"/>
      <w:rPr>
        <w:rFonts w:ascii="Century Schoolbook" w:hAnsi="Century Schoolbook"/>
        <w:sz w:val="20"/>
      </w:rPr>
    </w:pPr>
  </w:p>
  <w:p w14:paraId="45F835BC" w14:textId="77777777" w:rsidR="000A6AC8" w:rsidRDefault="00AB3C48">
    <w:pPr>
      <w:pStyle w:val="Footer"/>
      <w:tabs>
        <w:tab w:val="clear" w:pos="8640"/>
      </w:tabs>
      <w:rPr>
        <w:rFonts w:ascii="Century Schoolbook" w:hAnsi="Century Schoolbook"/>
        <w:b/>
        <w:sz w:val="20"/>
      </w:rPr>
    </w:pPr>
  </w:p>
  <w:p w14:paraId="5E325419" w14:textId="77777777" w:rsidR="000A6AC8" w:rsidRPr="00BC71C0" w:rsidRDefault="00321F1A">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13.3</w:t>
    </w:r>
    <w:r w:rsidRPr="00BC71C0">
      <w:rPr>
        <w:szCs w:val="22"/>
      </w:rPr>
      <w:t>-</w:t>
    </w:r>
    <w:r w:rsidRPr="00BC71C0">
      <w:rPr>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FAF22" w14:textId="77777777" w:rsidR="00AB3C48" w:rsidRDefault="00AB3C48">
      <w:pPr>
        <w:spacing w:after="0" w:line="240" w:lineRule="auto"/>
      </w:pPr>
      <w:r>
        <w:separator/>
      </w:r>
    </w:p>
  </w:footnote>
  <w:footnote w:type="continuationSeparator" w:id="0">
    <w:p w14:paraId="1D3911CF" w14:textId="77777777" w:rsidR="00AB3C48" w:rsidRDefault="00AB3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8FA63" w14:textId="77777777" w:rsidR="000A6AC8" w:rsidRDefault="00321F1A" w:rsidP="003E6AA4">
    <w:pPr>
      <w:pStyle w:val="Header"/>
      <w:tabs>
        <w:tab w:val="clear" w:pos="8640"/>
        <w:tab w:val="left" w:pos="4590"/>
      </w:tabs>
      <w:jc w:val="center"/>
      <w:rPr>
        <w:sz w:val="28"/>
        <w:szCs w:val="28"/>
      </w:rPr>
    </w:pPr>
    <w:r w:rsidRPr="002B1BC7">
      <w:rPr>
        <w:sz w:val="28"/>
        <w:szCs w:val="28"/>
      </w:rPr>
      <w:t>DFARS Procedures, Guidance, and Information</w:t>
    </w:r>
  </w:p>
  <w:p w14:paraId="580A4DCD" w14:textId="77777777" w:rsidR="000A6AC8" w:rsidRPr="002B1BC7" w:rsidRDefault="00AB3C48" w:rsidP="003E6AA4">
    <w:pPr>
      <w:pStyle w:val="Header"/>
      <w:tabs>
        <w:tab w:val="clear" w:pos="8640"/>
        <w:tab w:val="left" w:pos="4590"/>
      </w:tabs>
      <w:jc w:val="center"/>
      <w:rPr>
        <w:sz w:val="28"/>
        <w:szCs w:val="28"/>
      </w:rPr>
    </w:pPr>
  </w:p>
  <w:p w14:paraId="1E57A743" w14:textId="77777777" w:rsidR="000A6AC8" w:rsidRPr="00BC71C0" w:rsidRDefault="00321F1A">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13</w:t>
    </w:r>
    <w:r w:rsidRPr="00BC71C0">
      <w:rPr>
        <w:szCs w:val="24"/>
      </w:rPr>
      <w:t>—</w:t>
    </w:r>
    <w:r>
      <w:rPr>
        <w:szCs w:val="24"/>
      </w:rPr>
      <w:t>Simplified Acquisition Procedures</w:t>
    </w:r>
  </w:p>
  <w:p w14:paraId="23B87D7F" w14:textId="77777777" w:rsidR="000A6AC8" w:rsidRDefault="00AB3C48">
    <w:pPr>
      <w:pStyle w:val="Header"/>
      <w:tabs>
        <w:tab w:val="clear" w:pos="8640"/>
        <w:tab w:val="right" w:pos="9260"/>
      </w:tabs>
      <w:spacing w:before="20" w:line="20" w:lineRule="exact"/>
      <w:rPr>
        <w:rFonts w:ascii="Geneva" w:hAnsi="Geneva"/>
        <w:b/>
        <w:position w:val="6"/>
        <w:sz w:val="18"/>
      </w:rPr>
    </w:pPr>
  </w:p>
  <w:p w14:paraId="77B347E7" w14:textId="77777777" w:rsidR="000A6AC8" w:rsidRDefault="00AB3C48">
    <w:pPr>
      <w:pStyle w:val="Header"/>
      <w:tabs>
        <w:tab w:val="clear" w:pos="8640"/>
        <w:tab w:val="right" w:pos="9260"/>
      </w:tabs>
      <w:rPr>
        <w:rFonts w:ascii="Century Schoolbook" w:hAnsi="Century Schoolbook"/>
        <w:b/>
        <w:sz w:val="20"/>
      </w:rPr>
    </w:pPr>
  </w:p>
  <w:p w14:paraId="33DA4FCC" w14:textId="77777777" w:rsidR="000A6AC8" w:rsidRDefault="00AB3C48">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C0AF9" w14:textId="77777777" w:rsidR="000A6AC8" w:rsidRDefault="00321F1A" w:rsidP="003E6AA4">
    <w:pPr>
      <w:pStyle w:val="Header"/>
      <w:tabs>
        <w:tab w:val="clear" w:pos="8640"/>
        <w:tab w:val="left" w:pos="4590"/>
      </w:tabs>
      <w:jc w:val="center"/>
      <w:rPr>
        <w:sz w:val="28"/>
        <w:szCs w:val="28"/>
      </w:rPr>
    </w:pPr>
    <w:r w:rsidRPr="002B1BC7">
      <w:rPr>
        <w:sz w:val="28"/>
        <w:szCs w:val="28"/>
      </w:rPr>
      <w:t>DFARS Procedures, Guidance, and Information</w:t>
    </w:r>
  </w:p>
  <w:p w14:paraId="682DCE18" w14:textId="77777777" w:rsidR="000A6AC8" w:rsidRPr="002B1BC7" w:rsidRDefault="00AB3C48" w:rsidP="003E6AA4">
    <w:pPr>
      <w:pStyle w:val="Header"/>
      <w:tabs>
        <w:tab w:val="clear" w:pos="8640"/>
        <w:tab w:val="left" w:pos="4590"/>
      </w:tabs>
      <w:jc w:val="center"/>
      <w:rPr>
        <w:sz w:val="28"/>
        <w:szCs w:val="28"/>
      </w:rPr>
    </w:pPr>
  </w:p>
  <w:p w14:paraId="40484E2D" w14:textId="77777777" w:rsidR="000A6AC8" w:rsidRPr="00BC71C0" w:rsidRDefault="00321F1A">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13</w:t>
    </w:r>
    <w:r w:rsidRPr="00BC71C0">
      <w:rPr>
        <w:szCs w:val="24"/>
      </w:rPr>
      <w:t>—</w:t>
    </w:r>
    <w:r>
      <w:rPr>
        <w:szCs w:val="24"/>
      </w:rPr>
      <w:t>Simplified Acquisition Procedures</w:t>
    </w:r>
  </w:p>
  <w:p w14:paraId="30EBFDEC" w14:textId="77777777" w:rsidR="000A6AC8" w:rsidRDefault="00AB3C48">
    <w:pPr>
      <w:pStyle w:val="Header"/>
      <w:tabs>
        <w:tab w:val="clear" w:pos="8640"/>
        <w:tab w:val="right" w:pos="9260"/>
      </w:tabs>
      <w:spacing w:before="20" w:line="20" w:lineRule="exact"/>
      <w:rPr>
        <w:rFonts w:ascii="Geneva" w:hAnsi="Geneva"/>
        <w:b/>
        <w:position w:val="6"/>
        <w:sz w:val="18"/>
      </w:rPr>
    </w:pPr>
  </w:p>
  <w:p w14:paraId="68791DF3" w14:textId="77777777" w:rsidR="000A6AC8" w:rsidRDefault="00AB3C48">
    <w:pPr>
      <w:pStyle w:val="Header"/>
      <w:tabs>
        <w:tab w:val="clear" w:pos="8640"/>
        <w:tab w:val="right" w:pos="9260"/>
      </w:tabs>
      <w:rPr>
        <w:rFonts w:ascii="Century Schoolbook" w:hAnsi="Century Schoolbook"/>
        <w:b/>
        <w:sz w:val="20"/>
      </w:rPr>
    </w:pPr>
  </w:p>
  <w:p w14:paraId="097EDD9B" w14:textId="77777777" w:rsidR="000A6AC8" w:rsidRDefault="00AB3C48">
    <w:pPr>
      <w:pStyle w:val="Header"/>
      <w:rPr>
        <w:rFonts w:ascii="Century Schoolbook" w:hAnsi="Century Schoolbook"/>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89227" w14:textId="77777777" w:rsidR="000A6AC8" w:rsidRDefault="00321F1A" w:rsidP="003E6AA4">
    <w:pPr>
      <w:pStyle w:val="Header"/>
      <w:tabs>
        <w:tab w:val="clear" w:pos="8640"/>
        <w:tab w:val="left" w:pos="4590"/>
      </w:tabs>
      <w:jc w:val="center"/>
      <w:rPr>
        <w:sz w:val="28"/>
        <w:szCs w:val="28"/>
      </w:rPr>
    </w:pPr>
    <w:r w:rsidRPr="002B1BC7">
      <w:rPr>
        <w:sz w:val="28"/>
        <w:szCs w:val="28"/>
      </w:rPr>
      <w:t>DFARS Procedures, Guidance, and Information</w:t>
    </w:r>
  </w:p>
  <w:p w14:paraId="211BDDF4" w14:textId="77777777" w:rsidR="000A6AC8" w:rsidRPr="002B1BC7" w:rsidRDefault="00AB3C48" w:rsidP="003E6AA4">
    <w:pPr>
      <w:pStyle w:val="Header"/>
      <w:tabs>
        <w:tab w:val="clear" w:pos="8640"/>
        <w:tab w:val="left" w:pos="4590"/>
      </w:tabs>
      <w:jc w:val="center"/>
      <w:rPr>
        <w:sz w:val="28"/>
        <w:szCs w:val="28"/>
      </w:rPr>
    </w:pPr>
  </w:p>
  <w:p w14:paraId="451E8FD0" w14:textId="77777777" w:rsidR="000A6AC8" w:rsidRPr="00BC71C0" w:rsidRDefault="00321F1A">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13</w:t>
    </w:r>
    <w:r w:rsidRPr="00BC71C0">
      <w:rPr>
        <w:szCs w:val="24"/>
      </w:rPr>
      <w:t>—</w:t>
    </w:r>
    <w:r>
      <w:rPr>
        <w:szCs w:val="24"/>
      </w:rPr>
      <w:t>Simplified Acquisition Procedures</w:t>
    </w:r>
  </w:p>
  <w:p w14:paraId="408004EA" w14:textId="77777777" w:rsidR="000A6AC8" w:rsidRDefault="00AB3C48">
    <w:pPr>
      <w:pStyle w:val="Header"/>
      <w:tabs>
        <w:tab w:val="clear" w:pos="8640"/>
        <w:tab w:val="right" w:pos="9260"/>
      </w:tabs>
      <w:spacing w:before="20" w:line="20" w:lineRule="exact"/>
      <w:rPr>
        <w:rFonts w:ascii="Geneva" w:hAnsi="Geneva"/>
        <w:b/>
        <w:position w:val="6"/>
        <w:sz w:val="18"/>
      </w:rPr>
    </w:pPr>
  </w:p>
  <w:p w14:paraId="0A49637F" w14:textId="77777777" w:rsidR="000A6AC8" w:rsidRDefault="00AB3C48">
    <w:pPr>
      <w:pStyle w:val="Header"/>
      <w:tabs>
        <w:tab w:val="clear" w:pos="8640"/>
        <w:tab w:val="right" w:pos="9260"/>
      </w:tabs>
      <w:rPr>
        <w:rFonts w:ascii="Century Schoolbook" w:hAnsi="Century Schoolbook"/>
        <w:b/>
        <w:sz w:val="20"/>
      </w:rPr>
    </w:pPr>
  </w:p>
  <w:p w14:paraId="3C7AB47C" w14:textId="77777777" w:rsidR="000A6AC8" w:rsidRDefault="00AB3C48">
    <w:pPr>
      <w:pStyle w:val="Header"/>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1A"/>
    <w:rsid w:val="00024DE6"/>
    <w:rsid w:val="0020329C"/>
    <w:rsid w:val="00321F1A"/>
    <w:rsid w:val="00505901"/>
    <w:rsid w:val="007D6208"/>
    <w:rsid w:val="00800B2E"/>
    <w:rsid w:val="00850595"/>
    <w:rsid w:val="00AB3C48"/>
    <w:rsid w:val="00B8095C"/>
    <w:rsid w:val="00BF48DE"/>
    <w:rsid w:val="00C966AD"/>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CF121"/>
  <w15:chartTrackingRefBased/>
  <w15:docId w15:val="{16B7C901-557F-4059-B76C-43AEDD0E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321F1A"/>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uiPriority w:val="9"/>
    <w:semiHidden/>
    <w:unhideWhenUsed/>
    <w:qFormat/>
    <w:rsid w:val="00321F1A"/>
    <w:pPr>
      <w:keepNext/>
      <w:spacing w:before="240" w:after="60" w:line="240" w:lineRule="auto"/>
      <w:outlineLvl w:val="1"/>
    </w:pPr>
    <w:rPr>
      <w:rFonts w:ascii="Arial" w:eastAsiaTheme="majorEastAsia" w:hAnsi="Arial" w:cs="Arial"/>
      <w:b/>
      <w:bCs/>
      <w:iCs/>
      <w:sz w:val="28"/>
      <w:szCs w:val="28"/>
    </w:rPr>
  </w:style>
  <w:style w:type="paragraph" w:styleId="Heading3">
    <w:name w:val="heading 3"/>
    <w:basedOn w:val="Normal"/>
    <w:next w:val="Normal"/>
    <w:link w:val="Heading3Char"/>
    <w:qFormat/>
    <w:rsid w:val="00321F1A"/>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qFormat/>
    <w:rsid w:val="00321F1A"/>
    <w:pPr>
      <w:spacing w:before="120" w:after="100" w:afterAutospacing="1" w:line="240" w:lineRule="auto"/>
      <w:outlineLvl w:val="3"/>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F1A"/>
    <w:rPr>
      <w:rFonts w:ascii="Arial" w:eastAsiaTheme="majorEastAsia" w:hAnsi="Arial" w:cs="Arial"/>
      <w:b/>
      <w:color w:val="000000" w:themeColor="text1"/>
      <w:sz w:val="28"/>
      <w:szCs w:val="32"/>
    </w:rPr>
  </w:style>
  <w:style w:type="character" w:customStyle="1" w:styleId="Heading2Char">
    <w:name w:val="Heading 2 Char"/>
    <w:basedOn w:val="DefaultParagraphFont"/>
    <w:link w:val="Heading2"/>
    <w:uiPriority w:val="9"/>
    <w:semiHidden/>
    <w:rsid w:val="00321F1A"/>
    <w:rPr>
      <w:rFonts w:ascii="Arial" w:eastAsiaTheme="majorEastAsia" w:hAnsi="Arial" w:cs="Arial"/>
      <w:b/>
      <w:bCs/>
      <w:iCs/>
      <w:sz w:val="28"/>
      <w:szCs w:val="28"/>
    </w:rPr>
  </w:style>
  <w:style w:type="character" w:customStyle="1" w:styleId="Heading3Char">
    <w:name w:val="Heading 3 Char"/>
    <w:basedOn w:val="DefaultParagraphFont"/>
    <w:link w:val="Heading3"/>
    <w:rsid w:val="00321F1A"/>
    <w:rPr>
      <w:rFonts w:ascii="Arial" w:eastAsia="Times New Roman" w:hAnsi="Arial" w:cs="Arial"/>
      <w:szCs w:val="20"/>
    </w:rPr>
  </w:style>
  <w:style w:type="paragraph" w:styleId="Footer">
    <w:name w:val="footer"/>
    <w:basedOn w:val="Normal"/>
    <w:link w:val="FooterChar"/>
    <w:rsid w:val="00321F1A"/>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321F1A"/>
    <w:rPr>
      <w:rFonts w:ascii="Arial" w:eastAsia="Times New Roman" w:hAnsi="Arial" w:cs="Arial"/>
      <w:szCs w:val="20"/>
    </w:rPr>
  </w:style>
  <w:style w:type="paragraph" w:styleId="Header">
    <w:name w:val="header"/>
    <w:basedOn w:val="Normal"/>
    <w:link w:val="HeaderChar"/>
    <w:rsid w:val="00321F1A"/>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321F1A"/>
    <w:rPr>
      <w:rFonts w:ascii="Arial" w:eastAsia="Times New Roman" w:hAnsi="Arial" w:cs="Arial"/>
      <w:szCs w:val="20"/>
    </w:rPr>
  </w:style>
  <w:style w:type="paragraph" w:customStyle="1" w:styleId="List1">
    <w:name w:val="List 1"/>
    <w:link w:val="List1Char"/>
    <w:rsid w:val="00321F1A"/>
    <w:pPr>
      <w:spacing w:after="0" w:line="240" w:lineRule="auto"/>
      <w:ind w:left="360" w:hanging="360"/>
      <w:contextualSpacing/>
    </w:pPr>
    <w:rPr>
      <w:rFonts w:ascii="Arial" w:eastAsia="Times New Roman" w:hAnsi="Arial" w:cs="Arial"/>
      <w:bCs/>
      <w:szCs w:val="24"/>
    </w:rPr>
  </w:style>
  <w:style w:type="character" w:customStyle="1" w:styleId="List1Char">
    <w:name w:val="List 1 Char"/>
    <w:basedOn w:val="Heading3Char"/>
    <w:link w:val="List1"/>
    <w:rsid w:val="00321F1A"/>
    <w:rPr>
      <w:rFonts w:ascii="Arial" w:eastAsia="Times New Roman" w:hAnsi="Arial" w:cs="Arial"/>
      <w:bCs/>
      <w:szCs w:val="24"/>
    </w:rPr>
  </w:style>
  <w:style w:type="paragraph" w:styleId="List3">
    <w:name w:val="List 3"/>
    <w:uiPriority w:val="99"/>
    <w:semiHidden/>
    <w:unhideWhenUsed/>
    <w:rsid w:val="00321F1A"/>
    <w:pPr>
      <w:spacing w:after="0" w:line="240" w:lineRule="auto"/>
      <w:ind w:left="1080" w:hanging="360"/>
      <w:contextualSpacing/>
    </w:pPr>
    <w:rPr>
      <w:rFonts w:ascii="Arial" w:eastAsia="Times New Roman" w:hAnsi="Arial" w:cs="Arial"/>
      <w:szCs w:val="20"/>
    </w:rPr>
  </w:style>
  <w:style w:type="paragraph" w:styleId="List4">
    <w:name w:val="List 4"/>
    <w:link w:val="List4Char"/>
    <w:uiPriority w:val="99"/>
    <w:unhideWhenUsed/>
    <w:rsid w:val="00321F1A"/>
    <w:pPr>
      <w:spacing w:after="0" w:line="240" w:lineRule="auto"/>
      <w:ind w:left="1440" w:hanging="360"/>
      <w:contextualSpacing/>
    </w:pPr>
    <w:rPr>
      <w:rFonts w:ascii="Arial" w:eastAsia="Times New Roman" w:hAnsi="Arial" w:cs="Arial"/>
      <w:szCs w:val="20"/>
    </w:rPr>
  </w:style>
  <w:style w:type="character" w:customStyle="1" w:styleId="List4Char">
    <w:name w:val="List 4 Char"/>
    <w:basedOn w:val="DefaultParagraphFont"/>
    <w:link w:val="List4"/>
    <w:uiPriority w:val="99"/>
    <w:rsid w:val="00321F1A"/>
    <w:rPr>
      <w:rFonts w:ascii="Arial" w:eastAsia="Times New Roman" w:hAnsi="Arial" w:cs="Arial"/>
      <w:szCs w:val="20"/>
    </w:rPr>
  </w:style>
  <w:style w:type="character" w:customStyle="1" w:styleId="Heading4Char">
    <w:name w:val="Heading 4 Char"/>
    <w:basedOn w:val="DefaultParagraphFont"/>
    <w:link w:val="Heading4"/>
    <w:rsid w:val="00321F1A"/>
    <w:rPr>
      <w:rFonts w:ascii="Arial" w:eastAsia="Times New Roman" w:hAnsi="Arial" w:cs="Arial"/>
      <w:szCs w:val="20"/>
    </w:rPr>
  </w:style>
  <w:style w:type="character" w:styleId="Hyperlink">
    <w:name w:val="Hyperlink"/>
    <w:basedOn w:val="DefaultParagraphFont"/>
    <w:uiPriority w:val="99"/>
    <w:unhideWhenUsed/>
    <w:rsid w:val="00321F1A"/>
    <w:rPr>
      <w:color w:val="0000FF"/>
      <w:u w:val="single"/>
    </w:rPr>
  </w:style>
  <w:style w:type="paragraph" w:styleId="List2">
    <w:name w:val="List 2"/>
    <w:uiPriority w:val="99"/>
    <w:semiHidden/>
    <w:unhideWhenUsed/>
    <w:rsid w:val="00321F1A"/>
    <w:pPr>
      <w:spacing w:after="0" w:line="240" w:lineRule="auto"/>
      <w:ind w:left="720" w:hanging="360"/>
      <w:contextualSpacing/>
    </w:pPr>
    <w:rPr>
      <w:rFonts w:ascii="Arial" w:eastAsia="Times New Roman" w:hAnsi="Arial" w:cs="Arial"/>
      <w:szCs w:val="20"/>
    </w:rPr>
  </w:style>
  <w:style w:type="paragraph" w:styleId="List5">
    <w:name w:val="List 5"/>
    <w:basedOn w:val="Normal"/>
    <w:link w:val="List5Char"/>
    <w:uiPriority w:val="99"/>
    <w:semiHidden/>
    <w:unhideWhenUsed/>
    <w:rsid w:val="00321F1A"/>
    <w:pPr>
      <w:tabs>
        <w:tab w:val="left" w:pos="1000"/>
      </w:tabs>
      <w:spacing w:before="120" w:after="100" w:afterAutospacing="1" w:line="240" w:lineRule="auto"/>
      <w:ind w:left="1800" w:hanging="360"/>
      <w:contextualSpacing/>
    </w:pPr>
    <w:rPr>
      <w:rFonts w:eastAsia="Times New Roman"/>
      <w:szCs w:val="20"/>
    </w:rPr>
  </w:style>
  <w:style w:type="paragraph" w:customStyle="1" w:styleId="List6">
    <w:name w:val="List 6"/>
    <w:basedOn w:val="List2"/>
    <w:link w:val="List6Char"/>
    <w:rsid w:val="00321F1A"/>
    <w:pPr>
      <w:spacing w:after="160" w:line="259" w:lineRule="auto"/>
      <w:ind w:firstLine="0"/>
    </w:pPr>
    <w:rPr>
      <w:szCs w:val="24"/>
    </w:rPr>
  </w:style>
  <w:style w:type="character" w:customStyle="1" w:styleId="List5Char">
    <w:name w:val="List 5 Char"/>
    <w:basedOn w:val="DefaultParagraphFont"/>
    <w:link w:val="List5"/>
    <w:uiPriority w:val="99"/>
    <w:semiHidden/>
    <w:rsid w:val="00321F1A"/>
    <w:rPr>
      <w:rFonts w:ascii="Arial" w:eastAsia="Times New Roman" w:hAnsi="Arial" w:cs="Arial"/>
      <w:szCs w:val="20"/>
    </w:rPr>
  </w:style>
  <w:style w:type="character" w:customStyle="1" w:styleId="List6Char">
    <w:name w:val="List 6 Char"/>
    <w:basedOn w:val="List5Char"/>
    <w:link w:val="List6"/>
    <w:rsid w:val="00321F1A"/>
    <w:rPr>
      <w:rFonts w:ascii="Arial" w:eastAsia="Times New Roman" w:hAnsi="Arial" w:cs="Arial"/>
      <w:szCs w:val="24"/>
    </w:rPr>
  </w:style>
  <w:style w:type="paragraph" w:customStyle="1" w:styleId="List7">
    <w:name w:val="List 7"/>
    <w:basedOn w:val="List2"/>
    <w:link w:val="List7Char"/>
    <w:rsid w:val="00321F1A"/>
    <w:pPr>
      <w:ind w:left="2880" w:firstLine="0"/>
    </w:pPr>
    <w:rPr>
      <w:szCs w:val="24"/>
    </w:rPr>
  </w:style>
  <w:style w:type="character" w:customStyle="1" w:styleId="List7Char">
    <w:name w:val="List 7 Char"/>
    <w:basedOn w:val="List6Char"/>
    <w:link w:val="List7"/>
    <w:rsid w:val="00321F1A"/>
    <w:rPr>
      <w:rFonts w:ascii="Arial" w:eastAsia="Times New Roman" w:hAnsi="Arial" w:cs="Arial"/>
      <w:szCs w:val="24"/>
    </w:rPr>
  </w:style>
  <w:style w:type="paragraph" w:styleId="TOC1">
    <w:name w:val="toc 1"/>
    <w:basedOn w:val="Normal"/>
    <w:next w:val="Normal"/>
    <w:autoRedefine/>
    <w:uiPriority w:val="39"/>
    <w:unhideWhenUsed/>
    <w:rsid w:val="00321F1A"/>
    <w:pPr>
      <w:spacing w:after="100"/>
    </w:pPr>
  </w:style>
  <w:style w:type="paragraph" w:styleId="TOC2">
    <w:name w:val="toc 2"/>
    <w:basedOn w:val="Normal"/>
    <w:next w:val="Normal"/>
    <w:autoRedefine/>
    <w:uiPriority w:val="39"/>
    <w:unhideWhenUsed/>
    <w:rsid w:val="00321F1A"/>
    <w:pPr>
      <w:spacing w:after="100"/>
      <w:ind w:left="220"/>
    </w:pPr>
  </w:style>
  <w:style w:type="paragraph" w:styleId="TOC3">
    <w:name w:val="toc 3"/>
    <w:basedOn w:val="Normal"/>
    <w:next w:val="Normal"/>
    <w:autoRedefine/>
    <w:uiPriority w:val="39"/>
    <w:unhideWhenUsed/>
    <w:rsid w:val="00321F1A"/>
    <w:pPr>
      <w:spacing w:after="100"/>
      <w:ind w:left="440"/>
    </w:pPr>
  </w:style>
  <w:style w:type="paragraph" w:styleId="TOC4">
    <w:name w:val="toc 4"/>
    <w:basedOn w:val="Normal"/>
    <w:next w:val="Normal"/>
    <w:autoRedefine/>
    <w:uiPriority w:val="39"/>
    <w:unhideWhenUsed/>
    <w:rsid w:val="00321F1A"/>
    <w:pPr>
      <w:spacing w:after="100"/>
      <w:ind w:left="660"/>
    </w:pPr>
  </w:style>
  <w:style w:type="paragraph" w:styleId="TOC5">
    <w:name w:val="toc 5"/>
    <w:basedOn w:val="Normal"/>
    <w:next w:val="Normal"/>
    <w:autoRedefine/>
    <w:uiPriority w:val="39"/>
    <w:semiHidden/>
    <w:unhideWhenUsed/>
    <w:rsid w:val="00321F1A"/>
    <w:pPr>
      <w:spacing w:after="100"/>
      <w:ind w:left="880"/>
    </w:pPr>
  </w:style>
  <w:style w:type="paragraph" w:styleId="TOC6">
    <w:name w:val="toc 6"/>
    <w:basedOn w:val="Normal"/>
    <w:next w:val="Normal"/>
    <w:autoRedefine/>
    <w:uiPriority w:val="39"/>
    <w:semiHidden/>
    <w:unhideWhenUsed/>
    <w:rsid w:val="00321F1A"/>
    <w:pPr>
      <w:spacing w:after="100"/>
      <w:ind w:left="1100"/>
    </w:pPr>
  </w:style>
  <w:style w:type="paragraph" w:styleId="TOC7">
    <w:name w:val="toc 7"/>
    <w:basedOn w:val="Normal"/>
    <w:next w:val="Normal"/>
    <w:autoRedefine/>
    <w:uiPriority w:val="39"/>
    <w:semiHidden/>
    <w:unhideWhenUsed/>
    <w:rsid w:val="00321F1A"/>
    <w:pPr>
      <w:spacing w:after="100"/>
      <w:ind w:left="1320"/>
    </w:pPr>
  </w:style>
  <w:style w:type="paragraph" w:styleId="TOC8">
    <w:name w:val="toc 8"/>
    <w:basedOn w:val="Normal"/>
    <w:next w:val="Normal"/>
    <w:autoRedefine/>
    <w:uiPriority w:val="39"/>
    <w:semiHidden/>
    <w:unhideWhenUsed/>
    <w:rsid w:val="00321F1A"/>
    <w:pPr>
      <w:spacing w:after="100"/>
      <w:ind w:left="1540"/>
    </w:pPr>
  </w:style>
  <w:style w:type="paragraph" w:styleId="TOC9">
    <w:name w:val="toc 9"/>
    <w:basedOn w:val="Normal"/>
    <w:next w:val="Normal"/>
    <w:autoRedefine/>
    <w:uiPriority w:val="39"/>
    <w:semiHidden/>
    <w:unhideWhenUsed/>
    <w:rsid w:val="00321F1A"/>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acq.osd.mil/dpap/pdi/pc/policy_documents.html" TargetMode="Externa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yperlink" Target="http://www.desc.dla.mil/DCM/DCMPage.asp?pageid=28"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bp.dau.mil/docs/BBP%202-0%20Competition%20Guidelines%20(Published%2022%20Aug%202014).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desc.dla.mil/DCM/DCMPage.asp?pageid=41" TargetMode="External"/><Relationship Id="rId10" Type="http://schemas.openxmlformats.org/officeDocument/2006/relationships/hyperlink" Target="http://www.acq.osd.mil/dpap/pacc/cc/international_operations.html"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acq.osd.mil/dpap/pacc/cc/domestic_emergencies.html" TargetMode="External"/><Relationship Id="rId14" Type="http://schemas.openxmlformats.org/officeDocument/2006/relationships/hyperlink" Target="http://www.desc.dla.mil/DCM/Files/CPMPOCs060220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1254</Words>
  <Characters>7149</Characters>
  <Application>Microsoft Office Word</Application>
  <DocSecurity>0</DocSecurity>
  <Lines>59</Lines>
  <Paragraphs>16</Paragraphs>
  <ScaleCrop>false</ScaleCrop>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2020-04-10T16:53:00Z</dcterms:created>
  <dcterms:modified xsi:type="dcterms:W3CDTF">2020-04-14T15:22:00Z</dcterms:modified>
</cp:coreProperties>
</file>