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6D2DF9" w14:textId="77777777" w:rsidR="00425286" w:rsidRDefault="00425286">
      <w:pPr>
        <w:sectPr w:rsidR="00425286">
          <w:pgSz w:w="12240" w:h="15840"/>
          <w:pgMar w:top="1440" w:right="1440" w:bottom="1440" w:left="1440" w:header="720" w:footer="720" w:gutter="0"/>
          <w:cols w:space="720"/>
          <w:docGrid w:linePitch="360"/>
        </w:sectPr>
      </w:pPr>
    </w:p>
    <w:p w14:paraId="3E899308" w14:textId="77777777" w:rsidR="00425286" w:rsidRDefault="00425286" w:rsidP="00BB772B">
      <w:pPr>
        <w:pStyle w:val="Heading1"/>
      </w:pPr>
      <w:bookmarkStart w:id="0" w:name="_Toc37677408"/>
      <w:bookmarkStart w:id="1" w:name="_Toc37755744"/>
      <w:r>
        <w:lastRenderedPageBreak/>
        <w:t xml:space="preserve">PGI </w:t>
      </w:r>
      <w:r w:rsidRPr="007B495C">
        <w:t>PART 2</w:t>
      </w:r>
      <w:r>
        <w:t>16</w:t>
      </w:r>
      <w:r w:rsidRPr="007B495C">
        <w:t xml:space="preserve"> - </w:t>
      </w:r>
      <w:r>
        <w:br/>
      </w:r>
      <w:r w:rsidRPr="004073B0">
        <w:t>TYPES OF CONTRACTS</w:t>
      </w:r>
      <w:bookmarkEnd w:id="0"/>
      <w:bookmarkEnd w:id="1"/>
    </w:p>
    <w:p w14:paraId="3EDA7133" w14:textId="77777777" w:rsidR="00425286" w:rsidRDefault="00425286">
      <w:r>
        <w:br w:type="page"/>
      </w:r>
      <w:r>
        <w:lastRenderedPageBreak/>
        <w:br/>
      </w:r>
    </w:p>
    <w:p w14:paraId="5D357C74" w14:textId="77777777" w:rsidR="00B06A06" w:rsidRPr="00021AEC" w:rsidRDefault="00B06A06" w:rsidP="00021AEC">
      <w:pPr>
        <w:jc w:val="center"/>
        <w:rPr>
          <w:b/>
        </w:rPr>
      </w:pPr>
      <w:r w:rsidRPr="00021AEC">
        <w:rPr>
          <w:b/>
        </w:rPr>
        <w:t>Table of Contents</w:t>
      </w:r>
    </w:p>
    <w:p w14:paraId="0EE41FD4" w14:textId="6A30D440" w:rsidR="0093600A" w:rsidRDefault="0093600A" w:rsidP="0093600A">
      <w:pPr>
        <w:pStyle w:val="TOC1"/>
        <w:tabs>
          <w:tab w:val="right" w:leader="dot" w:pos="9350"/>
        </w:tabs>
        <w:rPr>
          <w:rFonts w:asciiTheme="minorHAnsi" w:eastAsiaTheme="minorEastAsia" w:hAnsiTheme="minorHAnsi" w:cstheme="minorBidi"/>
          <w:noProof/>
        </w:rPr>
      </w:pPr>
      <w:r>
        <w:rPr>
          <w:rStyle w:val="Hyperlink"/>
          <w:b/>
          <w:noProof/>
        </w:rPr>
        <w:fldChar w:fldCharType="begin"/>
      </w:r>
      <w:r>
        <w:rPr>
          <w:rStyle w:val="Hyperlink"/>
          <w:b/>
          <w:noProof/>
        </w:rPr>
        <w:instrText xml:space="preserve"> TOC \o "1-4" \n \h \z \u </w:instrText>
      </w:r>
      <w:r>
        <w:rPr>
          <w:rStyle w:val="Hyperlink"/>
          <w:b/>
          <w:noProof/>
        </w:rPr>
        <w:fldChar w:fldCharType="separate"/>
      </w:r>
      <w:hyperlink w:anchor="_Toc37755744" w:history="1">
        <w:r w:rsidRPr="00D176E9">
          <w:rPr>
            <w:rStyle w:val="Hyperlink"/>
            <w:noProof/>
          </w:rPr>
          <w:t>PGI PART 216 -  TYPES OF CONTRACTS</w:t>
        </w:r>
      </w:hyperlink>
    </w:p>
    <w:p w14:paraId="60A5CD79" w14:textId="63C2F7E4" w:rsidR="0093600A" w:rsidRDefault="0093600A" w:rsidP="0093600A">
      <w:pPr>
        <w:pStyle w:val="TOC2"/>
        <w:tabs>
          <w:tab w:val="right" w:leader="dot" w:pos="9350"/>
        </w:tabs>
        <w:rPr>
          <w:rFonts w:asciiTheme="minorHAnsi" w:eastAsiaTheme="minorEastAsia" w:hAnsiTheme="minorHAnsi" w:cstheme="minorBidi"/>
          <w:noProof/>
        </w:rPr>
      </w:pPr>
      <w:hyperlink w:anchor="_Toc37755745" w:history="1">
        <w:r w:rsidRPr="00D176E9">
          <w:rPr>
            <w:rStyle w:val="Hyperlink"/>
            <w:caps/>
            <w:noProof/>
          </w:rPr>
          <w:t>PGI 216.1—selecting contract types</w:t>
        </w:r>
      </w:hyperlink>
    </w:p>
    <w:p w14:paraId="53C88368" w14:textId="0621B3B0" w:rsidR="0093600A" w:rsidRDefault="0093600A" w:rsidP="0093600A">
      <w:pPr>
        <w:pStyle w:val="TOC3"/>
        <w:tabs>
          <w:tab w:val="right" w:leader="dot" w:pos="9350"/>
        </w:tabs>
        <w:rPr>
          <w:rFonts w:asciiTheme="minorHAnsi" w:eastAsiaTheme="minorEastAsia" w:hAnsiTheme="minorHAnsi" w:cstheme="minorBidi"/>
          <w:noProof/>
        </w:rPr>
      </w:pPr>
      <w:hyperlink w:anchor="_Toc37755746" w:history="1">
        <w:r w:rsidRPr="00D176E9">
          <w:rPr>
            <w:rStyle w:val="Hyperlink"/>
            <w:noProof/>
            <w:spacing w:val="-5"/>
            <w:kern w:val="20"/>
          </w:rPr>
          <w:t>PGI 216.104  Factors in selecting contract type.</w:t>
        </w:r>
      </w:hyperlink>
    </w:p>
    <w:p w14:paraId="4E660E90" w14:textId="068BC5DA" w:rsidR="0093600A" w:rsidRDefault="0093600A" w:rsidP="0093600A">
      <w:pPr>
        <w:pStyle w:val="TOC4"/>
        <w:tabs>
          <w:tab w:val="right" w:leader="dot" w:pos="9350"/>
        </w:tabs>
        <w:rPr>
          <w:rFonts w:asciiTheme="minorHAnsi" w:eastAsiaTheme="minorEastAsia" w:hAnsiTheme="minorHAnsi" w:cstheme="minorBidi"/>
          <w:noProof/>
        </w:rPr>
      </w:pPr>
      <w:hyperlink w:anchor="_Toc37755747" w:history="1">
        <w:r w:rsidRPr="00D176E9">
          <w:rPr>
            <w:rStyle w:val="Hyperlink"/>
            <w:b/>
            <w:noProof/>
          </w:rPr>
          <w:t>PGI 216.104-70  Research and development.</w:t>
        </w:r>
      </w:hyperlink>
    </w:p>
    <w:p w14:paraId="3C4985BA" w14:textId="0687E25E" w:rsidR="0093600A" w:rsidRDefault="0093600A" w:rsidP="0093600A">
      <w:pPr>
        <w:pStyle w:val="TOC2"/>
        <w:tabs>
          <w:tab w:val="right" w:leader="dot" w:pos="9350"/>
        </w:tabs>
        <w:rPr>
          <w:rFonts w:asciiTheme="minorHAnsi" w:eastAsiaTheme="minorEastAsia" w:hAnsiTheme="minorHAnsi" w:cstheme="minorBidi"/>
          <w:noProof/>
        </w:rPr>
      </w:pPr>
      <w:hyperlink w:anchor="_Toc37755748" w:history="1">
        <w:r w:rsidRPr="00D176E9">
          <w:rPr>
            <w:rStyle w:val="Hyperlink"/>
            <w:noProof/>
          </w:rPr>
          <w:t>PGI 216.2—FIXED-PRICE CONTRACTS</w:t>
        </w:r>
      </w:hyperlink>
    </w:p>
    <w:p w14:paraId="6B9BFB1F" w14:textId="7C6E97BF" w:rsidR="0093600A" w:rsidRDefault="0093600A" w:rsidP="0093600A">
      <w:pPr>
        <w:pStyle w:val="TOC3"/>
        <w:tabs>
          <w:tab w:val="right" w:leader="dot" w:pos="9350"/>
        </w:tabs>
        <w:rPr>
          <w:rFonts w:asciiTheme="minorHAnsi" w:eastAsiaTheme="minorEastAsia" w:hAnsiTheme="minorHAnsi" w:cstheme="minorBidi"/>
          <w:noProof/>
        </w:rPr>
      </w:pPr>
      <w:hyperlink w:anchor="_Toc37755749" w:history="1">
        <w:r w:rsidRPr="00D176E9">
          <w:rPr>
            <w:rStyle w:val="Hyperlink"/>
            <w:b/>
            <w:noProof/>
          </w:rPr>
          <w:t>PGI 216.203  Fixed-price contracts with economic price adjustment.</w:t>
        </w:r>
      </w:hyperlink>
    </w:p>
    <w:p w14:paraId="59FDCA33" w14:textId="24AAECF4" w:rsidR="0093600A" w:rsidRDefault="0093600A" w:rsidP="0093600A">
      <w:pPr>
        <w:pStyle w:val="TOC4"/>
        <w:tabs>
          <w:tab w:val="right" w:leader="dot" w:pos="9350"/>
        </w:tabs>
        <w:rPr>
          <w:rFonts w:asciiTheme="minorHAnsi" w:eastAsiaTheme="minorEastAsia" w:hAnsiTheme="minorHAnsi" w:cstheme="minorBidi"/>
          <w:noProof/>
        </w:rPr>
      </w:pPr>
      <w:hyperlink w:anchor="_Toc37755750" w:history="1">
        <w:r w:rsidRPr="00D176E9">
          <w:rPr>
            <w:rStyle w:val="Hyperlink"/>
            <w:b/>
            <w:noProof/>
          </w:rPr>
          <w:t>PGI 216.203-4  Contract clauses.</w:t>
        </w:r>
      </w:hyperlink>
    </w:p>
    <w:p w14:paraId="7842DCC4" w14:textId="5E6F432D" w:rsidR="0093600A" w:rsidRDefault="0093600A" w:rsidP="0093600A">
      <w:pPr>
        <w:pStyle w:val="TOC2"/>
        <w:tabs>
          <w:tab w:val="right" w:leader="dot" w:pos="9350"/>
        </w:tabs>
        <w:rPr>
          <w:rFonts w:asciiTheme="minorHAnsi" w:eastAsiaTheme="minorEastAsia" w:hAnsiTheme="minorHAnsi" w:cstheme="minorBidi"/>
          <w:noProof/>
        </w:rPr>
      </w:pPr>
      <w:hyperlink w:anchor="_Toc37755751" w:history="1">
        <w:r w:rsidRPr="00D176E9">
          <w:rPr>
            <w:rStyle w:val="Hyperlink"/>
            <w:noProof/>
          </w:rPr>
          <w:t>PGI 216.4—INCENTIVE CONTRACTS</w:t>
        </w:r>
      </w:hyperlink>
    </w:p>
    <w:p w14:paraId="381C4E07" w14:textId="2235A35C" w:rsidR="0093600A" w:rsidRDefault="0093600A" w:rsidP="0093600A">
      <w:pPr>
        <w:pStyle w:val="TOC3"/>
        <w:tabs>
          <w:tab w:val="right" w:leader="dot" w:pos="9350"/>
        </w:tabs>
        <w:rPr>
          <w:rFonts w:asciiTheme="minorHAnsi" w:eastAsiaTheme="minorEastAsia" w:hAnsiTheme="minorHAnsi" w:cstheme="minorBidi"/>
          <w:noProof/>
        </w:rPr>
      </w:pPr>
      <w:hyperlink w:anchor="_Toc37755752" w:history="1">
        <w:r w:rsidRPr="00D176E9">
          <w:rPr>
            <w:rStyle w:val="Hyperlink"/>
            <w:b/>
            <w:noProof/>
          </w:rPr>
          <w:t>PGI 216.401  General.</w:t>
        </w:r>
      </w:hyperlink>
    </w:p>
    <w:p w14:paraId="30EA4214" w14:textId="770BB4CE" w:rsidR="0093600A" w:rsidRDefault="0093600A" w:rsidP="0093600A">
      <w:pPr>
        <w:pStyle w:val="TOC3"/>
        <w:tabs>
          <w:tab w:val="right" w:leader="dot" w:pos="9350"/>
        </w:tabs>
        <w:rPr>
          <w:rFonts w:asciiTheme="minorHAnsi" w:eastAsiaTheme="minorEastAsia" w:hAnsiTheme="minorHAnsi" w:cstheme="minorBidi"/>
          <w:noProof/>
        </w:rPr>
      </w:pPr>
      <w:hyperlink w:anchor="_Toc37755753" w:history="1">
        <w:r w:rsidRPr="00D176E9">
          <w:rPr>
            <w:rStyle w:val="Hyperlink"/>
            <w:b/>
            <w:noProof/>
          </w:rPr>
          <w:t>PGI 216.402  Application of predetermined, formula-type incentives.</w:t>
        </w:r>
      </w:hyperlink>
    </w:p>
    <w:p w14:paraId="25F5C372" w14:textId="666E99E5" w:rsidR="0093600A" w:rsidRDefault="0093600A" w:rsidP="0093600A">
      <w:pPr>
        <w:pStyle w:val="TOC4"/>
        <w:tabs>
          <w:tab w:val="right" w:leader="dot" w:pos="9350"/>
        </w:tabs>
        <w:rPr>
          <w:rFonts w:asciiTheme="minorHAnsi" w:eastAsiaTheme="minorEastAsia" w:hAnsiTheme="minorHAnsi" w:cstheme="minorBidi"/>
          <w:noProof/>
        </w:rPr>
      </w:pPr>
      <w:hyperlink w:anchor="_Toc37755754" w:history="1">
        <w:r w:rsidRPr="00D176E9">
          <w:rPr>
            <w:rStyle w:val="Hyperlink"/>
            <w:b/>
            <w:noProof/>
          </w:rPr>
          <w:t>PGI 216.402-2  Technical performance incentives.</w:t>
        </w:r>
      </w:hyperlink>
    </w:p>
    <w:p w14:paraId="6057BF82" w14:textId="3729DB66" w:rsidR="0093600A" w:rsidRDefault="0093600A" w:rsidP="0093600A">
      <w:pPr>
        <w:pStyle w:val="TOC3"/>
        <w:tabs>
          <w:tab w:val="right" w:leader="dot" w:pos="9350"/>
        </w:tabs>
        <w:rPr>
          <w:rFonts w:asciiTheme="minorHAnsi" w:eastAsiaTheme="minorEastAsia" w:hAnsiTheme="minorHAnsi" w:cstheme="minorBidi"/>
          <w:noProof/>
        </w:rPr>
      </w:pPr>
      <w:hyperlink w:anchor="_Toc37755755" w:history="1">
        <w:r w:rsidRPr="00D176E9">
          <w:rPr>
            <w:rStyle w:val="Hyperlink"/>
            <w:b/>
            <w:noProof/>
          </w:rPr>
          <w:t>PGI 216.403  Fixed-price incentive contracts.</w:t>
        </w:r>
      </w:hyperlink>
    </w:p>
    <w:p w14:paraId="215AC8ED" w14:textId="39537A27" w:rsidR="0093600A" w:rsidRDefault="0093600A" w:rsidP="0093600A">
      <w:pPr>
        <w:pStyle w:val="TOC4"/>
        <w:tabs>
          <w:tab w:val="right" w:leader="dot" w:pos="9350"/>
        </w:tabs>
        <w:rPr>
          <w:rFonts w:asciiTheme="minorHAnsi" w:eastAsiaTheme="minorEastAsia" w:hAnsiTheme="minorHAnsi" w:cstheme="minorBidi"/>
          <w:noProof/>
        </w:rPr>
      </w:pPr>
      <w:hyperlink w:anchor="_Toc37755756" w:history="1">
        <w:r w:rsidRPr="00D176E9">
          <w:rPr>
            <w:rStyle w:val="Hyperlink"/>
            <w:b/>
            <w:noProof/>
          </w:rPr>
          <w:t>PGI 216.403-1  Fixed-price incentive (firm target) contracts.</w:t>
        </w:r>
      </w:hyperlink>
    </w:p>
    <w:p w14:paraId="32DAF8C0" w14:textId="618A2AC4" w:rsidR="0093600A" w:rsidRDefault="0093600A" w:rsidP="0093600A">
      <w:pPr>
        <w:pStyle w:val="TOC4"/>
        <w:tabs>
          <w:tab w:val="right" w:leader="dot" w:pos="9350"/>
        </w:tabs>
        <w:rPr>
          <w:rFonts w:asciiTheme="minorHAnsi" w:eastAsiaTheme="minorEastAsia" w:hAnsiTheme="minorHAnsi" w:cstheme="minorBidi"/>
          <w:noProof/>
        </w:rPr>
      </w:pPr>
      <w:hyperlink w:anchor="_Toc37755757" w:history="1">
        <w:r w:rsidRPr="00D176E9">
          <w:rPr>
            <w:rStyle w:val="Hyperlink"/>
            <w:b/>
            <w:noProof/>
          </w:rPr>
          <w:t>PGI 216.403-2  Fixed-price incentive (successive targets) contracts.</w:t>
        </w:r>
      </w:hyperlink>
    </w:p>
    <w:p w14:paraId="1585B0A0" w14:textId="2E155B9B" w:rsidR="0093600A" w:rsidRDefault="0093600A" w:rsidP="0093600A">
      <w:pPr>
        <w:pStyle w:val="TOC3"/>
        <w:tabs>
          <w:tab w:val="right" w:leader="dot" w:pos="9350"/>
        </w:tabs>
        <w:rPr>
          <w:rFonts w:asciiTheme="minorHAnsi" w:eastAsiaTheme="minorEastAsia" w:hAnsiTheme="minorHAnsi" w:cstheme="minorBidi"/>
          <w:noProof/>
        </w:rPr>
      </w:pPr>
      <w:hyperlink w:anchor="_Toc37755758" w:history="1">
        <w:r w:rsidRPr="00D176E9">
          <w:rPr>
            <w:rStyle w:val="Hyperlink"/>
            <w:b/>
            <w:noProof/>
          </w:rPr>
          <w:t>PGI 216.405  Cost-reimbursement incentive contracts.</w:t>
        </w:r>
      </w:hyperlink>
    </w:p>
    <w:p w14:paraId="44D5998E" w14:textId="25988E57" w:rsidR="0093600A" w:rsidRDefault="0093600A" w:rsidP="0093600A">
      <w:pPr>
        <w:pStyle w:val="TOC4"/>
        <w:tabs>
          <w:tab w:val="right" w:leader="dot" w:pos="9350"/>
        </w:tabs>
        <w:rPr>
          <w:rFonts w:asciiTheme="minorHAnsi" w:eastAsiaTheme="minorEastAsia" w:hAnsiTheme="minorHAnsi" w:cstheme="minorBidi"/>
          <w:noProof/>
        </w:rPr>
      </w:pPr>
      <w:hyperlink w:anchor="_Toc37755759" w:history="1">
        <w:r w:rsidRPr="00D176E9">
          <w:rPr>
            <w:rStyle w:val="Hyperlink"/>
            <w:b/>
            <w:noProof/>
          </w:rPr>
          <w:t>PGI 216.405-1  Cost-plus-incentive-fee contracts.</w:t>
        </w:r>
      </w:hyperlink>
    </w:p>
    <w:p w14:paraId="5170B59A" w14:textId="5D73FA08" w:rsidR="0093600A" w:rsidRDefault="0093600A" w:rsidP="0093600A">
      <w:pPr>
        <w:pStyle w:val="TOC4"/>
        <w:tabs>
          <w:tab w:val="right" w:leader="dot" w:pos="9350"/>
        </w:tabs>
        <w:rPr>
          <w:rFonts w:asciiTheme="minorHAnsi" w:eastAsiaTheme="minorEastAsia" w:hAnsiTheme="minorHAnsi" w:cstheme="minorBidi"/>
          <w:noProof/>
        </w:rPr>
      </w:pPr>
      <w:hyperlink w:anchor="_Toc37755760" w:history="1">
        <w:r w:rsidRPr="00D176E9">
          <w:rPr>
            <w:rStyle w:val="Hyperlink"/>
            <w:b/>
            <w:noProof/>
          </w:rPr>
          <w:t>PGI 216.405-2  Cost-plus-award-fee contracts.</w:t>
        </w:r>
      </w:hyperlink>
    </w:p>
    <w:p w14:paraId="6BF3A6B1" w14:textId="0D3999B4" w:rsidR="0093600A" w:rsidRDefault="0093600A" w:rsidP="0093600A">
      <w:pPr>
        <w:pStyle w:val="TOC3"/>
        <w:tabs>
          <w:tab w:val="right" w:leader="dot" w:pos="9350"/>
        </w:tabs>
        <w:rPr>
          <w:rFonts w:asciiTheme="minorHAnsi" w:eastAsiaTheme="minorEastAsia" w:hAnsiTheme="minorHAnsi" w:cstheme="minorBidi"/>
          <w:noProof/>
        </w:rPr>
      </w:pPr>
      <w:hyperlink w:anchor="_Toc37755761" w:history="1">
        <w:r w:rsidRPr="00D176E9">
          <w:rPr>
            <w:rStyle w:val="Hyperlink"/>
            <w:b/>
            <w:noProof/>
          </w:rPr>
          <w:t>PGI 216.470  Other applications of award fees.</w:t>
        </w:r>
      </w:hyperlink>
    </w:p>
    <w:p w14:paraId="7D4EB4A8" w14:textId="6EC5EB5B" w:rsidR="0093600A" w:rsidRDefault="0093600A" w:rsidP="0093600A">
      <w:pPr>
        <w:pStyle w:val="TOC3"/>
        <w:tabs>
          <w:tab w:val="right" w:leader="dot" w:pos="9350"/>
        </w:tabs>
        <w:rPr>
          <w:rFonts w:asciiTheme="minorHAnsi" w:eastAsiaTheme="minorEastAsia" w:hAnsiTheme="minorHAnsi" w:cstheme="minorBidi"/>
          <w:noProof/>
        </w:rPr>
      </w:pPr>
      <w:hyperlink w:anchor="_Toc37755762" w:history="1">
        <w:r w:rsidRPr="00D176E9">
          <w:rPr>
            <w:rStyle w:val="Hyperlink"/>
            <w:b/>
            <w:noProof/>
          </w:rPr>
          <w:t>PGI 216.5  INDEFINITE-DELIVERY CONTRACTS</w:t>
        </w:r>
      </w:hyperlink>
    </w:p>
    <w:p w14:paraId="4F7581A6" w14:textId="53AFA389" w:rsidR="0093600A" w:rsidRDefault="0093600A" w:rsidP="0093600A">
      <w:pPr>
        <w:pStyle w:val="TOC4"/>
        <w:tabs>
          <w:tab w:val="right" w:leader="dot" w:pos="9350"/>
        </w:tabs>
        <w:rPr>
          <w:rFonts w:asciiTheme="minorHAnsi" w:eastAsiaTheme="minorEastAsia" w:hAnsiTheme="minorHAnsi" w:cstheme="minorBidi"/>
          <w:noProof/>
        </w:rPr>
      </w:pPr>
      <w:hyperlink w:anchor="_Toc37755763" w:history="1">
        <w:r w:rsidRPr="00D176E9">
          <w:rPr>
            <w:rStyle w:val="Hyperlink"/>
            <w:b/>
            <w:noProof/>
            <w:lang w:val="en"/>
          </w:rPr>
          <w:t>PGI 216.505-70  Orders under multiple</w:t>
        </w:r>
        <w:r w:rsidRPr="00D176E9">
          <w:rPr>
            <w:rStyle w:val="Hyperlink"/>
            <w:b/>
            <w:bCs/>
            <w:noProof/>
          </w:rPr>
          <w:t>-</w:t>
        </w:r>
        <w:r w:rsidRPr="00D176E9">
          <w:rPr>
            <w:rStyle w:val="Hyperlink"/>
            <w:b/>
            <w:noProof/>
            <w:lang w:val="en"/>
          </w:rPr>
          <w:t>award contracts.</w:t>
        </w:r>
      </w:hyperlink>
    </w:p>
    <w:p w14:paraId="69FB9771" w14:textId="69DF73B6" w:rsidR="0093600A" w:rsidRDefault="0093600A" w:rsidP="0093600A">
      <w:pPr>
        <w:pStyle w:val="TOC2"/>
        <w:tabs>
          <w:tab w:val="right" w:leader="dot" w:pos="9350"/>
        </w:tabs>
        <w:rPr>
          <w:rFonts w:asciiTheme="minorHAnsi" w:eastAsiaTheme="minorEastAsia" w:hAnsiTheme="minorHAnsi" w:cstheme="minorBidi"/>
          <w:noProof/>
        </w:rPr>
      </w:pPr>
      <w:hyperlink w:anchor="_Toc37755764" w:history="1">
        <w:r w:rsidRPr="00D176E9">
          <w:rPr>
            <w:rStyle w:val="Hyperlink"/>
            <w:caps/>
            <w:noProof/>
          </w:rPr>
          <w:t>PGI 216.7—agreements</w:t>
        </w:r>
      </w:hyperlink>
    </w:p>
    <w:p w14:paraId="73EDB798" w14:textId="53CDEA21" w:rsidR="0093600A" w:rsidRDefault="0093600A" w:rsidP="0093600A">
      <w:pPr>
        <w:pStyle w:val="TOC3"/>
        <w:tabs>
          <w:tab w:val="right" w:leader="dot" w:pos="9350"/>
        </w:tabs>
        <w:rPr>
          <w:rFonts w:asciiTheme="minorHAnsi" w:eastAsiaTheme="minorEastAsia" w:hAnsiTheme="minorHAnsi" w:cstheme="minorBidi"/>
          <w:noProof/>
        </w:rPr>
      </w:pPr>
      <w:hyperlink w:anchor="_Toc37755765" w:history="1">
        <w:r w:rsidRPr="00D176E9">
          <w:rPr>
            <w:rStyle w:val="Hyperlink"/>
            <w:b/>
            <w:noProof/>
          </w:rPr>
          <w:t>PGI 216.703  Basic ordering agreements.</w:t>
        </w:r>
      </w:hyperlink>
    </w:p>
    <w:p w14:paraId="39B9B8BF" w14:textId="01A9317E" w:rsidR="00425286" w:rsidRPr="00425286" w:rsidRDefault="0093600A" w:rsidP="00425286">
      <w:r>
        <w:rPr>
          <w:rStyle w:val="Hyperlink"/>
          <w:b/>
          <w:noProof/>
        </w:rPr>
        <w:lastRenderedPageBreak/>
        <w:fldChar w:fldCharType="end"/>
      </w:r>
    </w:p>
    <w:p w14:paraId="24F13A86" w14:textId="77777777" w:rsidR="00425286" w:rsidRDefault="00425286" w:rsidP="00C92D9E">
      <w:pPr>
        <w:jc w:val="center"/>
      </w:pPr>
      <w:r>
        <w:rPr>
          <w:i/>
          <w:szCs w:val="24"/>
        </w:rPr>
        <w:t>(Revised May 10, 2016</w:t>
      </w:r>
      <w:r w:rsidRPr="000220FE">
        <w:rPr>
          <w:i/>
          <w:szCs w:val="24"/>
        </w:rPr>
        <w:t>)</w:t>
      </w:r>
    </w:p>
    <w:p w14:paraId="555EF6ED" w14:textId="77777777" w:rsidR="00425286" w:rsidRDefault="00425286" w:rsidP="00C92D9E">
      <w:pPr>
        <w:pStyle w:val="Heading2"/>
      </w:pPr>
      <w:r>
        <w:rPr>
          <w:i/>
          <w:szCs w:val="24"/>
        </w:rPr>
        <w:br/>
      </w:r>
      <w:bookmarkStart w:id="2" w:name="_Toc37415669"/>
      <w:bookmarkStart w:id="3" w:name="_Toc37677409"/>
      <w:bookmarkStart w:id="4" w:name="BM216_1"/>
      <w:bookmarkStart w:id="5" w:name="_Toc37755745"/>
      <w:r w:rsidRPr="000220FE">
        <w:rPr>
          <w:caps/>
          <w:szCs w:val="24"/>
        </w:rPr>
        <w:t>PGI 216.1</w:t>
      </w:r>
      <w:r>
        <w:rPr>
          <w:caps/>
          <w:szCs w:val="24"/>
        </w:rPr>
        <w:t>—</w:t>
      </w:r>
      <w:r w:rsidRPr="000220FE">
        <w:rPr>
          <w:caps/>
          <w:szCs w:val="24"/>
        </w:rPr>
        <w:t>selecting contract types</w:t>
      </w:r>
      <w:bookmarkEnd w:id="2"/>
      <w:bookmarkEnd w:id="3"/>
      <w:bookmarkEnd w:id="5"/>
    </w:p>
    <w:p w14:paraId="3733D08B" w14:textId="77777777" w:rsidR="00425286" w:rsidRPr="00680196" w:rsidRDefault="00425286" w:rsidP="00C92D9E">
      <w:pPr>
        <w:pStyle w:val="Heading3"/>
      </w:pPr>
      <w:r>
        <w:rPr>
          <w:b/>
          <w:caps/>
          <w:szCs w:val="24"/>
        </w:rPr>
        <w:br/>
      </w:r>
      <w:bookmarkStart w:id="6" w:name="_Toc37415670"/>
      <w:bookmarkStart w:id="7" w:name="_Toc37677410"/>
      <w:bookmarkStart w:id="8" w:name="_Toc37755746"/>
      <w:r>
        <w:rPr>
          <w:spacing w:val="-5"/>
          <w:kern w:val="20"/>
        </w:rPr>
        <w:t xml:space="preserve">PGI </w:t>
      </w:r>
      <w:proofErr w:type="gramStart"/>
      <w:r w:rsidRPr="00680196">
        <w:rPr>
          <w:spacing w:val="-5"/>
          <w:kern w:val="20"/>
        </w:rPr>
        <w:t>216.104  Factors</w:t>
      </w:r>
      <w:proofErr w:type="gramEnd"/>
      <w:r w:rsidRPr="00680196">
        <w:rPr>
          <w:spacing w:val="-5"/>
          <w:kern w:val="20"/>
        </w:rPr>
        <w:t xml:space="preserve"> in selecting contract type.</w:t>
      </w:r>
      <w:bookmarkEnd w:id="6"/>
      <w:bookmarkEnd w:id="7"/>
      <w:bookmarkEnd w:id="8"/>
    </w:p>
    <w:p w14:paraId="59D4344B" w14:textId="77777777" w:rsidR="00425286" w:rsidRDefault="00425286" w:rsidP="00C92D9E">
      <w:pPr>
        <w:rPr>
          <w:b/>
        </w:rPr>
      </w:pPr>
      <w:r>
        <w:t>See the policy tab for</w:t>
      </w:r>
      <w:r w:rsidRPr="00680196">
        <w:t xml:space="preserve"> Director, Defense Procurement and Acquisition Policy memorandum dated April 1, 2016, entitled “</w:t>
      </w:r>
      <w:hyperlink r:id="rId6" w:history="1">
        <w:r w:rsidRPr="00A31FAB">
          <w:rPr>
            <w:rStyle w:val="Hyperlink"/>
            <w:spacing w:val="-5"/>
            <w:kern w:val="20"/>
          </w:rPr>
          <w:t>Guidance on Using Incentive and Other Contract Types</w:t>
        </w:r>
      </w:hyperlink>
      <w:r w:rsidRPr="00680196">
        <w:t>,” when selecting and negotiating the most appropriate contract</w:t>
      </w:r>
      <w:r>
        <w:t xml:space="preserve"> type for a given procurement.</w:t>
      </w:r>
    </w:p>
    <w:p w14:paraId="3CE70C3F" w14:textId="77777777" w:rsidR="00425286" w:rsidRDefault="00425286" w:rsidP="00C92D9E">
      <w:pPr>
        <w:pStyle w:val="Heading4"/>
      </w:pPr>
      <w:r>
        <w:rPr>
          <w:b/>
          <w:spacing w:val="-5"/>
          <w:kern w:val="20"/>
        </w:rPr>
        <w:br/>
      </w:r>
      <w:bookmarkStart w:id="9" w:name="_Toc37677411"/>
      <w:bookmarkStart w:id="10" w:name="_Toc37755747"/>
      <w:r w:rsidRPr="000220FE">
        <w:rPr>
          <w:b/>
        </w:rPr>
        <w:t>PGI 216.104-</w:t>
      </w:r>
      <w:proofErr w:type="gramStart"/>
      <w:r w:rsidRPr="000220FE">
        <w:rPr>
          <w:b/>
        </w:rPr>
        <w:t>70</w:t>
      </w:r>
      <w:r>
        <w:rPr>
          <w:b/>
        </w:rPr>
        <w:t xml:space="preserve">  </w:t>
      </w:r>
      <w:r w:rsidRPr="000220FE">
        <w:rPr>
          <w:b/>
        </w:rPr>
        <w:t>Research</w:t>
      </w:r>
      <w:proofErr w:type="gramEnd"/>
      <w:r w:rsidRPr="000220FE">
        <w:rPr>
          <w:b/>
        </w:rPr>
        <w:t xml:space="preserve"> and development.</w:t>
      </w:r>
      <w:bookmarkEnd w:id="9"/>
      <w:bookmarkEnd w:id="10"/>
    </w:p>
    <w:p w14:paraId="06CD8F0D" w14:textId="77777777" w:rsidR="00425286" w:rsidRDefault="00425286" w:rsidP="00C92D9E">
      <w:pPr>
        <w:pStyle w:val="List2"/>
      </w:pPr>
      <w:r>
        <w:rPr>
          <w:b/>
          <w:szCs w:val="24"/>
        </w:rPr>
        <w:br/>
      </w:r>
      <w:r w:rsidRPr="000220FE">
        <w:rPr>
          <w:szCs w:val="24"/>
        </w:rPr>
        <w:t xml:space="preserve">(1)  </w:t>
      </w:r>
      <w:r w:rsidRPr="000220FE">
        <w:rPr>
          <w:i/>
          <w:szCs w:val="24"/>
        </w:rPr>
        <w:t>General</w:t>
      </w:r>
      <w:r w:rsidRPr="000220FE">
        <w:rPr>
          <w:szCs w:val="24"/>
        </w:rPr>
        <w:t xml:space="preserve">.  There are several categories of research and development (R&amp;D) contracts:  research, exploratory development, advanced development, engineering development, and operational systems development (see DFARS </w:t>
      </w:r>
      <w:hyperlink r:id="rId7" w:anchor="235.001" w:history="1">
        <w:r w:rsidRPr="00A31FAB">
          <w:rPr>
            <w:rStyle w:val="Hyperlink"/>
            <w:szCs w:val="24"/>
          </w:rPr>
          <w:t>235.001</w:t>
        </w:r>
      </w:hyperlink>
      <w:r w:rsidRPr="000220FE">
        <w:rPr>
          <w:szCs w:val="24"/>
        </w:rPr>
        <w:t xml:space="preserve"> for definitions).  Each category has a primary technical or functional objective.  Different parts of a project may fit several categories.  The contract type must fit the work required, not just the classification of the overall program.</w:t>
      </w:r>
    </w:p>
    <w:p w14:paraId="16F5A81D" w14:textId="77777777" w:rsidR="00425286" w:rsidRDefault="00425286" w:rsidP="00C92D9E">
      <w:pPr>
        <w:pStyle w:val="List2"/>
      </w:pPr>
      <w:r>
        <w:rPr>
          <w:szCs w:val="24"/>
        </w:rPr>
        <w:br/>
      </w:r>
      <w:r w:rsidRPr="000220FE">
        <w:rPr>
          <w:szCs w:val="24"/>
        </w:rPr>
        <w:t xml:space="preserve">(2)  </w:t>
      </w:r>
      <w:r w:rsidRPr="000220FE">
        <w:rPr>
          <w:i/>
          <w:szCs w:val="24"/>
        </w:rPr>
        <w:t>Research and exploratory development</w:t>
      </w:r>
      <w:r w:rsidRPr="000220FE">
        <w:rPr>
          <w:szCs w:val="24"/>
        </w:rPr>
        <w:t>.</w:t>
      </w:r>
    </w:p>
    <w:p w14:paraId="693F1176" w14:textId="77777777" w:rsidR="00425286" w:rsidRDefault="00425286" w:rsidP="00186ADF">
      <w:pPr>
        <w:pStyle w:val="List3"/>
      </w:pPr>
      <w:r>
        <w:br/>
      </w:r>
      <w:r w:rsidRPr="000220FE">
        <w:t>(</w:t>
      </w:r>
      <w:proofErr w:type="spellStart"/>
      <w:r w:rsidRPr="000220FE">
        <w:t>i</w:t>
      </w:r>
      <w:proofErr w:type="spellEnd"/>
      <w:r w:rsidRPr="000220FE">
        <w:t>)  Price is not necessarily the primary factor in determining the contract type.</w:t>
      </w:r>
    </w:p>
    <w:p w14:paraId="338DCD29" w14:textId="77777777" w:rsidR="00425286" w:rsidRDefault="00425286" w:rsidP="00C92D9E">
      <w:pPr>
        <w:pStyle w:val="List3"/>
      </w:pPr>
      <w:r>
        <w:rPr>
          <w:szCs w:val="24"/>
        </w:rPr>
        <w:br/>
      </w:r>
      <w:r w:rsidRPr="000220FE">
        <w:rPr>
          <w:szCs w:val="24"/>
        </w:rPr>
        <w:t>(ii)  The nature of the work to be performed will usually result in a cost-plus award fee, cost-plus fixed fee term, cost-no-fee, or cost-sharing contract.</w:t>
      </w:r>
    </w:p>
    <w:p w14:paraId="620469F2" w14:textId="77777777" w:rsidR="00425286" w:rsidRDefault="00425286" w:rsidP="00C92D9E">
      <w:pPr>
        <w:pStyle w:val="List3"/>
      </w:pPr>
      <w:r>
        <w:rPr>
          <w:szCs w:val="24"/>
        </w:rPr>
        <w:br/>
      </w:r>
      <w:r w:rsidRPr="000220FE">
        <w:rPr>
          <w:szCs w:val="24"/>
        </w:rPr>
        <w:t xml:space="preserve">(iii)  If the Government and the contractor can identify and agree upon the level of contractor effort required, the contracting officer may select a firm fixed-price level-of-effort contract, except see DFARS </w:t>
      </w:r>
      <w:hyperlink r:id="rId8" w:anchor="235.006" w:history="1">
        <w:r w:rsidRPr="00A31FAB">
          <w:rPr>
            <w:rStyle w:val="Hyperlink"/>
            <w:szCs w:val="24"/>
          </w:rPr>
          <w:t>235.006</w:t>
        </w:r>
      </w:hyperlink>
      <w:r w:rsidRPr="000220FE">
        <w:rPr>
          <w:szCs w:val="24"/>
        </w:rPr>
        <w:t>.</w:t>
      </w:r>
    </w:p>
    <w:p w14:paraId="5E6150C3" w14:textId="77777777" w:rsidR="00425286" w:rsidRDefault="00425286" w:rsidP="00C92D9E">
      <w:pPr>
        <w:pStyle w:val="List3"/>
      </w:pPr>
      <w:r>
        <w:rPr>
          <w:szCs w:val="24"/>
        </w:rPr>
        <w:br/>
      </w:r>
      <w:r w:rsidRPr="000220FE">
        <w:rPr>
          <w:szCs w:val="24"/>
        </w:rPr>
        <w:t xml:space="preserve">(iv)  If the Government and the contractor agree that an incentive arrangement is </w:t>
      </w:r>
      <w:r w:rsidRPr="000220FE">
        <w:rPr>
          <w:szCs w:val="24"/>
        </w:rPr>
        <w:lastRenderedPageBreak/>
        <w:t>desirable and capable of being evaluated after completion of the work, the contracting officer may use an incentive type contract.</w:t>
      </w:r>
    </w:p>
    <w:p w14:paraId="56643F9A" w14:textId="77777777" w:rsidR="00425286" w:rsidRDefault="00425286" w:rsidP="00C92D9E">
      <w:pPr>
        <w:pStyle w:val="List2"/>
      </w:pPr>
      <w:r>
        <w:rPr>
          <w:szCs w:val="24"/>
        </w:rPr>
        <w:br/>
      </w:r>
      <w:r w:rsidRPr="000220FE">
        <w:rPr>
          <w:szCs w:val="24"/>
        </w:rPr>
        <w:t xml:space="preserve">(3)  </w:t>
      </w:r>
      <w:r w:rsidRPr="000220FE">
        <w:rPr>
          <w:i/>
          <w:szCs w:val="24"/>
        </w:rPr>
        <w:t>Advanced development</w:t>
      </w:r>
      <w:r w:rsidRPr="000220FE">
        <w:rPr>
          <w:szCs w:val="24"/>
        </w:rPr>
        <w:t>.</w:t>
      </w:r>
    </w:p>
    <w:p w14:paraId="5EE8CCF6" w14:textId="77777777" w:rsidR="00425286" w:rsidRDefault="00425286" w:rsidP="00186ADF">
      <w:pPr>
        <w:pStyle w:val="List3"/>
      </w:pPr>
      <w:r>
        <w:br/>
      </w:r>
      <w:r w:rsidRPr="000220FE">
        <w:t>(</w:t>
      </w:r>
      <w:proofErr w:type="spellStart"/>
      <w:r w:rsidRPr="000220FE">
        <w:t>i</w:t>
      </w:r>
      <w:proofErr w:type="spellEnd"/>
      <w:r w:rsidRPr="000220FE">
        <w:t>)  The nature of the work to be performed often results in a cost-plus fixed fee completion type contract.</w:t>
      </w:r>
    </w:p>
    <w:p w14:paraId="240BE74A" w14:textId="77777777" w:rsidR="00425286" w:rsidRDefault="00425286" w:rsidP="00C92D9E">
      <w:pPr>
        <w:pStyle w:val="List3"/>
      </w:pPr>
      <w:r>
        <w:rPr>
          <w:szCs w:val="24"/>
        </w:rPr>
        <w:br/>
      </w:r>
      <w:r w:rsidRPr="000220FE">
        <w:rPr>
          <w:szCs w:val="24"/>
        </w:rPr>
        <w:t>(ii)  Contracting officers may select incentive contracts if—</w:t>
      </w:r>
    </w:p>
    <w:p w14:paraId="77B4C743" w14:textId="77777777" w:rsidR="00425286" w:rsidRDefault="00425286" w:rsidP="00C92D9E">
      <w:pPr>
        <w:pStyle w:val="List4"/>
      </w:pPr>
      <w:r>
        <w:br/>
      </w:r>
      <w:r w:rsidRPr="000220FE">
        <w:t>(A)  Realistic and measurable targets are identified; and</w:t>
      </w:r>
    </w:p>
    <w:p w14:paraId="6D4D5D2F" w14:textId="77777777" w:rsidR="00425286" w:rsidRDefault="00425286" w:rsidP="00C92D9E">
      <w:pPr>
        <w:pStyle w:val="List4"/>
      </w:pPr>
      <w:r>
        <w:rPr>
          <w:szCs w:val="24"/>
        </w:rPr>
        <w:br/>
      </w:r>
      <w:r w:rsidRPr="000220FE">
        <w:rPr>
          <w:szCs w:val="24"/>
        </w:rPr>
        <w:t>(B)  Achievement of those targets is predictable with a reasonable degree of accuracy.</w:t>
      </w:r>
    </w:p>
    <w:p w14:paraId="4BFCBA0D" w14:textId="77777777" w:rsidR="00425286" w:rsidRDefault="00425286" w:rsidP="00C92D9E">
      <w:pPr>
        <w:pStyle w:val="List3"/>
      </w:pPr>
      <w:r>
        <w:rPr>
          <w:szCs w:val="24"/>
        </w:rPr>
        <w:br/>
      </w:r>
      <w:r w:rsidRPr="000220FE">
        <w:rPr>
          <w:szCs w:val="24"/>
        </w:rPr>
        <w:t>(iii)  Contracting officers should not use contracts with only cost incentives where—</w:t>
      </w:r>
    </w:p>
    <w:p w14:paraId="397A66CE" w14:textId="77777777" w:rsidR="00425286" w:rsidRDefault="00425286" w:rsidP="00C92D9E">
      <w:pPr>
        <w:pStyle w:val="List4"/>
      </w:pPr>
      <w:r>
        <w:rPr>
          <w:szCs w:val="24"/>
        </w:rPr>
        <w:br/>
      </w:r>
      <w:r w:rsidRPr="000220FE">
        <w:rPr>
          <w:szCs w:val="24"/>
        </w:rPr>
        <w:t xml:space="preserve">(A)  There will be </w:t>
      </w:r>
      <w:proofErr w:type="gramStart"/>
      <w:r w:rsidRPr="000220FE">
        <w:rPr>
          <w:szCs w:val="24"/>
        </w:rPr>
        <w:t>a large number of</w:t>
      </w:r>
      <w:proofErr w:type="gramEnd"/>
      <w:r w:rsidRPr="000220FE">
        <w:rPr>
          <w:szCs w:val="24"/>
        </w:rPr>
        <w:t xml:space="preserve"> major technical changes; or</w:t>
      </w:r>
    </w:p>
    <w:p w14:paraId="27C6BDC3" w14:textId="77777777" w:rsidR="00425286" w:rsidRDefault="00425286" w:rsidP="00C92D9E">
      <w:pPr>
        <w:pStyle w:val="List4"/>
      </w:pPr>
      <w:r>
        <w:rPr>
          <w:szCs w:val="24"/>
        </w:rPr>
        <w:br/>
      </w:r>
      <w:r w:rsidRPr="000220FE">
        <w:rPr>
          <w:szCs w:val="24"/>
        </w:rPr>
        <w:t>(B)  Actions beyond the control of the contractor may influence the contractor's achievement of cost targets.</w:t>
      </w:r>
    </w:p>
    <w:p w14:paraId="0E6A9BEA" w14:textId="77777777" w:rsidR="00425286" w:rsidRDefault="00425286" w:rsidP="00C92D9E">
      <w:pPr>
        <w:pStyle w:val="List2"/>
      </w:pPr>
      <w:r>
        <w:rPr>
          <w:szCs w:val="24"/>
        </w:rPr>
        <w:br/>
      </w:r>
      <w:r w:rsidRPr="000220FE">
        <w:rPr>
          <w:szCs w:val="24"/>
        </w:rPr>
        <w:t>(4)  Engineering development and operational systems development.</w:t>
      </w:r>
    </w:p>
    <w:p w14:paraId="2AEC0AB8" w14:textId="77777777" w:rsidR="00425286" w:rsidRDefault="00425286" w:rsidP="00186ADF">
      <w:pPr>
        <w:pStyle w:val="List3"/>
      </w:pPr>
      <w:r>
        <w:br/>
      </w:r>
      <w:r w:rsidRPr="000220FE">
        <w:t>(</w:t>
      </w:r>
      <w:proofErr w:type="spellStart"/>
      <w:r w:rsidRPr="000220FE">
        <w:t>i</w:t>
      </w:r>
      <w:proofErr w:type="spellEnd"/>
      <w:r w:rsidRPr="000220FE">
        <w:t>)  When selecting contract types, also consider—</w:t>
      </w:r>
    </w:p>
    <w:p w14:paraId="3C63FCDA" w14:textId="77777777" w:rsidR="00425286" w:rsidRDefault="00425286" w:rsidP="00C92D9E">
      <w:pPr>
        <w:pStyle w:val="List4"/>
      </w:pPr>
      <w:r>
        <w:rPr>
          <w:szCs w:val="24"/>
        </w:rPr>
        <w:br/>
      </w:r>
      <w:r w:rsidRPr="000220FE">
        <w:rPr>
          <w:szCs w:val="24"/>
        </w:rPr>
        <w:t xml:space="preserve">(A)  The degree to which the project is clearly defined, which in turn affects the contractor's ability to provide accurate cost </w:t>
      </w:r>
      <w:proofErr w:type="gramStart"/>
      <w:r w:rsidRPr="000220FE">
        <w:rPr>
          <w:szCs w:val="24"/>
        </w:rPr>
        <w:t>estimates;</w:t>
      </w:r>
      <w:proofErr w:type="gramEnd"/>
    </w:p>
    <w:p w14:paraId="62E80006" w14:textId="77777777" w:rsidR="00425286" w:rsidRDefault="00425286" w:rsidP="00C92D9E">
      <w:pPr>
        <w:pStyle w:val="List4"/>
      </w:pPr>
      <w:r>
        <w:rPr>
          <w:szCs w:val="24"/>
        </w:rPr>
        <w:br/>
      </w:r>
      <w:r w:rsidRPr="000220FE">
        <w:rPr>
          <w:szCs w:val="24"/>
        </w:rPr>
        <w:t xml:space="preserve">(B)  The need for effort that will overlap that of earlier </w:t>
      </w:r>
      <w:proofErr w:type="gramStart"/>
      <w:r w:rsidRPr="000220FE">
        <w:rPr>
          <w:szCs w:val="24"/>
        </w:rPr>
        <w:t>stages;</w:t>
      </w:r>
      <w:proofErr w:type="gramEnd"/>
    </w:p>
    <w:p w14:paraId="7955D54C" w14:textId="77777777" w:rsidR="00425286" w:rsidRDefault="00425286" w:rsidP="00C92D9E">
      <w:pPr>
        <w:pStyle w:val="List4"/>
      </w:pPr>
      <w:r>
        <w:rPr>
          <w:szCs w:val="24"/>
        </w:rPr>
        <w:br/>
      </w:r>
      <w:r w:rsidRPr="000220FE">
        <w:rPr>
          <w:szCs w:val="24"/>
        </w:rPr>
        <w:t>(C)  The need for firm technical direction by the Government; and</w:t>
      </w:r>
    </w:p>
    <w:p w14:paraId="6CE4ACC2" w14:textId="77777777" w:rsidR="00425286" w:rsidRDefault="00425286" w:rsidP="00C92D9E">
      <w:pPr>
        <w:pStyle w:val="List4"/>
      </w:pPr>
      <w:r>
        <w:rPr>
          <w:szCs w:val="24"/>
        </w:rPr>
        <w:br/>
      </w:r>
      <w:r w:rsidRPr="000220FE">
        <w:rPr>
          <w:szCs w:val="24"/>
        </w:rPr>
        <w:t>(D)  The degree of configuration control the Government will exercise.</w:t>
      </w:r>
    </w:p>
    <w:p w14:paraId="1BC47AE6" w14:textId="77777777" w:rsidR="00425286" w:rsidRDefault="00425286" w:rsidP="00C92D9E">
      <w:pPr>
        <w:pStyle w:val="List3"/>
      </w:pPr>
      <w:r>
        <w:rPr>
          <w:szCs w:val="24"/>
        </w:rPr>
        <w:br/>
      </w:r>
      <w:r w:rsidRPr="000220FE">
        <w:rPr>
          <w:szCs w:val="24"/>
        </w:rPr>
        <w:t>(ii)  For development efforts, particularly for major defense systems, the preferred contract type is cost reimbursement.</w:t>
      </w:r>
    </w:p>
    <w:p w14:paraId="5BAB9D19" w14:textId="77777777" w:rsidR="00425286" w:rsidRDefault="00425286" w:rsidP="00C92D9E">
      <w:pPr>
        <w:pStyle w:val="List3"/>
      </w:pPr>
      <w:r>
        <w:rPr>
          <w:szCs w:val="24"/>
        </w:rPr>
        <w:lastRenderedPageBreak/>
        <w:br/>
      </w:r>
      <w:r w:rsidRPr="000220FE">
        <w:rPr>
          <w:szCs w:val="24"/>
        </w:rPr>
        <w:t xml:space="preserve">(iii)  Contracting officers should use fixed-price type contracts when risk has been reduced to the extent that realistic pricing can occur; e.g., when a program has reached the final stages of development and technical risks are minimal, except see DFARS </w:t>
      </w:r>
      <w:hyperlink r:id="rId9" w:anchor="235.006" w:history="1">
        <w:r w:rsidRPr="00A31FAB">
          <w:rPr>
            <w:rStyle w:val="Hyperlink"/>
            <w:szCs w:val="24"/>
          </w:rPr>
          <w:t>235.006</w:t>
        </w:r>
      </w:hyperlink>
      <w:r w:rsidRPr="000220FE">
        <w:rPr>
          <w:szCs w:val="24"/>
        </w:rPr>
        <w:t>.</w:t>
      </w:r>
    </w:p>
    <w:p w14:paraId="61B6B63A" w14:textId="77777777" w:rsidR="00425286" w:rsidRPr="000220FE" w:rsidRDefault="00425286" w:rsidP="00C92D9E">
      <w:r>
        <w:rPr>
          <w:szCs w:val="24"/>
        </w:rPr>
        <w:br/>
      </w:r>
      <w:bookmarkEnd w:id="4"/>
    </w:p>
    <w:p w14:paraId="3979A95C" w14:textId="77777777" w:rsidR="00425286" w:rsidRDefault="00425286">
      <w:pPr>
        <w:sectPr w:rsidR="00425286" w:rsidSect="00021ECD">
          <w:headerReference w:type="default" r:id="rId10"/>
          <w:footerReference w:type="default" r:id="rId11"/>
          <w:pgSz w:w="12240" w:h="15840"/>
          <w:pgMar w:top="1440" w:right="1440" w:bottom="1440" w:left="1440" w:header="720" w:footer="720" w:gutter="0"/>
          <w:cols w:space="720"/>
          <w:docGrid w:linePitch="360"/>
        </w:sectPr>
      </w:pPr>
    </w:p>
    <w:p w14:paraId="0B63038B" w14:textId="77777777" w:rsidR="00425286" w:rsidRDefault="00425286" w:rsidP="00376367">
      <w:pPr>
        <w:jc w:val="center"/>
      </w:pPr>
      <w:r w:rsidRPr="00683526">
        <w:rPr>
          <w:i/>
          <w:szCs w:val="24"/>
        </w:rPr>
        <w:lastRenderedPageBreak/>
        <w:t>(</w:t>
      </w:r>
      <w:r>
        <w:rPr>
          <w:i/>
          <w:szCs w:val="24"/>
        </w:rPr>
        <w:t>Revised December 31, 2012</w:t>
      </w:r>
      <w:r w:rsidRPr="00683526">
        <w:rPr>
          <w:i/>
          <w:szCs w:val="24"/>
        </w:rPr>
        <w:t>)</w:t>
      </w:r>
    </w:p>
    <w:p w14:paraId="708BAC28" w14:textId="77777777" w:rsidR="00425286" w:rsidRDefault="00425286" w:rsidP="00376367">
      <w:pPr>
        <w:pStyle w:val="Heading2"/>
      </w:pPr>
      <w:r>
        <w:rPr>
          <w:i/>
          <w:szCs w:val="24"/>
        </w:rPr>
        <w:br/>
      </w:r>
      <w:bookmarkStart w:id="11" w:name="_Toc37415671"/>
      <w:bookmarkStart w:id="12" w:name="_Toc37677412"/>
      <w:bookmarkStart w:id="13" w:name="_Toc37755748"/>
      <w:r w:rsidRPr="00683526">
        <w:rPr>
          <w:szCs w:val="24"/>
        </w:rPr>
        <w:t>PGI 216.2</w:t>
      </w:r>
      <w:r>
        <w:rPr>
          <w:szCs w:val="24"/>
        </w:rPr>
        <w:t>—</w:t>
      </w:r>
      <w:r w:rsidRPr="00683526">
        <w:rPr>
          <w:szCs w:val="24"/>
        </w:rPr>
        <w:t>FIXED-PRICE CONTRACTS</w:t>
      </w:r>
      <w:bookmarkEnd w:id="11"/>
      <w:bookmarkEnd w:id="12"/>
      <w:bookmarkEnd w:id="13"/>
    </w:p>
    <w:p w14:paraId="3958715E" w14:textId="77777777" w:rsidR="00425286" w:rsidRDefault="00425286" w:rsidP="00376367">
      <w:pPr>
        <w:pStyle w:val="Heading3"/>
      </w:pPr>
      <w:r>
        <w:rPr>
          <w:b/>
          <w:szCs w:val="24"/>
        </w:rPr>
        <w:br/>
      </w:r>
      <w:bookmarkStart w:id="14" w:name="_Toc37415672"/>
      <w:bookmarkStart w:id="15" w:name="_Toc37677413"/>
      <w:bookmarkStart w:id="16" w:name="_Toc37755749"/>
      <w:r w:rsidRPr="00683526">
        <w:rPr>
          <w:b/>
          <w:szCs w:val="24"/>
        </w:rPr>
        <w:t xml:space="preserve">PGI </w:t>
      </w:r>
      <w:proofErr w:type="gramStart"/>
      <w:r w:rsidRPr="00683526">
        <w:rPr>
          <w:b/>
          <w:szCs w:val="24"/>
        </w:rPr>
        <w:t>216.203  Fixed</w:t>
      </w:r>
      <w:proofErr w:type="gramEnd"/>
      <w:r w:rsidRPr="00683526">
        <w:rPr>
          <w:b/>
          <w:szCs w:val="24"/>
        </w:rPr>
        <w:t>-price contracts with economic price adjustment.</w:t>
      </w:r>
      <w:bookmarkEnd w:id="14"/>
      <w:bookmarkEnd w:id="15"/>
      <w:bookmarkEnd w:id="16"/>
    </w:p>
    <w:p w14:paraId="1102004A" w14:textId="77777777" w:rsidR="00425286" w:rsidRDefault="00425286" w:rsidP="00376367">
      <w:pPr>
        <w:pStyle w:val="Heading4"/>
      </w:pPr>
      <w:r>
        <w:rPr>
          <w:b/>
        </w:rPr>
        <w:br/>
      </w:r>
      <w:bookmarkStart w:id="17" w:name="_Toc37677414"/>
      <w:bookmarkStart w:id="18" w:name="_Toc37755750"/>
      <w:r w:rsidRPr="00683526">
        <w:rPr>
          <w:b/>
        </w:rPr>
        <w:t>PGI 216.203-</w:t>
      </w:r>
      <w:proofErr w:type="gramStart"/>
      <w:r w:rsidRPr="00683526">
        <w:rPr>
          <w:b/>
        </w:rPr>
        <w:t>4  Contract</w:t>
      </w:r>
      <w:proofErr w:type="gramEnd"/>
      <w:r w:rsidRPr="00683526">
        <w:rPr>
          <w:b/>
        </w:rPr>
        <w:t xml:space="preserve"> clauses.</w:t>
      </w:r>
      <w:bookmarkEnd w:id="17"/>
      <w:bookmarkEnd w:id="18"/>
    </w:p>
    <w:p w14:paraId="14D1C1E5" w14:textId="77777777" w:rsidR="00425286" w:rsidRDefault="00425286" w:rsidP="00376367">
      <w:r>
        <w:rPr>
          <w:b/>
          <w:szCs w:val="24"/>
        </w:rPr>
        <w:br/>
      </w:r>
      <w:r w:rsidRPr="00F3741F">
        <w:rPr>
          <w:szCs w:val="24"/>
        </w:rPr>
        <w:tab/>
        <w:t>Contracting officers should use caution when incorporating Economic Price Adjustment (EPA) provisions in contracts.  EPA provisions can result in significant and unanticipated price increases which can have major adverse impacts to a program.  EPA provisions should be used only when general economic factors make the estimating of future costs too unpredictable within a fixed</w:t>
      </w:r>
      <w:r w:rsidRPr="00C97EC5">
        <w:rPr>
          <w:szCs w:val="24"/>
        </w:rPr>
        <w:t>-</w:t>
      </w:r>
      <w:r w:rsidRPr="00F3741F">
        <w:rPr>
          <w:szCs w:val="24"/>
        </w:rPr>
        <w:t>price contract.  The primary factors that should be considered before using an EPA provision include volatility of labor and/or material costs and contract length.  In cases where cost volatility and/or contract length warrant using an EPA provision, the provision must be carefully crafted to ensure an equitable adjustment</w:t>
      </w:r>
      <w:r>
        <w:rPr>
          <w:szCs w:val="24"/>
        </w:rPr>
        <w:t xml:space="preserve"> to the contract</w:t>
      </w:r>
      <w:r w:rsidRPr="00F3741F">
        <w:rPr>
          <w:szCs w:val="24"/>
        </w:rPr>
        <w:t>.  Accordingly, contracting officers should always request assistance from their local pricing office, the Defense Contract Management Agency, or the Defense Contract Audit Agency when contemplating the use of an EPA provision.</w:t>
      </w:r>
    </w:p>
    <w:p w14:paraId="4E082BB5" w14:textId="77777777" w:rsidR="00425286" w:rsidRDefault="00425286" w:rsidP="00376367">
      <w:r>
        <w:br/>
      </w:r>
      <w:r w:rsidRPr="00683526">
        <w:tab/>
        <w:t>For adjustments based on cost indexes of labor or material, use the following guidelines:</w:t>
      </w:r>
    </w:p>
    <w:p w14:paraId="2A819D77" w14:textId="77777777" w:rsidR="00425286" w:rsidRDefault="00425286" w:rsidP="00376367">
      <w:pPr>
        <w:pStyle w:val="List2"/>
      </w:pPr>
      <w:r>
        <w:rPr>
          <w:szCs w:val="24"/>
        </w:rPr>
        <w:br/>
      </w:r>
      <w:r w:rsidRPr="00683526">
        <w:rPr>
          <w:szCs w:val="24"/>
        </w:rPr>
        <w:t>(</w:t>
      </w:r>
      <w:r>
        <w:rPr>
          <w:szCs w:val="24"/>
        </w:rPr>
        <w:t>1</w:t>
      </w:r>
      <w:r w:rsidRPr="00683526">
        <w:rPr>
          <w:szCs w:val="24"/>
        </w:rPr>
        <w:t>)  Do not make the clause unnecessarily complex.</w:t>
      </w:r>
    </w:p>
    <w:p w14:paraId="4982A87C" w14:textId="77777777" w:rsidR="00425286" w:rsidRDefault="00425286" w:rsidP="00376367">
      <w:pPr>
        <w:pStyle w:val="List2"/>
      </w:pPr>
      <w:r>
        <w:rPr>
          <w:szCs w:val="24"/>
        </w:rPr>
        <w:br/>
      </w:r>
      <w:r w:rsidRPr="00683526">
        <w:rPr>
          <w:szCs w:val="24"/>
        </w:rPr>
        <w:t>(</w:t>
      </w:r>
      <w:r>
        <w:rPr>
          <w:szCs w:val="24"/>
        </w:rPr>
        <w:t>2</w:t>
      </w:r>
      <w:r w:rsidRPr="00683526">
        <w:rPr>
          <w:szCs w:val="24"/>
        </w:rPr>
        <w:t xml:space="preserve">)  Normally, the clause should not provide either a ceiling or a floor for adjustment unless adjustment is based on indices below the </w:t>
      </w:r>
      <w:r>
        <w:rPr>
          <w:szCs w:val="24"/>
        </w:rPr>
        <w:t>six-</w:t>
      </w:r>
      <w:r w:rsidRPr="00683526">
        <w:rPr>
          <w:szCs w:val="24"/>
        </w:rPr>
        <w:t>digit level of the Bureau of Labor Statistics</w:t>
      </w:r>
      <w:r>
        <w:rPr>
          <w:szCs w:val="24"/>
        </w:rPr>
        <w:t xml:space="preserve"> (BLS)</w:t>
      </w:r>
      <w:r w:rsidRPr="00683526">
        <w:rPr>
          <w:szCs w:val="24"/>
        </w:rPr>
        <w:t>—</w:t>
      </w:r>
    </w:p>
    <w:p w14:paraId="3486771D" w14:textId="77777777" w:rsidR="00425286" w:rsidRDefault="00425286" w:rsidP="002606E3">
      <w:pPr>
        <w:pStyle w:val="List3"/>
      </w:pPr>
      <w:r>
        <w:br/>
      </w:r>
      <w:r w:rsidRPr="00683526">
        <w:t>(</w:t>
      </w:r>
      <w:proofErr w:type="spellStart"/>
      <w:r>
        <w:t>i</w:t>
      </w:r>
      <w:proofErr w:type="spellEnd"/>
      <w:r w:rsidRPr="00683526">
        <w:t xml:space="preserve">)  Producer Price </w:t>
      </w:r>
      <w:proofErr w:type="gramStart"/>
      <w:r w:rsidRPr="00683526">
        <w:t>Index;</w:t>
      </w:r>
      <w:proofErr w:type="gramEnd"/>
    </w:p>
    <w:p w14:paraId="259453C0" w14:textId="77777777" w:rsidR="00425286" w:rsidRDefault="00425286" w:rsidP="00376367">
      <w:pPr>
        <w:pStyle w:val="List3"/>
      </w:pPr>
      <w:r>
        <w:rPr>
          <w:szCs w:val="24"/>
        </w:rPr>
        <w:lastRenderedPageBreak/>
        <w:br/>
      </w:r>
      <w:r w:rsidRPr="00683526">
        <w:rPr>
          <w:szCs w:val="24"/>
        </w:rPr>
        <w:t>(</w:t>
      </w:r>
      <w:r>
        <w:rPr>
          <w:szCs w:val="24"/>
        </w:rPr>
        <w:t>ii</w:t>
      </w:r>
      <w:r w:rsidRPr="00683526">
        <w:rPr>
          <w:szCs w:val="24"/>
        </w:rPr>
        <w:t>)  Employment Cost Index for wages and salaries, benefits, and compensation costs for aerospace industries</w:t>
      </w:r>
      <w:r>
        <w:rPr>
          <w:szCs w:val="24"/>
        </w:rPr>
        <w:t xml:space="preserve"> (but see paragraphs (3) and (6) of this subsection)</w:t>
      </w:r>
      <w:r w:rsidRPr="00683526">
        <w:rPr>
          <w:szCs w:val="24"/>
        </w:rPr>
        <w:t>; or</w:t>
      </w:r>
    </w:p>
    <w:p w14:paraId="465DB9C7" w14:textId="77777777" w:rsidR="00425286" w:rsidRDefault="00425286" w:rsidP="00376367">
      <w:pPr>
        <w:pStyle w:val="List3"/>
      </w:pPr>
      <w:r>
        <w:rPr>
          <w:szCs w:val="24"/>
        </w:rPr>
        <w:br/>
      </w:r>
      <w:r w:rsidRPr="00683526">
        <w:rPr>
          <w:szCs w:val="24"/>
        </w:rPr>
        <w:t>(</w:t>
      </w:r>
      <w:r>
        <w:rPr>
          <w:szCs w:val="24"/>
        </w:rPr>
        <w:t>iii</w:t>
      </w:r>
      <w:r w:rsidRPr="00683526">
        <w:rPr>
          <w:szCs w:val="24"/>
        </w:rPr>
        <w:t xml:space="preserve">)  </w:t>
      </w:r>
      <w:r>
        <w:rPr>
          <w:szCs w:val="24"/>
        </w:rPr>
        <w:t>North American Industry Classification System (NAICS) Product Code.</w:t>
      </w:r>
    </w:p>
    <w:p w14:paraId="14ACD6A5" w14:textId="77777777" w:rsidR="00425286" w:rsidRDefault="00425286" w:rsidP="00376367">
      <w:pPr>
        <w:pStyle w:val="List2"/>
      </w:pPr>
      <w:r>
        <w:rPr>
          <w:szCs w:val="24"/>
        </w:rPr>
        <w:br/>
      </w:r>
      <w:r w:rsidRPr="00252AB1">
        <w:rPr>
          <w:szCs w:val="24"/>
        </w:rPr>
        <w:t xml:space="preserve">(3)  </w:t>
      </w:r>
      <w:r>
        <w:rPr>
          <w:szCs w:val="24"/>
        </w:rPr>
        <w:t>DoD contracting officers may no longer use t</w:t>
      </w:r>
      <w:r w:rsidRPr="00252AB1">
        <w:rPr>
          <w:szCs w:val="24"/>
        </w:rPr>
        <w:t xml:space="preserve">he BLS employment cost index for total compensation, aircraft manufacturing (NAICS Product Code 336411, formerly Standard Industrial Classification Code 3721, Aircraft) </w:t>
      </w:r>
      <w:r>
        <w:rPr>
          <w:szCs w:val="24"/>
        </w:rPr>
        <w:t xml:space="preserve">in any EPA clause in DoD contracts.  This index is </w:t>
      </w:r>
      <w:r w:rsidRPr="00252AB1">
        <w:rPr>
          <w:szCs w:val="24"/>
        </w:rPr>
        <w:t xml:space="preserve">ineffective for use as the basis for labor cost adjustments in EPA clauses in DoD contracts.  </w:t>
      </w:r>
    </w:p>
    <w:p w14:paraId="45B33921" w14:textId="77777777" w:rsidR="00425286" w:rsidRDefault="00425286" w:rsidP="00376367">
      <w:r>
        <w:rPr>
          <w:szCs w:val="24"/>
        </w:rPr>
        <w:br/>
      </w:r>
      <w:r w:rsidRPr="0022615A">
        <w:rPr>
          <w:szCs w:val="24"/>
        </w:rPr>
        <w:tab/>
        <w:t>The BLS employment cost index for wages and salaries, aircraft manufacturing may still be used in EPA clauses for labor costs.  If a BLS index for benefits is desired, contracting officers should use a broader based index that will smooth the effects of any large pension contributions, such as the employment cost index for benefits, total private industry.  If a total compensation index is desired, contracting officers should consider the creation of a hybrid index by combining the above referenced indices at a predetermined percentage.  For example, a hybrid total compensation index could consist of 68 percent employment cost index for wages and salaries, aircraft manufacturing, and 32 percent of the employment cost index for benefits, private industry.</w:t>
      </w:r>
    </w:p>
    <w:p w14:paraId="07A381E1" w14:textId="77777777" w:rsidR="00425286" w:rsidRDefault="00425286" w:rsidP="00376367">
      <w:pPr>
        <w:pStyle w:val="List2"/>
      </w:pPr>
      <w:r>
        <w:rPr>
          <w:szCs w:val="24"/>
        </w:rPr>
        <w:br/>
      </w:r>
      <w:r w:rsidRPr="00195677">
        <w:rPr>
          <w:szCs w:val="24"/>
        </w:rPr>
        <w:t>(4)  Normally, the clause should cover potential economic fluctuations within the original</w:t>
      </w:r>
      <w:r w:rsidRPr="00683526">
        <w:rPr>
          <w:szCs w:val="24"/>
        </w:rPr>
        <w:t xml:space="preserve"> </w:t>
      </w:r>
      <w:r w:rsidRPr="00195677">
        <w:rPr>
          <w:szCs w:val="24"/>
        </w:rPr>
        <w:t>contract period of performance using a trigger band.  Unless the economic fluctuation exceeds the trigger value, no EPA clause adjustments are made.</w:t>
      </w:r>
    </w:p>
    <w:p w14:paraId="26BA54E1" w14:textId="77777777" w:rsidR="00425286" w:rsidRDefault="00425286" w:rsidP="00376367">
      <w:pPr>
        <w:pStyle w:val="List2"/>
      </w:pPr>
      <w:r>
        <w:rPr>
          <w:szCs w:val="24"/>
        </w:rPr>
        <w:br/>
      </w:r>
      <w:r w:rsidRPr="00683526">
        <w:rPr>
          <w:szCs w:val="24"/>
        </w:rPr>
        <w:t>(</w:t>
      </w:r>
      <w:r>
        <w:rPr>
          <w:szCs w:val="24"/>
        </w:rPr>
        <w:t>5</w:t>
      </w:r>
      <w:r w:rsidRPr="00683526">
        <w:rPr>
          <w:szCs w:val="24"/>
        </w:rPr>
        <w:t>)  The clause must accurately identify the index(es) upon which adjustments will be based.</w:t>
      </w:r>
    </w:p>
    <w:p w14:paraId="555701CC" w14:textId="77777777" w:rsidR="00425286" w:rsidRDefault="00425286" w:rsidP="002606E3">
      <w:pPr>
        <w:pStyle w:val="List3"/>
      </w:pPr>
      <w:r>
        <w:br/>
      </w:r>
      <w:r w:rsidRPr="00683526">
        <w:t>(</w:t>
      </w:r>
      <w:proofErr w:type="spellStart"/>
      <w:r>
        <w:t>i</w:t>
      </w:r>
      <w:proofErr w:type="spellEnd"/>
      <w:r w:rsidRPr="00683526">
        <w:t>)  It must provide for a means to adjust for appropriate economic fluctuation in the event publication of the movement of the designated index is discontinued.  This might include the substitution of another index if the time remaining would justify doing so and an appropriate index is reasonably available, or some other method for repricing the remaining portion of work to be performed.</w:t>
      </w:r>
    </w:p>
    <w:p w14:paraId="05ECC295" w14:textId="77777777" w:rsidR="00425286" w:rsidRDefault="00425286" w:rsidP="00376367">
      <w:pPr>
        <w:pStyle w:val="List3"/>
      </w:pPr>
      <w:r>
        <w:rPr>
          <w:szCs w:val="24"/>
        </w:rPr>
        <w:lastRenderedPageBreak/>
        <w:br/>
      </w:r>
      <w:r w:rsidRPr="00683526">
        <w:rPr>
          <w:szCs w:val="24"/>
        </w:rPr>
        <w:t>(</w:t>
      </w:r>
      <w:r>
        <w:rPr>
          <w:szCs w:val="24"/>
        </w:rPr>
        <w:t>ii</w:t>
      </w:r>
      <w:r w:rsidRPr="00683526">
        <w:rPr>
          <w:szCs w:val="24"/>
        </w:rPr>
        <w:t>)  Normally, there should be no need to make an adjustment if computation of the identified index is altered.  However, it may be appropriate to provide for adjustment of the economic fluctuation computations in the event there is such a substantial alteration in the method of computing the index that the original intent of the parties is negated.</w:t>
      </w:r>
    </w:p>
    <w:p w14:paraId="66F18EF1" w14:textId="77777777" w:rsidR="00425286" w:rsidRDefault="00425286" w:rsidP="00376367">
      <w:pPr>
        <w:pStyle w:val="List3"/>
      </w:pPr>
      <w:r>
        <w:rPr>
          <w:szCs w:val="24"/>
        </w:rPr>
        <w:br/>
      </w:r>
      <w:r w:rsidRPr="00683526">
        <w:rPr>
          <w:szCs w:val="24"/>
        </w:rPr>
        <w:t>(</w:t>
      </w:r>
      <w:r>
        <w:rPr>
          <w:szCs w:val="24"/>
        </w:rPr>
        <w:t>iii</w:t>
      </w:r>
      <w:r w:rsidRPr="00683526">
        <w:rPr>
          <w:szCs w:val="24"/>
        </w:rPr>
        <w:t xml:space="preserve">)  When an index to be used is subject to revision (e.g., the </w:t>
      </w:r>
      <w:r>
        <w:rPr>
          <w:szCs w:val="24"/>
        </w:rPr>
        <w:t xml:space="preserve">BLS </w:t>
      </w:r>
      <w:r w:rsidRPr="00683526">
        <w:rPr>
          <w:szCs w:val="24"/>
        </w:rPr>
        <w:t xml:space="preserve">Producer Price Indexes), the </w:t>
      </w:r>
      <w:r>
        <w:rPr>
          <w:szCs w:val="24"/>
        </w:rPr>
        <w:t xml:space="preserve">EPA </w:t>
      </w:r>
      <w:r w:rsidRPr="00683526">
        <w:rPr>
          <w:szCs w:val="24"/>
        </w:rPr>
        <w:t>clause must specify that any economic price adjustment will be based on a revised index and must identify which revision to the index will be used.</w:t>
      </w:r>
    </w:p>
    <w:p w14:paraId="5C0591F6" w14:textId="77777777" w:rsidR="00425286" w:rsidRDefault="00425286" w:rsidP="00376367">
      <w:pPr>
        <w:pStyle w:val="List2"/>
      </w:pPr>
      <w:r>
        <w:rPr>
          <w:szCs w:val="24"/>
        </w:rPr>
        <w:br/>
      </w:r>
      <w:r w:rsidRPr="00683526">
        <w:rPr>
          <w:szCs w:val="24"/>
        </w:rPr>
        <w:t>(</w:t>
      </w:r>
      <w:r>
        <w:rPr>
          <w:szCs w:val="24"/>
        </w:rPr>
        <w:t>6</w:t>
      </w:r>
      <w:r w:rsidRPr="00683526">
        <w:rPr>
          <w:szCs w:val="24"/>
        </w:rPr>
        <w:t>)  The basis of the index should not be so large and diverse that it is significantly affected by fluctuations not relevant to contract performance, but it must be broad enough to minimize the effect of any single company, including the anticipated contractor(s).</w:t>
      </w:r>
    </w:p>
    <w:p w14:paraId="5CBD5F1C" w14:textId="77777777" w:rsidR="00425286" w:rsidRDefault="00425286" w:rsidP="00376367">
      <w:pPr>
        <w:pStyle w:val="List2"/>
      </w:pPr>
      <w:r>
        <w:rPr>
          <w:szCs w:val="24"/>
        </w:rPr>
        <w:br/>
      </w:r>
      <w:r w:rsidRPr="00683526">
        <w:rPr>
          <w:szCs w:val="24"/>
        </w:rPr>
        <w:t>(</w:t>
      </w:r>
      <w:r>
        <w:rPr>
          <w:szCs w:val="24"/>
        </w:rPr>
        <w:t>7</w:t>
      </w:r>
      <w:r w:rsidRPr="00683526">
        <w:rPr>
          <w:szCs w:val="24"/>
        </w:rPr>
        <w:t>)  Construction of an index is largely dependent upon three general series published by the U.S. Department of Labor, BLS.  These are the—</w:t>
      </w:r>
    </w:p>
    <w:p w14:paraId="67F69FB8" w14:textId="77777777" w:rsidR="00425286" w:rsidRDefault="00425286" w:rsidP="002606E3">
      <w:pPr>
        <w:pStyle w:val="List3"/>
      </w:pPr>
      <w:r>
        <w:br/>
      </w:r>
      <w:r w:rsidRPr="00683526">
        <w:t>(</w:t>
      </w:r>
      <w:proofErr w:type="spellStart"/>
      <w:r>
        <w:t>i</w:t>
      </w:r>
      <w:proofErr w:type="spellEnd"/>
      <w:r w:rsidRPr="00683526">
        <w:t xml:space="preserve">)  Industrial Commodities portion of the Producer Price </w:t>
      </w:r>
      <w:proofErr w:type="gramStart"/>
      <w:r w:rsidRPr="00683526">
        <w:t>Index;</w:t>
      </w:r>
      <w:proofErr w:type="gramEnd"/>
    </w:p>
    <w:p w14:paraId="7B5A3AEB" w14:textId="77777777" w:rsidR="00425286" w:rsidRDefault="00425286" w:rsidP="00376367">
      <w:pPr>
        <w:pStyle w:val="List3"/>
      </w:pPr>
      <w:r>
        <w:rPr>
          <w:szCs w:val="24"/>
        </w:rPr>
        <w:br/>
      </w:r>
      <w:r w:rsidRPr="00683526">
        <w:rPr>
          <w:szCs w:val="24"/>
        </w:rPr>
        <w:t>(</w:t>
      </w:r>
      <w:r>
        <w:rPr>
          <w:szCs w:val="24"/>
        </w:rPr>
        <w:t>ii</w:t>
      </w:r>
      <w:r w:rsidRPr="00683526">
        <w:rPr>
          <w:szCs w:val="24"/>
        </w:rPr>
        <w:t>)  Employment Cost Index for wages and salaries, benefits, and compensation costs for aerospace industries</w:t>
      </w:r>
      <w:r>
        <w:rPr>
          <w:szCs w:val="24"/>
        </w:rPr>
        <w:t xml:space="preserve"> (but see paragraphs (3) and (6) of this subsection)</w:t>
      </w:r>
      <w:r w:rsidRPr="00683526">
        <w:rPr>
          <w:szCs w:val="24"/>
        </w:rPr>
        <w:t>; and</w:t>
      </w:r>
    </w:p>
    <w:p w14:paraId="4F934AD9" w14:textId="77777777" w:rsidR="00425286" w:rsidRDefault="00425286" w:rsidP="00376367">
      <w:pPr>
        <w:pStyle w:val="List3"/>
      </w:pPr>
      <w:r>
        <w:rPr>
          <w:szCs w:val="24"/>
        </w:rPr>
        <w:br/>
      </w:r>
      <w:r w:rsidRPr="00683526">
        <w:rPr>
          <w:szCs w:val="24"/>
        </w:rPr>
        <w:t>(</w:t>
      </w:r>
      <w:r>
        <w:rPr>
          <w:szCs w:val="24"/>
        </w:rPr>
        <w:t>iii</w:t>
      </w:r>
      <w:r w:rsidRPr="00683526">
        <w:rPr>
          <w:szCs w:val="24"/>
        </w:rPr>
        <w:t xml:space="preserve">)  </w:t>
      </w:r>
      <w:r>
        <w:rPr>
          <w:szCs w:val="24"/>
        </w:rPr>
        <w:t>NAICS Product Code.</w:t>
      </w:r>
    </w:p>
    <w:p w14:paraId="60AB3BE0" w14:textId="77777777" w:rsidR="00425286" w:rsidRDefault="00425286" w:rsidP="00376367">
      <w:pPr>
        <w:pStyle w:val="List2"/>
      </w:pPr>
      <w:r>
        <w:rPr>
          <w:szCs w:val="24"/>
        </w:rPr>
        <w:br/>
      </w:r>
      <w:r w:rsidRPr="00683526">
        <w:rPr>
          <w:szCs w:val="24"/>
        </w:rPr>
        <w:t>(</w:t>
      </w:r>
      <w:r>
        <w:rPr>
          <w:szCs w:val="24"/>
        </w:rPr>
        <w:t>8</w:t>
      </w:r>
      <w:r w:rsidRPr="00683526">
        <w:rPr>
          <w:szCs w:val="24"/>
        </w:rPr>
        <w:t>)  Normally, do not use more than two indices, i.e., one for labor and one for material.</w:t>
      </w:r>
    </w:p>
    <w:p w14:paraId="2424E06F" w14:textId="77777777" w:rsidR="00425286" w:rsidRDefault="00425286" w:rsidP="00376367">
      <w:pPr>
        <w:pStyle w:val="List2"/>
      </w:pPr>
      <w:r>
        <w:rPr>
          <w:szCs w:val="24"/>
        </w:rPr>
        <w:br/>
        <w:t>(9</w:t>
      </w:r>
      <w:r w:rsidRPr="00683526">
        <w:rPr>
          <w:szCs w:val="24"/>
        </w:rPr>
        <w:t>)  The clause must establish and properly identify a base period comparable to the contract periods for which adjustments are to be made as a reference point for application of an index.</w:t>
      </w:r>
    </w:p>
    <w:p w14:paraId="35C2D6EB" w14:textId="77777777" w:rsidR="00425286" w:rsidRDefault="00425286" w:rsidP="00376367">
      <w:r>
        <w:rPr>
          <w:szCs w:val="24"/>
        </w:rPr>
        <w:br/>
      </w:r>
      <w:r w:rsidRPr="00683526">
        <w:rPr>
          <w:szCs w:val="24"/>
        </w:rPr>
        <w:tab/>
        <w:t>(</w:t>
      </w:r>
      <w:r>
        <w:rPr>
          <w:szCs w:val="24"/>
        </w:rPr>
        <w:t>10</w:t>
      </w:r>
      <w:r w:rsidRPr="00683526">
        <w:rPr>
          <w:szCs w:val="24"/>
        </w:rPr>
        <w:t>)  The clause should not provide for an adjustment beyond the original contract performance period, including options.  The start date for the adjustment may be the beginning of the contract or a later time, as appropriate, based on the projected rate of expenditures.</w:t>
      </w:r>
    </w:p>
    <w:p w14:paraId="0EBBD1FC" w14:textId="77777777" w:rsidR="00425286" w:rsidRDefault="00425286" w:rsidP="00376367">
      <w:r>
        <w:lastRenderedPageBreak/>
        <w:br/>
      </w:r>
      <w:r w:rsidRPr="00683526">
        <w:tab/>
        <w:t>(</w:t>
      </w:r>
      <w:r>
        <w:t>11</w:t>
      </w:r>
      <w:r w:rsidRPr="00683526">
        <w:t>)  The expenditure profile for both labor and material should be based on a predetermined rate of expenditure (expressed as the percentage of material or labor usage as it relates to the total contract price) in lieu of actual cost incurred.</w:t>
      </w:r>
    </w:p>
    <w:p w14:paraId="56737781" w14:textId="77777777" w:rsidR="00425286" w:rsidRDefault="00425286" w:rsidP="002606E3">
      <w:pPr>
        <w:pStyle w:val="List3"/>
      </w:pPr>
      <w:r>
        <w:br/>
      </w:r>
      <w:r w:rsidRPr="00683526">
        <w:t>(</w:t>
      </w:r>
      <w:proofErr w:type="spellStart"/>
      <w:r>
        <w:t>i</w:t>
      </w:r>
      <w:proofErr w:type="spellEnd"/>
      <w:r w:rsidRPr="00683526">
        <w:t>)  If the clause is to be used in a competitive acquisition, determine the labor and material allocations, with regard to both mix of labor and material and rate of expenditure by percentage, in a manner which will, as nearly as possible, approximate the average expenditure profile of all companies to be solicited so that all companies may compete on an equal basis.</w:t>
      </w:r>
    </w:p>
    <w:p w14:paraId="26BC6A3B" w14:textId="77777777" w:rsidR="00425286" w:rsidRDefault="00425286" w:rsidP="00376367">
      <w:pPr>
        <w:pStyle w:val="List3"/>
      </w:pPr>
      <w:r>
        <w:rPr>
          <w:szCs w:val="24"/>
        </w:rPr>
        <w:br/>
      </w:r>
      <w:r w:rsidRPr="00683526">
        <w:rPr>
          <w:szCs w:val="24"/>
        </w:rPr>
        <w:t>(</w:t>
      </w:r>
      <w:r>
        <w:rPr>
          <w:szCs w:val="24"/>
        </w:rPr>
        <w:t>ii</w:t>
      </w:r>
      <w:r w:rsidRPr="00683526">
        <w:rPr>
          <w:szCs w:val="24"/>
        </w:rPr>
        <w:t>)  If the clause is to be used in a noncompetitive acquisition, the labor and material allocations may be subject to negotiation and agreement.</w:t>
      </w:r>
    </w:p>
    <w:p w14:paraId="25440F29" w14:textId="77777777" w:rsidR="00425286" w:rsidRDefault="00425286" w:rsidP="00376367">
      <w:pPr>
        <w:pStyle w:val="List3"/>
      </w:pPr>
      <w:r>
        <w:rPr>
          <w:szCs w:val="24"/>
        </w:rPr>
        <w:br/>
      </w:r>
      <w:r w:rsidRPr="00683526">
        <w:rPr>
          <w:szCs w:val="24"/>
        </w:rPr>
        <w:t>(</w:t>
      </w:r>
      <w:r>
        <w:rPr>
          <w:szCs w:val="24"/>
        </w:rPr>
        <w:t>iii</w:t>
      </w:r>
      <w:r w:rsidRPr="00683526">
        <w:rPr>
          <w:szCs w:val="24"/>
        </w:rPr>
        <w:t>)  For multiyear contracts, establish predetermined expenditure profile tables for each of the annual increments in the multiyear buy.  Each of the second and subsequent year tables must be cumulative to reflect the total expenditures for all increments funded through the latest multiyear funding.</w:t>
      </w:r>
    </w:p>
    <w:p w14:paraId="3F065470" w14:textId="77777777" w:rsidR="00425286" w:rsidRDefault="00425286" w:rsidP="00376367">
      <w:r>
        <w:rPr>
          <w:szCs w:val="24"/>
        </w:rPr>
        <w:br/>
      </w:r>
      <w:r w:rsidRPr="00683526">
        <w:rPr>
          <w:szCs w:val="24"/>
        </w:rPr>
        <w:tab/>
        <w:t>(1</w:t>
      </w:r>
      <w:r>
        <w:rPr>
          <w:szCs w:val="24"/>
        </w:rPr>
        <w:t>2</w:t>
      </w:r>
      <w:r w:rsidRPr="00683526">
        <w:rPr>
          <w:szCs w:val="24"/>
        </w:rPr>
        <w:t>)  The clause should state the percentage of the contract price subject to price adjustment.</w:t>
      </w:r>
    </w:p>
    <w:p w14:paraId="70E21D88" w14:textId="77777777" w:rsidR="00425286" w:rsidRDefault="00425286" w:rsidP="002606E3">
      <w:pPr>
        <w:pStyle w:val="List3"/>
      </w:pPr>
      <w:r>
        <w:br/>
      </w:r>
      <w:r w:rsidRPr="00683526">
        <w:t>(</w:t>
      </w:r>
      <w:proofErr w:type="spellStart"/>
      <w:r w:rsidRPr="00683526">
        <w:t>i</w:t>
      </w:r>
      <w:proofErr w:type="spellEnd"/>
      <w:r w:rsidRPr="00683526">
        <w:t>)  Normally, do not apply adjustments to the profit portion of the contract.</w:t>
      </w:r>
    </w:p>
    <w:p w14:paraId="2D93EA3C" w14:textId="77777777" w:rsidR="00425286" w:rsidRDefault="00425286" w:rsidP="00376367">
      <w:pPr>
        <w:pStyle w:val="List3"/>
      </w:pPr>
      <w:r>
        <w:rPr>
          <w:szCs w:val="24"/>
        </w:rPr>
        <w:br/>
      </w:r>
      <w:r w:rsidRPr="00683526">
        <w:rPr>
          <w:szCs w:val="24"/>
        </w:rPr>
        <w:t>(ii)  Examine the labor and material portions of the contract to exclude any areas that do not require adjustment.  For example, it may be possible to exclude—</w:t>
      </w:r>
    </w:p>
    <w:p w14:paraId="1E8DD524" w14:textId="77777777" w:rsidR="00425286" w:rsidRDefault="00425286" w:rsidP="00376367">
      <w:pPr>
        <w:pStyle w:val="List4"/>
      </w:pPr>
      <w:r>
        <w:br/>
      </w:r>
      <w:r w:rsidRPr="00683526">
        <w:t xml:space="preserve">(A)  Subcontracting for short periods of time during the early life of the contract which could be covered by firm-fixed-priced </w:t>
      </w:r>
      <w:proofErr w:type="gramStart"/>
      <w:r w:rsidRPr="00683526">
        <w:t>subcontracting;</w:t>
      </w:r>
      <w:proofErr w:type="gramEnd"/>
    </w:p>
    <w:p w14:paraId="42369BA5" w14:textId="77777777" w:rsidR="00425286" w:rsidRDefault="00425286" w:rsidP="00376367">
      <w:pPr>
        <w:pStyle w:val="List4"/>
      </w:pPr>
      <w:r>
        <w:rPr>
          <w:szCs w:val="24"/>
        </w:rPr>
        <w:br/>
      </w:r>
      <w:r w:rsidRPr="00683526">
        <w:rPr>
          <w:szCs w:val="24"/>
        </w:rPr>
        <w:t xml:space="preserve">(B)  Certain areas of overhead, e.g., depreciation charges, prepaid insurance costs, rental costs, leases, certain taxes, and utility </w:t>
      </w:r>
      <w:proofErr w:type="gramStart"/>
      <w:r w:rsidRPr="00683526">
        <w:rPr>
          <w:szCs w:val="24"/>
        </w:rPr>
        <w:t>charges;</w:t>
      </w:r>
      <w:proofErr w:type="gramEnd"/>
    </w:p>
    <w:p w14:paraId="43FDF36A" w14:textId="77777777" w:rsidR="00425286" w:rsidRDefault="00425286" w:rsidP="00376367">
      <w:pPr>
        <w:pStyle w:val="List4"/>
      </w:pPr>
      <w:r>
        <w:rPr>
          <w:szCs w:val="24"/>
        </w:rPr>
        <w:br/>
      </w:r>
      <w:r w:rsidRPr="00683526">
        <w:rPr>
          <w:szCs w:val="24"/>
        </w:rPr>
        <w:t>(C)  Labor costs for which a definitive union agreement exists; and</w:t>
      </w:r>
    </w:p>
    <w:p w14:paraId="0070079F" w14:textId="77777777" w:rsidR="00425286" w:rsidRDefault="00425286" w:rsidP="00376367">
      <w:pPr>
        <w:pStyle w:val="List4"/>
      </w:pPr>
      <w:r>
        <w:rPr>
          <w:szCs w:val="24"/>
        </w:rPr>
        <w:lastRenderedPageBreak/>
        <w:br/>
      </w:r>
      <w:r w:rsidRPr="00683526">
        <w:rPr>
          <w:szCs w:val="24"/>
        </w:rPr>
        <w:t>(D)  Those costs not likely to be affected by fluctuation in the economy.</w:t>
      </w:r>
    </w:p>
    <w:p w14:paraId="64E117A1" w14:textId="77777777" w:rsidR="00425286" w:rsidRDefault="00425286" w:rsidP="00376367">
      <w:pPr>
        <w:pStyle w:val="List3"/>
      </w:pPr>
      <w:r>
        <w:rPr>
          <w:szCs w:val="24"/>
        </w:rPr>
        <w:br/>
      </w:r>
      <w:r w:rsidRPr="00683526">
        <w:rPr>
          <w:szCs w:val="24"/>
        </w:rPr>
        <w:t>(iii)  Allocate that part of the contract price subject to adjustment to specific periods of time (e.g., quarterly, semiannually, etc.) based on the most probable expenditure or commitment basis (expenditure profile).</w:t>
      </w:r>
    </w:p>
    <w:p w14:paraId="2A547686" w14:textId="77777777" w:rsidR="00425286" w:rsidRDefault="00425286" w:rsidP="00376367">
      <w:r>
        <w:rPr>
          <w:szCs w:val="24"/>
        </w:rPr>
        <w:br/>
      </w:r>
      <w:r w:rsidRPr="00683526">
        <w:rPr>
          <w:szCs w:val="24"/>
        </w:rPr>
        <w:tab/>
        <w:t>(1</w:t>
      </w:r>
      <w:r>
        <w:rPr>
          <w:szCs w:val="24"/>
        </w:rPr>
        <w:t>3</w:t>
      </w:r>
      <w:r w:rsidRPr="00683526">
        <w:rPr>
          <w:szCs w:val="24"/>
        </w:rPr>
        <w:t>)  The clause should provide for definite times or events that trigger price adjustments.  Adjustments should be frequent enough to afford the contractor appropriate economic protection without creating a burdensome administrative effort.  The adjustment period should normally range from quarterly to annually.</w:t>
      </w:r>
    </w:p>
    <w:p w14:paraId="0553BB5D" w14:textId="77777777" w:rsidR="00425286" w:rsidRDefault="00425286" w:rsidP="00376367">
      <w:r>
        <w:br/>
      </w:r>
      <w:r w:rsidRPr="00683526">
        <w:tab/>
        <w:t>(1</w:t>
      </w:r>
      <w:r>
        <w:t>4</w:t>
      </w:r>
      <w:r w:rsidRPr="00683526">
        <w:t xml:space="preserve">)  When the contract contains cost incentives, any sums paid to the contractor on account of </w:t>
      </w:r>
      <w:r>
        <w:t>EPA</w:t>
      </w:r>
      <w:r w:rsidRPr="00683526">
        <w:t xml:space="preserve"> provisions must be subtracted from the total of the contractor's allowable costs for the purpose of establishing the total costs to which the cost incentive provisions apply.  If the incentive arrangement is cited in percentage ranges, rather than dollar ranges, above and below target costs, structure the </w:t>
      </w:r>
      <w:r>
        <w:t>EPA</w:t>
      </w:r>
      <w:r w:rsidRPr="00683526">
        <w:t xml:space="preserve"> clause to maintain the original contract incentive range in dollars.</w:t>
      </w:r>
    </w:p>
    <w:p w14:paraId="7847999A" w14:textId="77777777" w:rsidR="00425286" w:rsidRDefault="00425286" w:rsidP="00376367">
      <w:r>
        <w:br/>
      </w:r>
      <w:r w:rsidRPr="00683526">
        <w:tab/>
        <w:t>(1</w:t>
      </w:r>
      <w:r>
        <w:t>5</w:t>
      </w:r>
      <w:r w:rsidRPr="00683526">
        <w:t xml:space="preserve">)  The </w:t>
      </w:r>
      <w:r>
        <w:t>EPA</w:t>
      </w:r>
      <w:r w:rsidRPr="00683526">
        <w:t xml:space="preserve"> clause should provide that once the labor and material allocations and the portion of the contract price subject to price adjustment have been established, they remain fixed through the life of the contract and shall not be modified except in the event of significant changes in the scope of the contract.  The clause should state that pricing actions pursuant to the Changes clause or other provisions of the contract will be priced as though there were no provisions for economic price adjustment.  However, subsequent modifications may include a change to the delivery schedule or significantly change the amount of, or mix of, labor or material for the contract.  In such cases, it may be appropriate to prospectively apply </w:t>
      </w:r>
      <w:r>
        <w:t>EPA</w:t>
      </w:r>
      <w:r w:rsidRPr="00683526">
        <w:t xml:space="preserve"> coverage.  This may be accomplished by—</w:t>
      </w:r>
    </w:p>
    <w:p w14:paraId="6DDC9956" w14:textId="77777777" w:rsidR="00425286" w:rsidRDefault="00425286" w:rsidP="002606E3">
      <w:pPr>
        <w:pStyle w:val="List3"/>
      </w:pPr>
      <w:r>
        <w:br/>
      </w:r>
      <w:r w:rsidRPr="00683526">
        <w:t>(</w:t>
      </w:r>
      <w:proofErr w:type="spellStart"/>
      <w:r w:rsidRPr="00683526">
        <w:t>i</w:t>
      </w:r>
      <w:proofErr w:type="spellEnd"/>
      <w:r w:rsidRPr="00683526">
        <w:t xml:space="preserve">)  Using an EPA clause that applies only to the effort covered by the </w:t>
      </w:r>
      <w:proofErr w:type="gramStart"/>
      <w:r w:rsidRPr="00683526">
        <w:t>modification;</w:t>
      </w:r>
      <w:proofErr w:type="gramEnd"/>
    </w:p>
    <w:p w14:paraId="42F363C4" w14:textId="77777777" w:rsidR="00425286" w:rsidRDefault="00425286" w:rsidP="00376367">
      <w:pPr>
        <w:pStyle w:val="List3"/>
      </w:pPr>
      <w:r>
        <w:rPr>
          <w:szCs w:val="24"/>
        </w:rPr>
        <w:br/>
      </w:r>
      <w:r w:rsidRPr="00683526">
        <w:rPr>
          <w:szCs w:val="24"/>
        </w:rPr>
        <w:t>(ii)  Revising the baseline data or period in the EPA clause for the basic contract to include the new work; or</w:t>
      </w:r>
    </w:p>
    <w:p w14:paraId="0E4722DC" w14:textId="77777777" w:rsidR="00425286" w:rsidRDefault="00425286" w:rsidP="00376367">
      <w:pPr>
        <w:pStyle w:val="List3"/>
      </w:pPr>
      <w:r>
        <w:rPr>
          <w:szCs w:val="24"/>
        </w:rPr>
        <w:lastRenderedPageBreak/>
        <w:br/>
      </w:r>
      <w:r w:rsidRPr="00683526">
        <w:rPr>
          <w:szCs w:val="24"/>
        </w:rPr>
        <w:t>(iii)  Using an entirely new EPA clause for the entire contract, including the new work.</w:t>
      </w:r>
    </w:p>
    <w:p w14:paraId="5A10FE6E" w14:textId="77777777" w:rsidR="00425286" w:rsidRDefault="00425286" w:rsidP="00376367">
      <w:r>
        <w:rPr>
          <w:szCs w:val="24"/>
        </w:rPr>
        <w:br/>
      </w:r>
      <w:r w:rsidRPr="00683526">
        <w:rPr>
          <w:szCs w:val="24"/>
        </w:rPr>
        <w:tab/>
        <w:t>(1</w:t>
      </w:r>
      <w:r>
        <w:rPr>
          <w:szCs w:val="24"/>
        </w:rPr>
        <w:t>6</w:t>
      </w:r>
      <w:r w:rsidRPr="00683526">
        <w:rPr>
          <w:szCs w:val="24"/>
        </w:rPr>
        <w:t>)  Consistent with the factors in paragraph</w:t>
      </w:r>
      <w:r>
        <w:rPr>
          <w:szCs w:val="24"/>
        </w:rPr>
        <w:t>s</w:t>
      </w:r>
      <w:r w:rsidRPr="00683526">
        <w:rPr>
          <w:szCs w:val="24"/>
        </w:rPr>
        <w:t xml:space="preserve"> (1) through (1</w:t>
      </w:r>
      <w:r>
        <w:rPr>
          <w:szCs w:val="24"/>
        </w:rPr>
        <w:t>5</w:t>
      </w:r>
      <w:r w:rsidRPr="00683526">
        <w:rPr>
          <w:szCs w:val="24"/>
        </w:rPr>
        <w:t xml:space="preserve">) of this subsection, it may also be appropriate to provide in the prime contract for similar </w:t>
      </w:r>
      <w:r>
        <w:rPr>
          <w:szCs w:val="24"/>
        </w:rPr>
        <w:t>EPA</w:t>
      </w:r>
      <w:r w:rsidRPr="00683526">
        <w:rPr>
          <w:szCs w:val="24"/>
        </w:rPr>
        <w:t xml:space="preserve"> arrangements between the prime contractor and affected subcontractors to allocate risks properly and ensure that those subcontractors are provided similar economic protection.</w:t>
      </w:r>
    </w:p>
    <w:p w14:paraId="58FD97C1" w14:textId="77777777" w:rsidR="00425286" w:rsidRDefault="00425286" w:rsidP="00376367">
      <w:r>
        <w:br/>
      </w:r>
      <w:r w:rsidRPr="00683526">
        <w:tab/>
        <w:t>(1</w:t>
      </w:r>
      <w:r>
        <w:t>7</w:t>
      </w:r>
      <w:r w:rsidRPr="00683526">
        <w:t xml:space="preserve">)  When </w:t>
      </w:r>
      <w:r>
        <w:t>EPA</w:t>
      </w:r>
      <w:r w:rsidRPr="00683526">
        <w:t xml:space="preserve"> clauses are included in contracts that do not require submission of </w:t>
      </w:r>
      <w:r>
        <w:t xml:space="preserve">certified </w:t>
      </w:r>
      <w:r w:rsidRPr="00683526">
        <w:t xml:space="preserve">cost or pricing data as provided for in FAR 15.403-1, the contracting officer must obtain adequate </w:t>
      </w:r>
      <w:r>
        <w:t>data</w:t>
      </w:r>
      <w:r w:rsidRPr="00683526">
        <w:t xml:space="preserve"> to establish the baseline from which adjustments will be made.  The</w:t>
      </w:r>
    </w:p>
    <w:p w14:paraId="13B3A022" w14:textId="77777777" w:rsidR="00425286" w:rsidRDefault="00425286" w:rsidP="00376367">
      <w:r w:rsidRPr="00683526">
        <w:t xml:space="preserve"> contracting officer may require verification of the data submitted to the extent necessary to permit reliance upon the data as a reasonable baseline.</w:t>
      </w:r>
    </w:p>
    <w:p w14:paraId="6D12E3BC" w14:textId="77777777" w:rsidR="00425286" w:rsidRPr="00683526" w:rsidRDefault="00425286" w:rsidP="00376367">
      <w:pPr>
        <w:rPr>
          <w:b/>
        </w:rPr>
      </w:pPr>
      <w:r>
        <w:br/>
      </w:r>
    </w:p>
    <w:p w14:paraId="08B783A9" w14:textId="77777777" w:rsidR="00425286" w:rsidRDefault="00425286">
      <w:pPr>
        <w:sectPr w:rsidR="00425286" w:rsidSect="003F54D9">
          <w:headerReference w:type="default" r:id="rId12"/>
          <w:footerReference w:type="default" r:id="rId13"/>
          <w:pgSz w:w="12240" w:h="15840"/>
          <w:pgMar w:top="1440" w:right="1440" w:bottom="1440" w:left="1440" w:header="720" w:footer="720" w:gutter="0"/>
          <w:cols w:space="720"/>
          <w:docGrid w:linePitch="360"/>
        </w:sectPr>
      </w:pPr>
    </w:p>
    <w:p w14:paraId="03428E4A" w14:textId="77777777" w:rsidR="00425286" w:rsidRDefault="00425286" w:rsidP="00920968">
      <w:pPr>
        <w:jc w:val="center"/>
      </w:pPr>
      <w:r w:rsidRPr="00C047AC">
        <w:rPr>
          <w:i/>
          <w:szCs w:val="24"/>
        </w:rPr>
        <w:lastRenderedPageBreak/>
        <w:t>(</w:t>
      </w:r>
      <w:r>
        <w:rPr>
          <w:i/>
          <w:szCs w:val="24"/>
        </w:rPr>
        <w:t>Revised November 27, 2019</w:t>
      </w:r>
      <w:r w:rsidRPr="00357E64">
        <w:rPr>
          <w:i/>
          <w:szCs w:val="24"/>
        </w:rPr>
        <w:t>)</w:t>
      </w:r>
    </w:p>
    <w:p w14:paraId="2B596096" w14:textId="77777777" w:rsidR="00425286" w:rsidRDefault="00425286" w:rsidP="00920968">
      <w:pPr>
        <w:pStyle w:val="Heading2"/>
      </w:pPr>
      <w:r>
        <w:rPr>
          <w:i/>
          <w:szCs w:val="24"/>
        </w:rPr>
        <w:br/>
      </w:r>
      <w:bookmarkStart w:id="19" w:name="_Toc37415673"/>
      <w:bookmarkStart w:id="20" w:name="_Toc37677415"/>
      <w:bookmarkStart w:id="21" w:name="BM216_4"/>
      <w:bookmarkStart w:id="22" w:name="_Toc37755751"/>
      <w:r w:rsidRPr="00135CE3">
        <w:rPr>
          <w:szCs w:val="24"/>
        </w:rPr>
        <w:t>PGI 216.4</w:t>
      </w:r>
      <w:r>
        <w:rPr>
          <w:szCs w:val="24"/>
        </w:rPr>
        <w:t>—</w:t>
      </w:r>
      <w:r w:rsidRPr="00135CE3">
        <w:rPr>
          <w:szCs w:val="24"/>
        </w:rPr>
        <w:t>INCENTIVE CONTRACTS</w:t>
      </w:r>
      <w:bookmarkEnd w:id="19"/>
      <w:bookmarkEnd w:id="20"/>
      <w:bookmarkEnd w:id="22"/>
    </w:p>
    <w:p w14:paraId="1EDB1AB6" w14:textId="77777777" w:rsidR="00425286" w:rsidRDefault="00425286" w:rsidP="00920968">
      <w:pPr>
        <w:pStyle w:val="Heading3"/>
      </w:pPr>
      <w:r>
        <w:rPr>
          <w:b/>
          <w:szCs w:val="24"/>
        </w:rPr>
        <w:br/>
      </w:r>
      <w:bookmarkStart w:id="23" w:name="_Toc37415674"/>
      <w:bookmarkStart w:id="24" w:name="_Toc37677416"/>
      <w:bookmarkStart w:id="25" w:name="_Toc37755752"/>
      <w:r>
        <w:rPr>
          <w:b/>
          <w:szCs w:val="24"/>
        </w:rPr>
        <w:t xml:space="preserve">PGI </w:t>
      </w:r>
      <w:proofErr w:type="gramStart"/>
      <w:r>
        <w:rPr>
          <w:b/>
          <w:szCs w:val="24"/>
        </w:rPr>
        <w:t>216.401  General</w:t>
      </w:r>
      <w:proofErr w:type="gramEnd"/>
      <w:r>
        <w:rPr>
          <w:b/>
          <w:szCs w:val="24"/>
        </w:rPr>
        <w:t>.</w:t>
      </w:r>
      <w:bookmarkEnd w:id="23"/>
      <w:bookmarkEnd w:id="24"/>
      <w:bookmarkEnd w:id="25"/>
    </w:p>
    <w:p w14:paraId="569C75C8" w14:textId="77777777" w:rsidR="00425286" w:rsidRDefault="00425286" w:rsidP="00920968">
      <w:pPr>
        <w:pStyle w:val="List1"/>
      </w:pPr>
      <w:r>
        <w:rPr>
          <w:b/>
        </w:rPr>
        <w:br/>
      </w:r>
      <w:r w:rsidRPr="00DB5A6C">
        <w:t xml:space="preserve">(c)  Incentive contracts.  DoD has established the Award and Incentive Fees Community of Practice (CoP) under the leadership of the Defense Acquisition University (DAU).  The CoP serves as the repository for all related materials including policy information, related training courses, examples of good award fee arrangements, and other supporting resources.  The CoP is available on the DAU Acquisition Community Connection at </w:t>
      </w:r>
      <w:hyperlink r:id="rId14" w:history="1">
        <w:r w:rsidRPr="0079034D">
          <w:rPr>
            <w:rStyle w:val="Hyperlink"/>
          </w:rPr>
          <w:t>https://acc.dau.mil/awardandincentivefees</w:t>
        </w:r>
      </w:hyperlink>
      <w:r w:rsidRPr="00DB5A6C">
        <w:t xml:space="preserve">.  Additional information can be found on the MAX website maintained by the Office of Management and Budget at: </w:t>
      </w:r>
      <w:hyperlink r:id="rId15" w:history="1">
        <w:r w:rsidRPr="00D457F8">
          <w:rPr>
            <w:rStyle w:val="Hyperlink"/>
          </w:rPr>
          <w:t>https://max.omb.gov</w:t>
        </w:r>
      </w:hyperlink>
      <w:r w:rsidRPr="00DB5A6C">
        <w:t>.</w:t>
      </w:r>
      <w:r>
        <w:t xml:space="preserve"> </w:t>
      </w:r>
    </w:p>
    <w:p w14:paraId="4B5F664D" w14:textId="77777777" w:rsidR="00425286" w:rsidRDefault="00425286" w:rsidP="00920968">
      <w:pPr>
        <w:pStyle w:val="List1"/>
      </w:pPr>
      <w:r>
        <w:br/>
      </w:r>
      <w:r w:rsidRPr="00DB5A6C">
        <w:t>(e)  Award-fee contracts.</w:t>
      </w:r>
    </w:p>
    <w:p w14:paraId="25E4805A" w14:textId="77777777" w:rsidR="00425286" w:rsidRDefault="00425286" w:rsidP="00025CF4">
      <w:pPr>
        <w:pStyle w:val="List3"/>
      </w:pPr>
      <w:r>
        <w:br/>
      </w:r>
      <w:r w:rsidRPr="00DB5A6C">
        <w:t>(</w:t>
      </w:r>
      <w:proofErr w:type="spellStart"/>
      <w:r w:rsidRPr="00DB5A6C">
        <w:t>i</w:t>
      </w:r>
      <w:proofErr w:type="spellEnd"/>
      <w:r w:rsidRPr="00DB5A6C">
        <w:t>)  It is DoD policy to utilize objective criteria, whenever possible, to measure contract performance.  In cases where an award-fee contract must be used due to lack of objective criteria, the contracting officer shall consult with the program manager and the fee determining official when developing the award-fee plan.  Award-fee criteria shall be linked directly to contract cost, schedule, and performance outcomes objectives.</w:t>
      </w:r>
    </w:p>
    <w:p w14:paraId="4A1CB125" w14:textId="77777777" w:rsidR="00425286" w:rsidRDefault="00425286" w:rsidP="00920968">
      <w:pPr>
        <w:pStyle w:val="List3"/>
      </w:pPr>
      <w:r>
        <w:rPr>
          <w:szCs w:val="24"/>
        </w:rPr>
        <w:br/>
      </w:r>
      <w:r w:rsidRPr="00DB5A6C">
        <w:rPr>
          <w:szCs w:val="24"/>
        </w:rPr>
        <w:t xml:space="preserve">(ii)  Award fees must be tied to identifiable interim outcomes, discrete events or milestones, as much as possible.  Examples of such interim milestones include timely completion of preliminary design review, critical design review, and successful system demonstration.  In situations where there may be no identifiable milestone for a year or more, consideration should be given to apportioning some of the award fee pool for a predetermined interim </w:t>
      </w:r>
      <w:proofErr w:type="gramStart"/>
      <w:r w:rsidRPr="00DB5A6C">
        <w:rPr>
          <w:szCs w:val="24"/>
        </w:rPr>
        <w:t>period of time</w:t>
      </w:r>
      <w:proofErr w:type="gramEnd"/>
      <w:r w:rsidRPr="00DB5A6C">
        <w:rPr>
          <w:szCs w:val="24"/>
        </w:rPr>
        <w:t xml:space="preserve"> based on assessing progress toward milestones.  In any case, award fee provisions must clearly explain how a contractor’s performance will be evaluated. </w:t>
      </w:r>
    </w:p>
    <w:p w14:paraId="49C4B7FA" w14:textId="77777777" w:rsidR="00425286" w:rsidRDefault="00425286" w:rsidP="00920968">
      <w:pPr>
        <w:pStyle w:val="List3"/>
      </w:pPr>
      <w:r>
        <w:rPr>
          <w:szCs w:val="24"/>
        </w:rPr>
        <w:br/>
      </w:r>
      <w:r w:rsidRPr="0075376C">
        <w:rPr>
          <w:szCs w:val="24"/>
        </w:rPr>
        <w:t xml:space="preserve">(iii)  </w:t>
      </w:r>
      <w:bookmarkStart w:id="26" w:name="OLE_LINK1"/>
      <w:r w:rsidRPr="0075376C">
        <w:rPr>
          <w:szCs w:val="24"/>
        </w:rPr>
        <w:t xml:space="preserve">The head of the contracting activity for each defense agency shall retain the D&amp;F for (a) all acquisition category (ACAT) I or II) programs, and (b) all non-ACAT I </w:t>
      </w:r>
      <w:r w:rsidRPr="0075376C">
        <w:rPr>
          <w:szCs w:val="24"/>
        </w:rPr>
        <w:lastRenderedPageBreak/>
        <w:t xml:space="preserve">or II contracts with an estimated value of $50 million or more. The head of the contracting activity shall forward the D&amp;Fs for ACAT I programs to Defense Pricing </w:t>
      </w:r>
      <w:r>
        <w:rPr>
          <w:szCs w:val="24"/>
        </w:rPr>
        <w:t>and Contracting/Contract Policy</w:t>
      </w:r>
      <w:r w:rsidRPr="0075376C">
        <w:rPr>
          <w:szCs w:val="24"/>
        </w:rPr>
        <w:t xml:space="preserve"> directorate DPC/CP) within 1 month of the end of the quarter.  Copies of D&amp;Fs on all contracts shall also be included in the contract file. </w:t>
      </w:r>
      <w:bookmarkEnd w:id="26"/>
    </w:p>
    <w:p w14:paraId="1AD2BC00" w14:textId="77777777" w:rsidR="00425286" w:rsidRDefault="00425286" w:rsidP="00920968">
      <w:pPr>
        <w:pStyle w:val="Heading3"/>
      </w:pPr>
      <w:r>
        <w:rPr>
          <w:szCs w:val="24"/>
        </w:rPr>
        <w:br/>
      </w:r>
      <w:bookmarkStart w:id="27" w:name="_Toc37415675"/>
      <w:bookmarkStart w:id="28" w:name="_Toc37677417"/>
      <w:bookmarkStart w:id="29" w:name="_Toc37755753"/>
      <w:r w:rsidRPr="00135CE3">
        <w:rPr>
          <w:b/>
          <w:szCs w:val="24"/>
        </w:rPr>
        <w:t xml:space="preserve">PGI </w:t>
      </w:r>
      <w:proofErr w:type="gramStart"/>
      <w:r w:rsidRPr="00135CE3">
        <w:rPr>
          <w:b/>
          <w:szCs w:val="24"/>
        </w:rPr>
        <w:t>216.402  Application</w:t>
      </w:r>
      <w:proofErr w:type="gramEnd"/>
      <w:r w:rsidRPr="00135CE3">
        <w:rPr>
          <w:b/>
          <w:szCs w:val="24"/>
        </w:rPr>
        <w:t xml:space="preserve"> of predetermined, formula-type incentives.</w:t>
      </w:r>
      <w:bookmarkEnd w:id="27"/>
      <w:bookmarkEnd w:id="28"/>
      <w:bookmarkEnd w:id="29"/>
    </w:p>
    <w:p w14:paraId="21831F19" w14:textId="77777777" w:rsidR="00425286" w:rsidRDefault="00425286" w:rsidP="00920968">
      <w:pPr>
        <w:pStyle w:val="Heading4"/>
      </w:pPr>
      <w:r>
        <w:rPr>
          <w:b/>
          <w:szCs w:val="24"/>
        </w:rPr>
        <w:br/>
      </w:r>
      <w:bookmarkStart w:id="30" w:name="_Toc37677418"/>
      <w:bookmarkStart w:id="31" w:name="_Toc37755754"/>
      <w:r w:rsidRPr="00135CE3">
        <w:rPr>
          <w:b/>
          <w:szCs w:val="24"/>
        </w:rPr>
        <w:t>PGI 216.402-</w:t>
      </w:r>
      <w:proofErr w:type="gramStart"/>
      <w:r w:rsidRPr="00135CE3">
        <w:rPr>
          <w:b/>
          <w:szCs w:val="24"/>
        </w:rPr>
        <w:t>2  Technical</w:t>
      </w:r>
      <w:proofErr w:type="gramEnd"/>
      <w:r w:rsidRPr="00135CE3">
        <w:rPr>
          <w:b/>
          <w:szCs w:val="24"/>
        </w:rPr>
        <w:t xml:space="preserve"> performance incentives.</w:t>
      </w:r>
      <w:bookmarkEnd w:id="30"/>
      <w:bookmarkEnd w:id="31"/>
    </w:p>
    <w:p w14:paraId="3E4CC66B" w14:textId="77777777" w:rsidR="00425286" w:rsidRDefault="00425286" w:rsidP="00920968">
      <w:r>
        <w:rPr>
          <w:b/>
          <w:szCs w:val="24"/>
        </w:rPr>
        <w:br/>
      </w:r>
      <w:r>
        <w:rPr>
          <w:szCs w:val="24"/>
        </w:rPr>
        <w:tab/>
      </w:r>
      <w:r w:rsidRPr="00135CE3">
        <w:rPr>
          <w:szCs w:val="24"/>
        </w:rPr>
        <w:t>Contractor performance incentives should relate to specific performance areas of milestones, such as delivery or test schedules, quality controls, maintenance requirements, and reliability standards.</w:t>
      </w:r>
    </w:p>
    <w:p w14:paraId="2264C386" w14:textId="77777777" w:rsidR="00425286" w:rsidRDefault="00425286" w:rsidP="00920968">
      <w:pPr>
        <w:pStyle w:val="Heading3"/>
      </w:pPr>
      <w:r>
        <w:rPr>
          <w:szCs w:val="24"/>
        </w:rPr>
        <w:br/>
      </w:r>
      <w:bookmarkStart w:id="32" w:name="_Toc37415676"/>
      <w:bookmarkStart w:id="33" w:name="_Toc37677419"/>
      <w:bookmarkStart w:id="34" w:name="_Toc37755755"/>
      <w:r w:rsidRPr="00135CE3">
        <w:rPr>
          <w:b/>
          <w:szCs w:val="24"/>
        </w:rPr>
        <w:t xml:space="preserve">PGI </w:t>
      </w:r>
      <w:proofErr w:type="gramStart"/>
      <w:r w:rsidRPr="00135CE3">
        <w:rPr>
          <w:b/>
          <w:szCs w:val="24"/>
        </w:rPr>
        <w:t>216.403  Fixed</w:t>
      </w:r>
      <w:proofErr w:type="gramEnd"/>
      <w:r w:rsidRPr="00135CE3">
        <w:rPr>
          <w:b/>
          <w:szCs w:val="24"/>
        </w:rPr>
        <w:t>-price incentive contracts.</w:t>
      </w:r>
      <w:bookmarkEnd w:id="32"/>
      <w:bookmarkEnd w:id="33"/>
      <w:bookmarkEnd w:id="34"/>
    </w:p>
    <w:p w14:paraId="0EADBE8E" w14:textId="77777777" w:rsidR="00425286" w:rsidRDefault="00425286" w:rsidP="00920968">
      <w:pPr>
        <w:pStyle w:val="Heading4"/>
      </w:pPr>
      <w:r>
        <w:rPr>
          <w:b/>
          <w:szCs w:val="24"/>
        </w:rPr>
        <w:br/>
      </w:r>
      <w:bookmarkStart w:id="35" w:name="_Toc37677420"/>
      <w:bookmarkStart w:id="36" w:name="_Toc37755756"/>
      <w:r w:rsidRPr="00B22E36">
        <w:rPr>
          <w:b/>
          <w:szCs w:val="24"/>
        </w:rPr>
        <w:t>PGI 216.403-</w:t>
      </w:r>
      <w:proofErr w:type="gramStart"/>
      <w:r w:rsidRPr="00B22E36">
        <w:rPr>
          <w:b/>
          <w:szCs w:val="24"/>
        </w:rPr>
        <w:t>1  Fixed</w:t>
      </w:r>
      <w:proofErr w:type="gramEnd"/>
      <w:r w:rsidRPr="00B22E36">
        <w:rPr>
          <w:b/>
          <w:szCs w:val="24"/>
        </w:rPr>
        <w:t>-price incentive (firm target) contracts.</w:t>
      </w:r>
      <w:bookmarkEnd w:id="35"/>
      <w:bookmarkEnd w:id="36"/>
    </w:p>
    <w:p w14:paraId="3A73FD04" w14:textId="77777777" w:rsidR="00425286" w:rsidRDefault="00425286" w:rsidP="00920968">
      <w:pPr>
        <w:pStyle w:val="List2"/>
      </w:pPr>
      <w:r>
        <w:rPr>
          <w:b/>
          <w:szCs w:val="24"/>
        </w:rPr>
        <w:br/>
      </w:r>
      <w:r w:rsidRPr="0062495B">
        <w:rPr>
          <w:szCs w:val="24"/>
        </w:rPr>
        <w:t xml:space="preserve">(1)  </w:t>
      </w:r>
      <w:r w:rsidRPr="0062495B">
        <w:rPr>
          <w:i/>
          <w:szCs w:val="24"/>
        </w:rPr>
        <w:t>Use of FPIF contract.</w:t>
      </w:r>
    </w:p>
    <w:p w14:paraId="0EBE5B79" w14:textId="77777777" w:rsidR="00425286" w:rsidRDefault="00425286" w:rsidP="00025CF4">
      <w:pPr>
        <w:pStyle w:val="List3"/>
      </w:pPr>
      <w:r>
        <w:rPr>
          <w:i/>
        </w:rPr>
        <w:br/>
      </w:r>
      <w:r w:rsidRPr="0062495B">
        <w:rPr>
          <w:i/>
        </w:rPr>
        <w:t>(</w:t>
      </w:r>
      <w:proofErr w:type="spellStart"/>
      <w:r w:rsidRPr="0062495B">
        <w:rPr>
          <w:i/>
        </w:rPr>
        <w:t>i</w:t>
      </w:r>
      <w:proofErr w:type="spellEnd"/>
      <w:r w:rsidRPr="0062495B">
        <w:rPr>
          <w:i/>
        </w:rPr>
        <w:t>)  Not mandatory.</w:t>
      </w:r>
      <w:r w:rsidRPr="0062495B">
        <w:t xml:space="preserve">  DFARS </w:t>
      </w:r>
      <w:hyperlink r:id="rId16" w:anchor="216.403-1" w:history="1">
        <w:r w:rsidRPr="0062495B">
          <w:rPr>
            <w:rStyle w:val="Hyperlink"/>
          </w:rPr>
          <w:t>216.403-1</w:t>
        </w:r>
      </w:hyperlink>
      <w:r w:rsidRPr="0062495B">
        <w:t xml:space="preserve">(b)(1) directs the contracting officer to give particular consideration to the use of fixed-price incentive (firm target) (FPIF) contracts, especially for acquisitions moving from development to production.  DFARS does not mandate the use of FPIF for initial production and each acquisition situation must be evaluated in terms of the degree and nature of the risk presented in order to select the proper contract type. </w:t>
      </w:r>
    </w:p>
    <w:p w14:paraId="37C7DC57" w14:textId="77777777" w:rsidR="00425286" w:rsidRDefault="00425286" w:rsidP="00920968">
      <w:pPr>
        <w:pStyle w:val="List3"/>
      </w:pPr>
      <w:r>
        <w:rPr>
          <w:szCs w:val="24"/>
        </w:rPr>
        <w:br/>
      </w:r>
      <w:r w:rsidRPr="0062495B">
        <w:rPr>
          <w:szCs w:val="24"/>
        </w:rPr>
        <w:t xml:space="preserve">(ii)  </w:t>
      </w:r>
      <w:r w:rsidRPr="0062495B">
        <w:rPr>
          <w:i/>
          <w:szCs w:val="24"/>
        </w:rPr>
        <w:t>Considerations.</w:t>
      </w:r>
      <w:r w:rsidRPr="0062495B">
        <w:rPr>
          <w:szCs w:val="24"/>
        </w:rPr>
        <w:t xml:space="preserve">  Volume 4, chapter 1, of the Contract Pricing Reference Guide provides a detailed discussion of the considerations involved in selecting the proper contract type.  For example:</w:t>
      </w:r>
    </w:p>
    <w:p w14:paraId="095CD5F8" w14:textId="77777777" w:rsidR="00425286" w:rsidRDefault="00425286" w:rsidP="00920968">
      <w:pPr>
        <w:pStyle w:val="List4"/>
      </w:pPr>
      <w:r>
        <w:rPr>
          <w:szCs w:val="24"/>
        </w:rPr>
        <w:lastRenderedPageBreak/>
        <w:br/>
      </w:r>
      <w:r w:rsidRPr="0062495B">
        <w:rPr>
          <w:szCs w:val="24"/>
        </w:rPr>
        <w:t>(A)  It is not in the Government’s best interest to use FPIF when the cost risk is so great that establishing a</w:t>
      </w:r>
      <w:r>
        <w:rPr>
          <w:szCs w:val="24"/>
        </w:rPr>
        <w:t xml:space="preserve"> ceiling price is unrealistic.</w:t>
      </w:r>
    </w:p>
    <w:p w14:paraId="49892ED6" w14:textId="77777777" w:rsidR="00425286" w:rsidRDefault="00425286" w:rsidP="00920968">
      <w:pPr>
        <w:pStyle w:val="List4"/>
      </w:pPr>
      <w:r>
        <w:rPr>
          <w:szCs w:val="24"/>
        </w:rPr>
        <w:br/>
      </w:r>
      <w:r w:rsidRPr="0062495B">
        <w:rPr>
          <w:szCs w:val="24"/>
        </w:rPr>
        <w:t xml:space="preserve">(B)  It is also not in the Government’s best interest to use firm-fixed-price (FFP) contracts on production programs until costs have become stable.  Therefore, FPIF </w:t>
      </w:r>
      <w:r>
        <w:rPr>
          <w:szCs w:val="24"/>
        </w:rPr>
        <w:t>c</w:t>
      </w:r>
      <w:r w:rsidRPr="0062495B">
        <w:rPr>
          <w:szCs w:val="24"/>
        </w:rPr>
        <w:t xml:space="preserve">ontracts should be considered in production </w:t>
      </w:r>
      <w:r w:rsidRPr="000E180E">
        <w:rPr>
          <w:szCs w:val="24"/>
        </w:rPr>
        <w:t>and sole source follow-on</w:t>
      </w:r>
      <w:r w:rsidRPr="0062495B">
        <w:rPr>
          <w:szCs w:val="24"/>
        </w:rPr>
        <w:t xml:space="preserve"> programs where actual costs on prior FFP</w:t>
      </w:r>
      <w:r>
        <w:rPr>
          <w:szCs w:val="24"/>
        </w:rPr>
        <w:t xml:space="preserve"> </w:t>
      </w:r>
      <w:r w:rsidRPr="0062495B">
        <w:rPr>
          <w:szCs w:val="24"/>
        </w:rPr>
        <w:t xml:space="preserve">contracts have varied by more than </w:t>
      </w:r>
      <w:r>
        <w:rPr>
          <w:szCs w:val="24"/>
        </w:rPr>
        <w:t xml:space="preserve">3-4 </w:t>
      </w:r>
      <w:r w:rsidRPr="0062495B">
        <w:rPr>
          <w:szCs w:val="24"/>
        </w:rPr>
        <w:t>percent from the costs considered negotiated.</w:t>
      </w:r>
      <w:r>
        <w:rPr>
          <w:szCs w:val="24"/>
        </w:rPr>
        <w:t xml:space="preserve">  </w:t>
      </w:r>
      <w:r w:rsidRPr="0062495B">
        <w:rPr>
          <w:szCs w:val="24"/>
        </w:rPr>
        <w:t>Contracting officers are reminded that actual costs on prior contracts for the same item</w:t>
      </w:r>
      <w:r>
        <w:rPr>
          <w:szCs w:val="24"/>
        </w:rPr>
        <w:t xml:space="preserve"> or essentially the same item</w:t>
      </w:r>
      <w:r w:rsidRPr="0062495B">
        <w:rPr>
          <w:szCs w:val="24"/>
        </w:rPr>
        <w:t xml:space="preserve">, regardless of contract type or data reporting requirements of the prior contract, are cost and pricing data on the pending contract, and </w:t>
      </w:r>
      <w:r>
        <w:rPr>
          <w:szCs w:val="24"/>
        </w:rPr>
        <w:t>must</w:t>
      </w:r>
      <w:r w:rsidRPr="0062495B">
        <w:rPr>
          <w:szCs w:val="24"/>
        </w:rPr>
        <w:t xml:space="preserve"> be obtained from the contractor on production programs when </w:t>
      </w:r>
      <w:r>
        <w:rPr>
          <w:szCs w:val="24"/>
        </w:rPr>
        <w:t xml:space="preserve">certified </w:t>
      </w:r>
      <w:r w:rsidRPr="0062495B">
        <w:rPr>
          <w:szCs w:val="24"/>
        </w:rPr>
        <w:t>cost</w:t>
      </w:r>
      <w:r>
        <w:rPr>
          <w:szCs w:val="24"/>
        </w:rPr>
        <w:t xml:space="preserve"> or pricing data are required.</w:t>
      </w:r>
    </w:p>
    <w:p w14:paraId="2ED693DF" w14:textId="77777777" w:rsidR="00425286" w:rsidRDefault="00425286" w:rsidP="00920968">
      <w:pPr>
        <w:pStyle w:val="List4"/>
      </w:pPr>
      <w:r>
        <w:rPr>
          <w:szCs w:val="24"/>
        </w:rPr>
        <w:br/>
      </w:r>
      <w:r w:rsidRPr="000E180E">
        <w:rPr>
          <w:szCs w:val="24"/>
        </w:rPr>
        <w:t xml:space="preserve">(C)  For sole source major systems procurements, contracting officers should utilize FPIF contracts instead of FFP contracts unless the reasons for significant variation are well understood and actions have been taken to ensure that significant variation will not recur.  In addition, when options are included as described in </w:t>
      </w:r>
      <w:hyperlink r:id="rId17" w:anchor="217.202" w:history="1">
        <w:r w:rsidRPr="00DC1654">
          <w:rPr>
            <w:rStyle w:val="Hyperlink"/>
            <w:szCs w:val="24"/>
          </w:rPr>
          <w:t>PGI 217.202</w:t>
        </w:r>
      </w:hyperlink>
      <w:r w:rsidRPr="000E180E">
        <w:rPr>
          <w:szCs w:val="24"/>
        </w:rPr>
        <w:t xml:space="preserve">(2), the use of FPIF contracts is both highly recommended and encouraged, because both parties will be assuming more risk in pricing </w:t>
      </w:r>
      <w:r>
        <w:rPr>
          <w:szCs w:val="24"/>
        </w:rPr>
        <w:t>multiple years of requirements.</w:t>
      </w:r>
    </w:p>
    <w:p w14:paraId="78F39A77" w14:textId="77777777" w:rsidR="00425286" w:rsidRDefault="00425286" w:rsidP="00920968">
      <w:pPr>
        <w:pStyle w:val="List2"/>
      </w:pPr>
      <w:r>
        <w:rPr>
          <w:szCs w:val="24"/>
        </w:rPr>
        <w:br/>
      </w:r>
      <w:r w:rsidRPr="0062495B">
        <w:rPr>
          <w:szCs w:val="24"/>
        </w:rPr>
        <w:t xml:space="preserve">(2)  </w:t>
      </w:r>
      <w:r w:rsidRPr="0062495B">
        <w:rPr>
          <w:i/>
          <w:szCs w:val="24"/>
        </w:rPr>
        <w:t>Incentive arrangement.</w:t>
      </w:r>
      <w:r w:rsidRPr="0062495B">
        <w:rPr>
          <w:szCs w:val="24"/>
        </w:rPr>
        <w:t xml:space="preserve">  DFARS </w:t>
      </w:r>
      <w:hyperlink r:id="rId18" w:anchor="216.403-1" w:history="1">
        <w:r w:rsidRPr="0062495B">
          <w:rPr>
            <w:rStyle w:val="Hyperlink"/>
            <w:szCs w:val="24"/>
          </w:rPr>
          <w:t>216.403-1</w:t>
        </w:r>
      </w:hyperlink>
      <w:r w:rsidRPr="0062495B">
        <w:rPr>
          <w:szCs w:val="24"/>
        </w:rPr>
        <w:t xml:space="preserve">(b)(2) directs the contracting officer to pay particular attention to share lines and ceiling prices for fixed-price incentive (firm target) contracts, with 120 percent ceiling and a 50/50 share ratio as the point of departure for establishing the incentive arrangement.  While DFARS does not mandate the use of these share ratios or ceiling percentage, it is not unreasonable to expect that upon entering into production, risks have been mitigated to the point that the DFARS recommended point of departure for an FPIF incentive arrangement would be normal.  </w:t>
      </w:r>
    </w:p>
    <w:p w14:paraId="3479B9DF" w14:textId="77777777" w:rsidR="00425286" w:rsidRDefault="00425286" w:rsidP="00920968">
      <w:pPr>
        <w:pStyle w:val="List2"/>
      </w:pPr>
      <w:r>
        <w:rPr>
          <w:szCs w:val="24"/>
        </w:rPr>
        <w:br/>
      </w:r>
      <w:r w:rsidRPr="0062495B">
        <w:rPr>
          <w:szCs w:val="24"/>
        </w:rPr>
        <w:t xml:space="preserve">(3)  </w:t>
      </w:r>
      <w:r w:rsidRPr="0062495B">
        <w:rPr>
          <w:i/>
          <w:szCs w:val="24"/>
        </w:rPr>
        <w:t xml:space="preserve">Analyzing risk. </w:t>
      </w:r>
      <w:r w:rsidRPr="0062495B">
        <w:rPr>
          <w:szCs w:val="24"/>
        </w:rPr>
        <w:t xml:space="preserve"> </w:t>
      </w:r>
    </w:p>
    <w:p w14:paraId="3CDC768E" w14:textId="77777777" w:rsidR="00425286" w:rsidRDefault="00425286" w:rsidP="00025CF4">
      <w:pPr>
        <w:pStyle w:val="List3"/>
      </w:pPr>
      <w:r>
        <w:br/>
      </w:r>
      <w:r w:rsidRPr="0062495B">
        <w:t>(</w:t>
      </w:r>
      <w:proofErr w:type="spellStart"/>
      <w:r w:rsidRPr="0062495B">
        <w:t>i</w:t>
      </w:r>
      <w:proofErr w:type="spellEnd"/>
      <w:r w:rsidRPr="0062495B">
        <w:t xml:space="preserve">)  </w:t>
      </w:r>
      <w:r w:rsidRPr="0062495B">
        <w:rPr>
          <w:i/>
        </w:rPr>
        <w:t>Quantification of risk.</w:t>
      </w:r>
      <w:r w:rsidRPr="0062495B">
        <w:t xml:space="preserve">  </w:t>
      </w:r>
    </w:p>
    <w:p w14:paraId="70BCF78E" w14:textId="77777777" w:rsidR="00425286" w:rsidRDefault="00425286" w:rsidP="00920968">
      <w:pPr>
        <w:pStyle w:val="List4"/>
      </w:pPr>
      <w:r>
        <w:rPr>
          <w:szCs w:val="24"/>
        </w:rPr>
        <w:br/>
      </w:r>
      <w:r w:rsidRPr="0062495B">
        <w:rPr>
          <w:szCs w:val="24"/>
        </w:rPr>
        <w:t xml:space="preserve">(A)  The first step is establishing a target cost for which the probability of an underrun and overrun are considered equal and therefore, the risks and rewards </w:t>
      </w:r>
      <w:r w:rsidRPr="0062495B">
        <w:rPr>
          <w:szCs w:val="24"/>
        </w:rPr>
        <w:lastRenderedPageBreak/>
        <w:t>are shared equally, hence the 50/50 share is the point of departure.  Equally important is determining that the contractor has a high probability of being able to accomplish the effort within a ceiling percentage of 120 percent.  In accomplishing both these steps, the</w:t>
      </w:r>
      <w:r>
        <w:rPr>
          <w:szCs w:val="24"/>
        </w:rPr>
        <w:t xml:space="preserve"> analysis of risk is essential.</w:t>
      </w:r>
    </w:p>
    <w:p w14:paraId="1C71F7DA" w14:textId="77777777" w:rsidR="00425286" w:rsidRDefault="00425286" w:rsidP="00920968">
      <w:pPr>
        <w:pStyle w:val="List4"/>
      </w:pPr>
      <w:r>
        <w:rPr>
          <w:szCs w:val="24"/>
        </w:rPr>
        <w:br/>
      </w:r>
      <w:r w:rsidRPr="0062495B">
        <w:rPr>
          <w:szCs w:val="24"/>
        </w:rPr>
        <w:t>(B)  Too often, risk is evaluated only in general terms without attempting to quantify the risk posed by the various elements of cost.  Also, a contracting officer may incorrectly fall back on the share ratios and ceiling percentages negotiated on prior contracts or other programs, without</w:t>
      </w:r>
      <w:r>
        <w:rPr>
          <w:szCs w:val="24"/>
        </w:rPr>
        <w:t xml:space="preserve"> examining the specific risks.</w:t>
      </w:r>
    </w:p>
    <w:p w14:paraId="5B3E2403" w14:textId="77777777" w:rsidR="00425286" w:rsidRDefault="00425286" w:rsidP="00920968">
      <w:pPr>
        <w:pStyle w:val="List4"/>
      </w:pPr>
      <w:r>
        <w:rPr>
          <w:szCs w:val="24"/>
        </w:rPr>
        <w:br/>
      </w:r>
      <w:r w:rsidRPr="0062495B">
        <w:rPr>
          <w:szCs w:val="24"/>
        </w:rPr>
        <w:t>(C)  Whether being used to select the proper contract type or establishing share lines and ceiling price on an FPIF contract, the analysis of risk as it pertains to the prime contractor is key.  From a contractor’s perspective, all risks, including technical and schedule risk, have financial ramifications.  Technical and schedule risks, if realized, generally translate into increased effort, which means increased cost.  Therefore, all risk can be translated into cost risk and quantified.  Risk always has two components that must be considered in the quantification:  the magnitude of the impact and the p</w:t>
      </w:r>
      <w:r>
        <w:rPr>
          <w:szCs w:val="24"/>
        </w:rPr>
        <w:t>robability that it will occur.</w:t>
      </w:r>
    </w:p>
    <w:p w14:paraId="79F85B4E" w14:textId="77777777" w:rsidR="00425286" w:rsidRDefault="00425286" w:rsidP="00920968">
      <w:pPr>
        <w:pStyle w:val="List4"/>
      </w:pPr>
      <w:r>
        <w:rPr>
          <w:szCs w:val="24"/>
        </w:rPr>
        <w:br/>
      </w:r>
      <w:r w:rsidRPr="0062495B">
        <w:rPr>
          <w:szCs w:val="24"/>
        </w:rPr>
        <w:t>(D)  When cost risk is quantified, it is much easier to establish a reasonable ceiling percentage.  The ceiling percentage is applicable to the target cost on the prime contract.  It is important to understand the degree of risk that various cost elements pose in relation to that target cost.  A discussion of the major cost elements and the risk implications follows in paragraphs (3)(ii) through (iv) of this section.</w:t>
      </w:r>
    </w:p>
    <w:p w14:paraId="47D3C5D5" w14:textId="77777777" w:rsidR="00425286" w:rsidRDefault="00425286" w:rsidP="00920968">
      <w:pPr>
        <w:pStyle w:val="List3"/>
      </w:pPr>
      <w:r>
        <w:rPr>
          <w:szCs w:val="24"/>
        </w:rPr>
        <w:br/>
      </w:r>
      <w:r w:rsidRPr="0062495B">
        <w:rPr>
          <w:szCs w:val="24"/>
        </w:rPr>
        <w:t xml:space="preserve">(ii)  </w:t>
      </w:r>
      <w:r w:rsidRPr="0062495B">
        <w:rPr>
          <w:i/>
          <w:szCs w:val="24"/>
        </w:rPr>
        <w:t>Subcontracts and material cost and risk.</w:t>
      </w:r>
    </w:p>
    <w:p w14:paraId="22595805" w14:textId="77777777" w:rsidR="00425286" w:rsidRDefault="00425286" w:rsidP="00920968">
      <w:pPr>
        <w:pStyle w:val="List4"/>
      </w:pPr>
      <w:r>
        <w:rPr>
          <w:szCs w:val="24"/>
        </w:rPr>
        <w:br/>
      </w:r>
      <w:r w:rsidRPr="0062495B">
        <w:rPr>
          <w:szCs w:val="24"/>
        </w:rPr>
        <w:t xml:space="preserve">(A)  In many prime contractors’ contracts, a substantial amount of risk is borne by subcontractors, not the prime contractor, via negotiated firm-fixed-price (FFP) subcontracts.  In the case of FFP subcontracts, the subcontractor is obligated to deliver at the negotiated price.  The risk to the prime contractor is the supplier’s failure to perform or perform on time.  Generally, that risk </w:t>
      </w:r>
      <w:proofErr w:type="gramStart"/>
      <w:r w:rsidRPr="0062495B">
        <w:rPr>
          <w:szCs w:val="24"/>
        </w:rPr>
        <w:t>is considered to be</w:t>
      </w:r>
      <w:proofErr w:type="gramEnd"/>
      <w:r w:rsidRPr="0062495B">
        <w:rPr>
          <w:szCs w:val="24"/>
        </w:rPr>
        <w:t xml:space="preserve"> low by both the prime and the subcontractor as evidenced by the FFP contract type.  In addition, the prime contractor will normally have priced effort for material management or subcontract administration to ensure timely performance on the </w:t>
      </w:r>
      <w:r w:rsidRPr="0062495B">
        <w:rPr>
          <w:szCs w:val="24"/>
        </w:rPr>
        <w:lastRenderedPageBreak/>
        <w:t>part of the suppliers.  This effort may be bid directly or indirectly (e.g., as part of an overhead expense) depending on the cont</w:t>
      </w:r>
      <w:r>
        <w:rPr>
          <w:szCs w:val="24"/>
        </w:rPr>
        <w:t>ractor’s accounting practices.</w:t>
      </w:r>
    </w:p>
    <w:p w14:paraId="589270E9" w14:textId="77777777" w:rsidR="00425286" w:rsidRDefault="00425286" w:rsidP="00920968">
      <w:pPr>
        <w:pStyle w:val="List4"/>
      </w:pPr>
      <w:r>
        <w:rPr>
          <w:szCs w:val="24"/>
        </w:rPr>
        <w:br/>
      </w:r>
      <w:r w:rsidRPr="0062495B">
        <w:rPr>
          <w:szCs w:val="24"/>
        </w:rPr>
        <w:t xml:space="preserve">(B)  The impact of negotiated FFP subcontracts on the prime contractor’s risk can be significant.  A prime contract with a 120 percent ceiling price provides overrun protection to the prime contractor equal to 20 percent of the target cost on the contract.  However, if FFP subcontracts represent half of the total contract cost, then half of the target cost is subject to little or no cost risk on the part of the prime contractor.  Therefore, the overrun protection provided by 20 percent of the target cost is </w:t>
      </w:r>
      <w:proofErr w:type="gramStart"/>
      <w:r w:rsidRPr="0062495B">
        <w:rPr>
          <w:szCs w:val="24"/>
        </w:rPr>
        <w:t>really closer</w:t>
      </w:r>
      <w:proofErr w:type="gramEnd"/>
      <w:r w:rsidRPr="0062495B">
        <w:rPr>
          <w:szCs w:val="24"/>
        </w:rPr>
        <w:t xml:space="preserve"> to 40 percent protection of the prime’s cost that is truly at risk to the prime contractor, which likely is significantly overstated.  Thus, a ceiling price less than 120 percent in this risk situatio</w:t>
      </w:r>
      <w:r>
        <w:rPr>
          <w:szCs w:val="24"/>
        </w:rPr>
        <w:t>n would be more appropriate.</w:t>
      </w:r>
    </w:p>
    <w:p w14:paraId="05028439" w14:textId="77777777" w:rsidR="00425286" w:rsidRDefault="00425286" w:rsidP="00920968">
      <w:pPr>
        <w:pStyle w:val="List4"/>
      </w:pPr>
      <w:r>
        <w:rPr>
          <w:szCs w:val="24"/>
        </w:rPr>
        <w:br/>
      </w:r>
      <w:r w:rsidRPr="0062495B">
        <w:rPr>
          <w:szCs w:val="24"/>
        </w:rPr>
        <w:t>(C)  For subcontracts that have not yet been negotiated between the prime and subcontractor at the time of negotiation of the prime contract, the degree of risk is essentially limited to the difference between the price proposed by the subcontractor and the subcontract value included in th</w:t>
      </w:r>
      <w:r>
        <w:rPr>
          <w:szCs w:val="24"/>
        </w:rPr>
        <w:t>e prime contractor’s proposal.</w:t>
      </w:r>
    </w:p>
    <w:p w14:paraId="4C972F8F" w14:textId="77777777" w:rsidR="00425286" w:rsidRDefault="00425286" w:rsidP="00920968">
      <w:pPr>
        <w:pStyle w:val="List4"/>
      </w:pPr>
      <w:r>
        <w:rPr>
          <w:szCs w:val="24"/>
        </w:rPr>
        <w:br/>
      </w:r>
      <w:r w:rsidRPr="0062495B">
        <w:rPr>
          <w:szCs w:val="24"/>
        </w:rPr>
        <w:t xml:space="preserve">(D)  For subcontracts that are not FFP, the risk to the prime is based on the risk represented by the subcontractors’ contractual relationship with the prime.   If the subcontract is FPIF and has a 50/50 share ratio and 120 percent ceiling, the prime’s risk is 50 percent of each dollar of overrun up to the ceiling amount.  An analysis of the subcontractor’s risk would be necessary to determine the probability </w:t>
      </w:r>
      <w:r>
        <w:rPr>
          <w:szCs w:val="24"/>
        </w:rPr>
        <w:t>of reaching the ceiling price.</w:t>
      </w:r>
    </w:p>
    <w:p w14:paraId="5F086B45" w14:textId="77777777" w:rsidR="00425286" w:rsidRDefault="00425286" w:rsidP="00920968">
      <w:pPr>
        <w:pStyle w:val="List3"/>
      </w:pPr>
      <w:r>
        <w:rPr>
          <w:szCs w:val="24"/>
        </w:rPr>
        <w:br/>
      </w:r>
      <w:r w:rsidRPr="0062495B">
        <w:rPr>
          <w:szCs w:val="24"/>
        </w:rPr>
        <w:t xml:space="preserve">(iii)  </w:t>
      </w:r>
      <w:r w:rsidRPr="0062495B">
        <w:rPr>
          <w:i/>
          <w:szCs w:val="24"/>
        </w:rPr>
        <w:t>Direct labor cost and risk.</w:t>
      </w:r>
    </w:p>
    <w:p w14:paraId="61082C9A" w14:textId="77777777" w:rsidR="00425286" w:rsidRDefault="00425286" w:rsidP="00920968">
      <w:pPr>
        <w:pStyle w:val="List4"/>
      </w:pPr>
      <w:r>
        <w:rPr>
          <w:szCs w:val="24"/>
        </w:rPr>
        <w:br/>
      </w:r>
      <w:r w:rsidRPr="0062495B">
        <w:rPr>
          <w:szCs w:val="24"/>
        </w:rPr>
        <w:t xml:space="preserve">(A)  The risk in direct labor is in the hours needed to perform the effort and the risk in the labor rates paid to employees.  There is generally little risk in the direct labor rates.  However, there are various levels of risk in the direct labor hours needed by the prime contractor to accomplish the contract requirements.  This risk can be driven by </w:t>
      </w:r>
      <w:proofErr w:type="gramStart"/>
      <w:r w:rsidRPr="0062495B">
        <w:rPr>
          <w:szCs w:val="24"/>
        </w:rPr>
        <w:t>a number of</w:t>
      </w:r>
      <w:proofErr w:type="gramEnd"/>
      <w:r w:rsidRPr="0062495B">
        <w:rPr>
          <w:szCs w:val="24"/>
        </w:rPr>
        <w:t xml:space="preserve"> factors including technical complexity, schedule constraints, or availability of personnel, parts, or tooling.  Risks vary by task and the key is to identify the major tasks and assess the “what if” impact at </w:t>
      </w:r>
      <w:r>
        <w:rPr>
          <w:szCs w:val="24"/>
        </w:rPr>
        <w:t>the total contract cost level.</w:t>
      </w:r>
    </w:p>
    <w:p w14:paraId="11A3F76D" w14:textId="77777777" w:rsidR="00425286" w:rsidRDefault="00425286" w:rsidP="00920968">
      <w:pPr>
        <w:pStyle w:val="List4"/>
      </w:pPr>
      <w:r>
        <w:rPr>
          <w:szCs w:val="24"/>
        </w:rPr>
        <w:lastRenderedPageBreak/>
        <w:br/>
      </w:r>
      <w:r w:rsidRPr="0062495B">
        <w:rPr>
          <w:szCs w:val="24"/>
        </w:rPr>
        <w:t>(B)  Schedule is often correctly cited as a risk factor, but it is important to understand and quantify the probability and impact of a potential schedule slip. Generally, any schedule slip can only affect the prime contractor’s in-house cost.  Therefore, any schedule impact should be assessed on the impact it would have on the prime contracto</w:t>
      </w:r>
      <w:r>
        <w:rPr>
          <w:szCs w:val="24"/>
        </w:rPr>
        <w:t>r’s performance of its tasks.</w:t>
      </w:r>
    </w:p>
    <w:p w14:paraId="5A57BE27" w14:textId="77777777" w:rsidR="00425286" w:rsidRDefault="00425286" w:rsidP="00920968">
      <w:pPr>
        <w:pStyle w:val="List4"/>
      </w:pPr>
      <w:r>
        <w:rPr>
          <w:szCs w:val="24"/>
        </w:rPr>
        <w:br/>
      </w:r>
      <w:r w:rsidRPr="0062495B">
        <w:rPr>
          <w:szCs w:val="24"/>
        </w:rPr>
        <w:t xml:space="preserve">(C)  However, it is wrong to assume the worst-case scenario that a schedule delay results in an extension of the entire prime contractor workforce for the period of the delay.  A responsible contractor will take steps to minimize both the delay and the impact of that delay.  For instance, a production schedule assumes an optimal sequencing of tasks which presumes the timely arrival and availability of parts from suppliers or other in-house sources.  A delay in receiving parts as planned could require a resequencing of tasks and could adversely affect the efficiency of performing </w:t>
      </w:r>
      <w:proofErr w:type="gramStart"/>
      <w:r w:rsidRPr="0062495B">
        <w:rPr>
          <w:szCs w:val="24"/>
        </w:rPr>
        <w:t>a number of</w:t>
      </w:r>
      <w:proofErr w:type="gramEnd"/>
      <w:r w:rsidRPr="0062495B">
        <w:rPr>
          <w:szCs w:val="24"/>
        </w:rPr>
        <w:t xml:space="preserve"> tasks, but it will not cause the entire workforce to be idle during the delay.  </w:t>
      </w:r>
    </w:p>
    <w:p w14:paraId="7326C8CA" w14:textId="77777777" w:rsidR="00425286" w:rsidRDefault="00425286" w:rsidP="00920968">
      <w:pPr>
        <w:pStyle w:val="List3"/>
      </w:pPr>
      <w:r>
        <w:rPr>
          <w:szCs w:val="24"/>
        </w:rPr>
        <w:br/>
      </w:r>
      <w:r w:rsidRPr="0062495B">
        <w:rPr>
          <w:szCs w:val="24"/>
        </w:rPr>
        <w:t xml:space="preserve">(iv)  </w:t>
      </w:r>
      <w:r w:rsidRPr="0062495B">
        <w:rPr>
          <w:i/>
          <w:szCs w:val="24"/>
        </w:rPr>
        <w:t>Indirect (e.g., overhead) cost and risk.</w:t>
      </w:r>
      <w:r w:rsidRPr="0062495B">
        <w:rPr>
          <w:szCs w:val="24"/>
        </w:rPr>
        <w:t xml:space="preserve">  Overhead and other indirect costs (e.g., general and administrative expense) can represent a significant portion of the prime contractor’s in-house cost.  Indirect expense (hereafter referred to as overhead) poses potential cost growth risk or the opportunity for cost reduction from the following two perspectives:</w:t>
      </w:r>
    </w:p>
    <w:p w14:paraId="31F1D96E" w14:textId="77777777" w:rsidR="00425286" w:rsidRDefault="00425286" w:rsidP="00920968">
      <w:pPr>
        <w:pStyle w:val="List4"/>
      </w:pPr>
      <w:r>
        <w:rPr>
          <w:szCs w:val="24"/>
        </w:rPr>
        <w:br/>
      </w:r>
      <w:r w:rsidRPr="0062495B">
        <w:rPr>
          <w:szCs w:val="24"/>
        </w:rPr>
        <w:t xml:space="preserve">(A)  </w:t>
      </w:r>
      <w:r w:rsidRPr="0062495B">
        <w:rPr>
          <w:i/>
          <w:szCs w:val="24"/>
        </w:rPr>
        <w:t>Actual overhead rate.</w:t>
      </w:r>
      <w:r w:rsidRPr="0062495B">
        <w:rPr>
          <w:szCs w:val="24"/>
        </w:rPr>
        <w:t xml:space="preserve"> (</w:t>
      </w:r>
      <w:r w:rsidRPr="0062495B">
        <w:rPr>
          <w:i/>
          <w:szCs w:val="24"/>
        </w:rPr>
        <w:t>1</w:t>
      </w:r>
      <w:r w:rsidRPr="0062495B">
        <w:rPr>
          <w:szCs w:val="24"/>
        </w:rPr>
        <w:t xml:space="preserve">)  First, the actual overhead rate could be different than that proposed.  Proposed overhead rates, even those covered by a forward pricing rate agreement, are based on forecasts of overhead expenses and the bases to which they are applied.  The final overhead rate that is </w:t>
      </w:r>
      <w:proofErr w:type="gramStart"/>
      <w:r w:rsidRPr="0062495B">
        <w:rPr>
          <w:szCs w:val="24"/>
        </w:rPr>
        <w:t>actually applied</w:t>
      </w:r>
      <w:proofErr w:type="gramEnd"/>
      <w:r w:rsidRPr="0062495B">
        <w:rPr>
          <w:szCs w:val="24"/>
        </w:rPr>
        <w:t xml:space="preserve"> (charged) to a contract will be based on the actual overhead expenses and the actual base, each of which could be considerably different than estimated.  The net effect could be a higher or lower</w:t>
      </w:r>
      <w:r>
        <w:rPr>
          <w:szCs w:val="24"/>
        </w:rPr>
        <w:t xml:space="preserve"> overhead rate than estimated.</w:t>
      </w:r>
    </w:p>
    <w:p w14:paraId="262F281B" w14:textId="77777777" w:rsidR="00425286" w:rsidRDefault="00425286" w:rsidP="00920968">
      <w:pPr>
        <w:pStyle w:val="List6"/>
      </w:pPr>
      <w:r>
        <w:br/>
      </w:r>
      <w:r w:rsidRPr="0062495B">
        <w:rPr>
          <w:i/>
        </w:rPr>
        <w:t>(2</w:t>
      </w:r>
      <w:r w:rsidRPr="0062495B">
        <w:t xml:space="preserve">)  In general, the risk in an overhead rate tends to be driven more by fluctuations in the base than in the expenses.  This is because overhead expenses are made up of expenses that consist of “fixed” (e.g., depreciation) and variable (e.g., fringe benefits) in nature.  When the actual base turns out to be lower than the estimated base, the fixed costs are spread over a </w:t>
      </w:r>
      <w:r w:rsidRPr="0062495B">
        <w:lastRenderedPageBreak/>
        <w:t>smaller base resulting in a higher overhead rate.  In general, if the actual base is greater than estimated, a lo</w:t>
      </w:r>
      <w:r>
        <w:t xml:space="preserve">wer overhead rate will result. </w:t>
      </w:r>
    </w:p>
    <w:p w14:paraId="7A2250CC" w14:textId="77777777" w:rsidR="00425286" w:rsidRDefault="00425286" w:rsidP="00920968">
      <w:pPr>
        <w:pStyle w:val="List6"/>
      </w:pPr>
      <w:r>
        <w:br/>
      </w:r>
      <w:r w:rsidRPr="0062495B">
        <w:t>(</w:t>
      </w:r>
      <w:r w:rsidRPr="0062495B">
        <w:rPr>
          <w:i/>
        </w:rPr>
        <w:t>3</w:t>
      </w:r>
      <w:r w:rsidRPr="0062495B">
        <w:t xml:space="preserve">)  In assessing this risk, the contracting officer should consider the contractor’s ability to predict overhead rates based on comparing proposed versus actual rates for prior years.  In making this comparison, it is important to do so in a manner consistent with the proposal being reviewed.  For instance, if </w:t>
      </w:r>
      <w:proofErr w:type="gramStart"/>
      <w:r w:rsidRPr="0062495B">
        <w:t>the majority of</w:t>
      </w:r>
      <w:proofErr w:type="gramEnd"/>
      <w:r w:rsidRPr="0062495B">
        <w:t xml:space="preserve"> overhead costs on the proposal being reviewed occur two years in the future, the comparison should look at the contractor’s accuracy in predicting overhead rates two years in advance.  For example, in looking at the 2009 actual overhead rate, what did the contractor propose for 2009 in its 2007 forward pricing rate proposal?</w:t>
      </w:r>
    </w:p>
    <w:p w14:paraId="11829CC5" w14:textId="77777777" w:rsidR="00425286" w:rsidRDefault="00425286" w:rsidP="00920968">
      <w:pPr>
        <w:pStyle w:val="List4"/>
      </w:pPr>
      <w:r>
        <w:rPr>
          <w:szCs w:val="24"/>
        </w:rPr>
        <w:br/>
      </w:r>
      <w:r w:rsidRPr="0062495B">
        <w:rPr>
          <w:szCs w:val="24"/>
        </w:rPr>
        <w:t xml:space="preserve">(B)  </w:t>
      </w:r>
      <w:r w:rsidRPr="0062495B">
        <w:rPr>
          <w:i/>
          <w:szCs w:val="24"/>
        </w:rPr>
        <w:t>Actual base cost.</w:t>
      </w:r>
      <w:r w:rsidRPr="0062495B">
        <w:rPr>
          <w:szCs w:val="24"/>
        </w:rPr>
        <w:t xml:space="preserve">  If the actual base cost on the contract (e.g., direct labor dollars) is different than that proposed, the contract will be charged overhead costs according to the actual base costs on that contract.  If the contractor overruns direct labor, even if the actual labor overhead rate was the same as proposed, that rate would be applied to a higher base resulting in increased overhead dollars on that contract.  The opposite would be true if the contractor underruns direct labor on the contract.  Since this aspect of risk is tied to the base cost on the contract, the risk is the same as it is for those base costs (e.g., direct labor, material).</w:t>
      </w:r>
    </w:p>
    <w:p w14:paraId="5AC4F261" w14:textId="77777777" w:rsidR="00425286" w:rsidRDefault="00425286" w:rsidP="00920968">
      <w:pPr>
        <w:pStyle w:val="Heading4"/>
      </w:pPr>
      <w:r>
        <w:br/>
      </w:r>
      <w:bookmarkStart w:id="37" w:name="_Toc37677421"/>
      <w:bookmarkStart w:id="38" w:name="_Toc37755757"/>
      <w:r w:rsidRPr="00135CE3">
        <w:rPr>
          <w:b/>
        </w:rPr>
        <w:t>PGI 216.403-</w:t>
      </w:r>
      <w:proofErr w:type="gramStart"/>
      <w:r w:rsidRPr="00135CE3">
        <w:rPr>
          <w:b/>
        </w:rPr>
        <w:t>2  Fixed</w:t>
      </w:r>
      <w:proofErr w:type="gramEnd"/>
      <w:r w:rsidRPr="00135CE3">
        <w:rPr>
          <w:b/>
        </w:rPr>
        <w:t>-price incentive (successive targets) contracts.</w:t>
      </w:r>
      <w:bookmarkEnd w:id="37"/>
      <w:bookmarkEnd w:id="38"/>
    </w:p>
    <w:p w14:paraId="509351A6" w14:textId="77777777" w:rsidR="00425286" w:rsidRDefault="00425286" w:rsidP="00920968">
      <w:r>
        <w:rPr>
          <w:b/>
          <w:szCs w:val="24"/>
        </w:rPr>
        <w:br/>
      </w:r>
      <w:r>
        <w:rPr>
          <w:szCs w:val="24"/>
        </w:rPr>
        <w:tab/>
      </w:r>
      <w:r w:rsidRPr="00135CE3">
        <w:rPr>
          <w:szCs w:val="24"/>
        </w:rPr>
        <w:t xml:space="preserve">The formula specified in FAR 16.403-2(a)(1)(iii) does not apply for the life of the contract.  It is used to fix the firm target profit for the contract.  To provide an incentive consistent with the circumstances, the formula should reflect the relative risk involved in establishing an incentive arrangement where cost and pricing information were not </w:t>
      </w:r>
      <w:proofErr w:type="gramStart"/>
      <w:r w:rsidRPr="00135CE3">
        <w:rPr>
          <w:szCs w:val="24"/>
        </w:rPr>
        <w:t>sufficient</w:t>
      </w:r>
      <w:proofErr w:type="gramEnd"/>
      <w:r w:rsidRPr="00135CE3">
        <w:rPr>
          <w:szCs w:val="24"/>
        </w:rPr>
        <w:t xml:space="preserve"> to permit the negotiation of firm targets at the outset.</w:t>
      </w:r>
    </w:p>
    <w:p w14:paraId="3EB0220D" w14:textId="77777777" w:rsidR="00425286" w:rsidRDefault="00425286" w:rsidP="00920968">
      <w:pPr>
        <w:pStyle w:val="Heading3"/>
      </w:pPr>
      <w:r>
        <w:rPr>
          <w:szCs w:val="24"/>
        </w:rPr>
        <w:lastRenderedPageBreak/>
        <w:br/>
      </w:r>
      <w:bookmarkStart w:id="39" w:name="_Toc37415677"/>
      <w:bookmarkStart w:id="40" w:name="_Toc37677422"/>
      <w:bookmarkStart w:id="41" w:name="_Toc37755758"/>
      <w:r w:rsidRPr="00135CE3">
        <w:rPr>
          <w:b/>
          <w:szCs w:val="24"/>
        </w:rPr>
        <w:t xml:space="preserve">PGI </w:t>
      </w:r>
      <w:proofErr w:type="gramStart"/>
      <w:r w:rsidRPr="00135CE3">
        <w:rPr>
          <w:b/>
          <w:szCs w:val="24"/>
        </w:rPr>
        <w:t>216.405  Cost</w:t>
      </w:r>
      <w:proofErr w:type="gramEnd"/>
      <w:r w:rsidRPr="00135CE3">
        <w:rPr>
          <w:b/>
          <w:szCs w:val="24"/>
        </w:rPr>
        <w:t>-reimbursement incentive contracts.</w:t>
      </w:r>
      <w:bookmarkEnd w:id="39"/>
      <w:bookmarkEnd w:id="40"/>
      <w:bookmarkEnd w:id="41"/>
    </w:p>
    <w:p w14:paraId="061710E9" w14:textId="77777777" w:rsidR="00425286" w:rsidRDefault="00425286" w:rsidP="00920968">
      <w:pPr>
        <w:pStyle w:val="Heading4"/>
      </w:pPr>
      <w:r>
        <w:rPr>
          <w:b/>
          <w:szCs w:val="24"/>
        </w:rPr>
        <w:br/>
      </w:r>
      <w:bookmarkStart w:id="42" w:name="_Toc37677423"/>
      <w:bookmarkStart w:id="43" w:name="_Toc37755759"/>
      <w:r w:rsidRPr="00135CE3">
        <w:rPr>
          <w:b/>
          <w:szCs w:val="24"/>
        </w:rPr>
        <w:t>PGI 216.405-</w:t>
      </w:r>
      <w:proofErr w:type="gramStart"/>
      <w:r w:rsidRPr="00135CE3">
        <w:rPr>
          <w:b/>
          <w:szCs w:val="24"/>
        </w:rPr>
        <w:t>1  Cost</w:t>
      </w:r>
      <w:proofErr w:type="gramEnd"/>
      <w:r w:rsidRPr="00135CE3">
        <w:rPr>
          <w:b/>
          <w:szCs w:val="24"/>
        </w:rPr>
        <w:t>-plus-incentive-fee contracts.</w:t>
      </w:r>
      <w:bookmarkEnd w:id="42"/>
      <w:bookmarkEnd w:id="43"/>
    </w:p>
    <w:p w14:paraId="3DF0795C" w14:textId="77777777" w:rsidR="00425286" w:rsidRDefault="00425286" w:rsidP="00920968">
      <w:r>
        <w:rPr>
          <w:b/>
          <w:szCs w:val="24"/>
        </w:rPr>
        <w:br/>
      </w:r>
      <w:r>
        <w:rPr>
          <w:szCs w:val="24"/>
        </w:rPr>
        <w:tab/>
      </w:r>
      <w:r w:rsidRPr="00135CE3">
        <w:rPr>
          <w:szCs w:val="24"/>
        </w:rPr>
        <w:t>Give appropriate weight to basic acquisition objectives in negotiating the range of fee and the fee adjustment formula.  For example—</w:t>
      </w:r>
    </w:p>
    <w:p w14:paraId="4D6C9989" w14:textId="77777777" w:rsidR="00425286" w:rsidRDefault="00425286" w:rsidP="00920968">
      <w:pPr>
        <w:pStyle w:val="List2"/>
      </w:pPr>
      <w:r>
        <w:rPr>
          <w:szCs w:val="24"/>
        </w:rPr>
        <w:br/>
      </w:r>
      <w:r w:rsidRPr="00135CE3">
        <w:rPr>
          <w:szCs w:val="24"/>
        </w:rPr>
        <w:t>(1)  In an initial product development contract, it may be appropriate to provide for relatively small adjustments in fee tied to the cost incentive feature, but provide for significant adjustments if the contractor meets or surpasses performance targets</w:t>
      </w:r>
      <w:r>
        <w:rPr>
          <w:szCs w:val="24"/>
        </w:rPr>
        <w:t>; and</w:t>
      </w:r>
    </w:p>
    <w:p w14:paraId="5A4AF1D0" w14:textId="77777777" w:rsidR="00425286" w:rsidRDefault="00425286" w:rsidP="00920968">
      <w:pPr>
        <w:pStyle w:val="List2"/>
      </w:pPr>
      <w:r>
        <w:rPr>
          <w:szCs w:val="24"/>
        </w:rPr>
        <w:br/>
      </w:r>
      <w:r w:rsidRPr="00135CE3">
        <w:rPr>
          <w:szCs w:val="24"/>
        </w:rPr>
        <w:t>(2)  In subsequent development and test contracts, it may be appropriate to negotiate an incentive formula tied primarily to the contractor's success in controlling costs.</w:t>
      </w:r>
    </w:p>
    <w:p w14:paraId="082B98A0" w14:textId="77777777" w:rsidR="00425286" w:rsidRDefault="00425286" w:rsidP="00920968">
      <w:pPr>
        <w:pStyle w:val="Heading4"/>
      </w:pPr>
      <w:r>
        <w:rPr>
          <w:szCs w:val="24"/>
        </w:rPr>
        <w:br/>
      </w:r>
      <w:bookmarkStart w:id="44" w:name="_Toc37677424"/>
      <w:bookmarkStart w:id="45" w:name="_Toc37755760"/>
      <w:r w:rsidRPr="00135CE3">
        <w:rPr>
          <w:b/>
          <w:szCs w:val="24"/>
        </w:rPr>
        <w:t>PGI 216.405-</w:t>
      </w:r>
      <w:proofErr w:type="gramStart"/>
      <w:r w:rsidRPr="00135CE3">
        <w:rPr>
          <w:b/>
          <w:szCs w:val="24"/>
        </w:rPr>
        <w:t>2  Cost</w:t>
      </w:r>
      <w:proofErr w:type="gramEnd"/>
      <w:r w:rsidRPr="00135CE3">
        <w:rPr>
          <w:b/>
          <w:szCs w:val="24"/>
        </w:rPr>
        <w:t>-plus-award-fee contracts.</w:t>
      </w:r>
      <w:bookmarkEnd w:id="44"/>
      <w:bookmarkEnd w:id="45"/>
    </w:p>
    <w:p w14:paraId="0B8AE05C" w14:textId="77777777" w:rsidR="00425286" w:rsidRDefault="00425286" w:rsidP="00920968">
      <w:pPr>
        <w:pStyle w:val="List2"/>
      </w:pPr>
      <w:r>
        <w:rPr>
          <w:b/>
          <w:szCs w:val="24"/>
        </w:rPr>
        <w:br/>
      </w:r>
      <w:r w:rsidRPr="004C1846">
        <w:rPr>
          <w:szCs w:val="24"/>
        </w:rPr>
        <w:t xml:space="preserve">(1)  Although weighted guidelines do not apply per DFARS </w:t>
      </w:r>
      <w:hyperlink r:id="rId19" w:anchor="216.405-2" w:history="1">
        <w:r w:rsidRPr="00AF6ADA">
          <w:rPr>
            <w:rStyle w:val="Hyperlink"/>
            <w:szCs w:val="24"/>
          </w:rPr>
          <w:t>216.405-2</w:t>
        </w:r>
      </w:hyperlink>
      <w:r w:rsidRPr="004C1846">
        <w:rPr>
          <w:szCs w:val="24"/>
        </w:rPr>
        <w:t>(3)(ii) when definitizing a contract action, the contracting officer shall, nevertheless, separately assess and document the reduced cost risk on the contract for—</w:t>
      </w:r>
    </w:p>
    <w:p w14:paraId="69CDDFAB" w14:textId="77777777" w:rsidR="00425286" w:rsidRDefault="00425286" w:rsidP="00025CF4">
      <w:pPr>
        <w:pStyle w:val="List3"/>
      </w:pPr>
      <w:r>
        <w:br/>
      </w:r>
      <w:r w:rsidRPr="004C1846">
        <w:t>(</w:t>
      </w:r>
      <w:proofErr w:type="spellStart"/>
      <w:r w:rsidRPr="004C1846">
        <w:t>i</w:t>
      </w:r>
      <w:proofErr w:type="spellEnd"/>
      <w:r w:rsidRPr="004C1846">
        <w:t xml:space="preserve">)  The period up to the date of </w:t>
      </w:r>
      <w:proofErr w:type="spellStart"/>
      <w:r w:rsidRPr="004C1846">
        <w:t>definitization</w:t>
      </w:r>
      <w:proofErr w:type="spellEnd"/>
      <w:r w:rsidRPr="004C1846">
        <w:t>; as well as</w:t>
      </w:r>
    </w:p>
    <w:p w14:paraId="1A0A9072" w14:textId="77777777" w:rsidR="00425286" w:rsidRDefault="00425286" w:rsidP="00920968">
      <w:pPr>
        <w:pStyle w:val="List3"/>
      </w:pPr>
      <w:r>
        <w:rPr>
          <w:szCs w:val="24"/>
        </w:rPr>
        <w:br/>
      </w:r>
      <w:r w:rsidRPr="004C1846">
        <w:rPr>
          <w:szCs w:val="24"/>
        </w:rPr>
        <w:t xml:space="preserve">(ii)  The remaining period of performance (see DFARS </w:t>
      </w:r>
      <w:hyperlink r:id="rId20" w:anchor="217.7404-6" w:history="1">
        <w:r w:rsidRPr="00AF6ADA">
          <w:rPr>
            <w:rStyle w:val="Hyperlink"/>
            <w:szCs w:val="24"/>
          </w:rPr>
          <w:t>217.7404-6</w:t>
        </w:r>
      </w:hyperlink>
      <w:r w:rsidRPr="004C1846">
        <w:rPr>
          <w:szCs w:val="24"/>
        </w:rPr>
        <w:t>).</w:t>
      </w:r>
    </w:p>
    <w:p w14:paraId="2254196B" w14:textId="77777777" w:rsidR="00425286" w:rsidRDefault="00425286" w:rsidP="00920968">
      <w:pPr>
        <w:pStyle w:val="List2"/>
      </w:pPr>
      <w:r>
        <w:rPr>
          <w:szCs w:val="24"/>
        </w:rPr>
        <w:br/>
      </w:r>
      <w:r w:rsidRPr="00135CE3">
        <w:rPr>
          <w:szCs w:val="24"/>
        </w:rPr>
        <w:t>(</w:t>
      </w:r>
      <w:r>
        <w:rPr>
          <w:szCs w:val="24"/>
        </w:rPr>
        <w:t>2</w:t>
      </w:r>
      <w:r w:rsidRPr="00135CE3">
        <w:rPr>
          <w:szCs w:val="24"/>
        </w:rPr>
        <w:t xml:space="preserve">)  Normally, award fee is not earned when the fee-determining official has determined that contractor performance has been </w:t>
      </w:r>
      <w:proofErr w:type="spellStart"/>
      <w:r w:rsidRPr="00135CE3">
        <w:rPr>
          <w:szCs w:val="24"/>
        </w:rPr>
        <w:t>submarginal</w:t>
      </w:r>
      <w:proofErr w:type="spellEnd"/>
      <w:r w:rsidRPr="00135CE3">
        <w:rPr>
          <w:szCs w:val="24"/>
        </w:rPr>
        <w:t xml:space="preserve"> or unsatisfactory.</w:t>
      </w:r>
    </w:p>
    <w:p w14:paraId="0F5FD399" w14:textId="77777777" w:rsidR="00425286" w:rsidRDefault="00425286" w:rsidP="00920968">
      <w:pPr>
        <w:pStyle w:val="List2"/>
      </w:pPr>
      <w:r>
        <w:rPr>
          <w:szCs w:val="24"/>
        </w:rPr>
        <w:br/>
      </w:r>
      <w:r w:rsidRPr="00135CE3">
        <w:rPr>
          <w:szCs w:val="24"/>
        </w:rPr>
        <w:t>(</w:t>
      </w:r>
      <w:r>
        <w:rPr>
          <w:szCs w:val="24"/>
        </w:rPr>
        <w:t>3</w:t>
      </w:r>
      <w:r w:rsidRPr="00135CE3">
        <w:rPr>
          <w:szCs w:val="24"/>
        </w:rPr>
        <w:t>)  The basis for all award fee determinations shall be documented in the contract file.</w:t>
      </w:r>
    </w:p>
    <w:p w14:paraId="6A45511F" w14:textId="77777777" w:rsidR="00425286" w:rsidRDefault="00425286" w:rsidP="00920968">
      <w:pPr>
        <w:pStyle w:val="List2"/>
      </w:pPr>
      <w:r>
        <w:rPr>
          <w:szCs w:val="24"/>
        </w:rPr>
        <w:br/>
      </w:r>
      <w:r w:rsidRPr="00135CE3">
        <w:rPr>
          <w:szCs w:val="24"/>
        </w:rPr>
        <w:t>(</w:t>
      </w:r>
      <w:r>
        <w:rPr>
          <w:szCs w:val="24"/>
        </w:rPr>
        <w:t>4</w:t>
      </w:r>
      <w:r w:rsidRPr="00135CE3">
        <w:rPr>
          <w:szCs w:val="24"/>
        </w:rPr>
        <w:t xml:space="preserve">)  The cost-plus-award-fee contract is also suitable for level of effort contracts where mission feasibility is established but measurement of achievement must be by subjective </w:t>
      </w:r>
      <w:r w:rsidRPr="00135CE3">
        <w:rPr>
          <w:szCs w:val="24"/>
        </w:rPr>
        <w:lastRenderedPageBreak/>
        <w:t>evaluation rather than objective measurement.  See Table 16-1, Performance Evaluation Criteria, for sample performance evaluation criteria and Table 16-2, Contractor Performance Evaluation Report, for a sample evaluation report.</w:t>
      </w:r>
    </w:p>
    <w:p w14:paraId="0046097A" w14:textId="77777777" w:rsidR="00425286" w:rsidRDefault="00425286" w:rsidP="00920968">
      <w:pPr>
        <w:pStyle w:val="List2"/>
      </w:pPr>
      <w:r>
        <w:rPr>
          <w:szCs w:val="24"/>
        </w:rPr>
        <w:br/>
      </w:r>
      <w:r w:rsidRPr="00135CE3">
        <w:rPr>
          <w:szCs w:val="24"/>
        </w:rPr>
        <w:t>(</w:t>
      </w:r>
      <w:r>
        <w:rPr>
          <w:szCs w:val="24"/>
        </w:rPr>
        <w:t>5</w:t>
      </w:r>
      <w:r w:rsidRPr="00135CE3">
        <w:rPr>
          <w:szCs w:val="24"/>
        </w:rPr>
        <w:t>)  The contracting activity may—</w:t>
      </w:r>
    </w:p>
    <w:p w14:paraId="19E6406D" w14:textId="77777777" w:rsidR="00425286" w:rsidRDefault="00425286" w:rsidP="00025CF4">
      <w:pPr>
        <w:pStyle w:val="List3"/>
      </w:pPr>
      <w:r>
        <w:br/>
      </w:r>
      <w:r w:rsidRPr="00135CE3">
        <w:t>(</w:t>
      </w:r>
      <w:proofErr w:type="spellStart"/>
      <w:r w:rsidRPr="00135CE3">
        <w:t>i</w:t>
      </w:r>
      <w:proofErr w:type="spellEnd"/>
      <w:r w:rsidRPr="00135CE3">
        <w:t>)  Establish a board to—</w:t>
      </w:r>
    </w:p>
    <w:p w14:paraId="3142446E" w14:textId="77777777" w:rsidR="00425286" w:rsidRDefault="00425286" w:rsidP="00920968">
      <w:pPr>
        <w:pStyle w:val="List4"/>
      </w:pPr>
      <w:r>
        <w:rPr>
          <w:szCs w:val="24"/>
        </w:rPr>
        <w:br/>
      </w:r>
      <w:r w:rsidRPr="00135CE3">
        <w:rPr>
          <w:szCs w:val="24"/>
        </w:rPr>
        <w:t>(A)  Evaluate the contractor's performance; and</w:t>
      </w:r>
    </w:p>
    <w:p w14:paraId="564805F5" w14:textId="77777777" w:rsidR="00425286" w:rsidRDefault="00425286" w:rsidP="00920968">
      <w:pPr>
        <w:pStyle w:val="List4"/>
      </w:pPr>
      <w:r>
        <w:rPr>
          <w:szCs w:val="24"/>
        </w:rPr>
        <w:br/>
      </w:r>
      <w:r w:rsidRPr="00135CE3">
        <w:rPr>
          <w:szCs w:val="24"/>
        </w:rPr>
        <w:t>(B)  Determine the amount of the award or recommend an amount to the contracting officer; and</w:t>
      </w:r>
    </w:p>
    <w:p w14:paraId="24197DCB" w14:textId="77777777" w:rsidR="00425286" w:rsidRDefault="00425286" w:rsidP="00920968">
      <w:pPr>
        <w:pStyle w:val="List3"/>
      </w:pPr>
      <w:r>
        <w:rPr>
          <w:szCs w:val="24"/>
        </w:rPr>
        <w:br/>
      </w:r>
      <w:r w:rsidRPr="00135CE3">
        <w:rPr>
          <w:szCs w:val="24"/>
        </w:rPr>
        <w:t>(ii)  Afford the contractor an opportunity to present information on its own behalf.</w:t>
      </w:r>
    </w:p>
    <w:p w14:paraId="00FB9CE8" w14:textId="77777777" w:rsidR="00425286" w:rsidRDefault="00425286" w:rsidP="00920968">
      <w:pPr>
        <w:pStyle w:val="Heading3"/>
      </w:pPr>
      <w:r>
        <w:rPr>
          <w:szCs w:val="24"/>
        </w:rPr>
        <w:br/>
      </w:r>
      <w:bookmarkStart w:id="46" w:name="_Toc37415678"/>
      <w:bookmarkStart w:id="47" w:name="_Toc37677425"/>
      <w:bookmarkStart w:id="48" w:name="_Toc37755761"/>
      <w:r w:rsidRPr="00135CE3">
        <w:rPr>
          <w:b/>
          <w:szCs w:val="24"/>
        </w:rPr>
        <w:t xml:space="preserve">PGI </w:t>
      </w:r>
      <w:proofErr w:type="gramStart"/>
      <w:r w:rsidRPr="00135CE3">
        <w:rPr>
          <w:b/>
          <w:szCs w:val="24"/>
        </w:rPr>
        <w:t>216.470  Other</w:t>
      </w:r>
      <w:proofErr w:type="gramEnd"/>
      <w:r w:rsidRPr="00135CE3">
        <w:rPr>
          <w:b/>
          <w:szCs w:val="24"/>
        </w:rPr>
        <w:t xml:space="preserve"> applications of award fees.</w:t>
      </w:r>
      <w:bookmarkEnd w:id="46"/>
      <w:bookmarkEnd w:id="47"/>
      <w:bookmarkEnd w:id="48"/>
    </w:p>
    <w:p w14:paraId="4FBF20AF" w14:textId="77777777" w:rsidR="00425286" w:rsidRDefault="00425286" w:rsidP="00920968">
      <w:r>
        <w:rPr>
          <w:b/>
          <w:szCs w:val="24"/>
        </w:rPr>
        <w:br/>
      </w:r>
      <w:r>
        <w:rPr>
          <w:szCs w:val="24"/>
        </w:rPr>
        <w:tab/>
      </w:r>
      <w:r w:rsidRPr="00135CE3">
        <w:rPr>
          <w:szCs w:val="24"/>
        </w:rPr>
        <w:t>The “award amount” portion of the fee may be used in other types of contracts under the following conditions:</w:t>
      </w:r>
    </w:p>
    <w:p w14:paraId="7255C073" w14:textId="77777777" w:rsidR="00425286" w:rsidRDefault="00425286" w:rsidP="00920968">
      <w:pPr>
        <w:pStyle w:val="List2"/>
      </w:pPr>
      <w:r>
        <w:rPr>
          <w:szCs w:val="24"/>
        </w:rPr>
        <w:br/>
      </w:r>
      <w:r w:rsidRPr="00135CE3">
        <w:rPr>
          <w:szCs w:val="24"/>
        </w:rPr>
        <w:t>(1)  The Government wishes to motivate and reward a contractor for—</w:t>
      </w:r>
    </w:p>
    <w:p w14:paraId="5EC4F024" w14:textId="77777777" w:rsidR="00425286" w:rsidRDefault="00425286" w:rsidP="00025CF4">
      <w:pPr>
        <w:pStyle w:val="List3"/>
      </w:pPr>
      <w:r>
        <w:br/>
      </w:r>
      <w:r w:rsidRPr="00135CE3">
        <w:t>(</w:t>
      </w:r>
      <w:proofErr w:type="spellStart"/>
      <w:r w:rsidRPr="00135CE3">
        <w:t>i</w:t>
      </w:r>
      <w:proofErr w:type="spellEnd"/>
      <w:r w:rsidRPr="00135CE3">
        <w:t>)  Purchase of capital assets (including machine tools) manufactured in the United States, on major defense acquisition programs; or</w:t>
      </w:r>
    </w:p>
    <w:p w14:paraId="443D725D" w14:textId="77777777" w:rsidR="00425286" w:rsidRDefault="00425286" w:rsidP="00920968">
      <w:pPr>
        <w:pStyle w:val="List3"/>
      </w:pPr>
      <w:r>
        <w:rPr>
          <w:szCs w:val="24"/>
        </w:rPr>
        <w:br/>
      </w:r>
      <w:r w:rsidRPr="00135CE3">
        <w:rPr>
          <w:szCs w:val="24"/>
        </w:rPr>
        <w:t>(ii)  Management performance in areas which cannot be measured objectively and where normal incentive provisions cannot be used.  For example, logistics support, quality, timeliness, ingenuity, and cost effectiveness are areas under the control of management which may be susceptible only to subjective measurement and evaluation.</w:t>
      </w:r>
    </w:p>
    <w:p w14:paraId="04593919" w14:textId="77777777" w:rsidR="00425286" w:rsidRPr="00135CE3" w:rsidRDefault="00425286" w:rsidP="00920968">
      <w:pPr>
        <w:pStyle w:val="List2"/>
      </w:pPr>
      <w:r>
        <w:rPr>
          <w:szCs w:val="24"/>
        </w:rPr>
        <w:br/>
      </w:r>
      <w:r w:rsidRPr="00135CE3">
        <w:rPr>
          <w:szCs w:val="24"/>
        </w:rPr>
        <w:t>(2)  The “base fee” (fixed amount portion) is not used.</w:t>
      </w:r>
    </w:p>
    <w:p w14:paraId="6DF0295B" w14:textId="77777777" w:rsidR="00425286" w:rsidRDefault="00425286" w:rsidP="00920968">
      <w:pPr>
        <w:pStyle w:val="List2"/>
        <w:rPr>
          <w:szCs w:val="24"/>
        </w:rPr>
      </w:pPr>
      <w:r w:rsidRPr="00135CE3">
        <w:rPr>
          <w:szCs w:val="24"/>
        </w:rPr>
        <w:t>(3)  The chief of the contracting office approves the use of the “award amount.”</w:t>
      </w:r>
    </w:p>
    <w:p w14:paraId="316F6785" w14:textId="77777777" w:rsidR="00425286" w:rsidRDefault="00425286" w:rsidP="00920968">
      <w:pPr>
        <w:pStyle w:val="List2"/>
      </w:pPr>
      <w:r>
        <w:rPr>
          <w:szCs w:val="24"/>
        </w:rPr>
        <w:lastRenderedPageBreak/>
        <w:br/>
      </w:r>
      <w:r w:rsidRPr="00135CE3">
        <w:rPr>
          <w:szCs w:val="24"/>
        </w:rPr>
        <w:t>(4)  An award review board and procedures are established for conduct of the evaluation.</w:t>
      </w:r>
    </w:p>
    <w:p w14:paraId="19E31CAE" w14:textId="77777777" w:rsidR="00425286" w:rsidRDefault="00425286" w:rsidP="00920968">
      <w:pPr>
        <w:pStyle w:val="List2"/>
      </w:pPr>
      <w:r>
        <w:rPr>
          <w:szCs w:val="24"/>
        </w:rPr>
        <w:br/>
      </w:r>
      <w:r w:rsidRPr="00135CE3">
        <w:rPr>
          <w:szCs w:val="24"/>
        </w:rPr>
        <w:t>(5)  The administrative costs of evaluation do not exceed the expected benefits.</w:t>
      </w:r>
    </w:p>
    <w:p w14:paraId="38CFFE00" w14:textId="77777777" w:rsidR="00425286" w:rsidRDefault="00425286" w:rsidP="00920968"/>
    <w:p w14:paraId="1E502815" w14:textId="77777777" w:rsidR="00425286" w:rsidRPr="00135CE3" w:rsidRDefault="00425286" w:rsidP="00920968"/>
    <w:p w14:paraId="041E7E8E" w14:textId="77777777" w:rsidR="00425286" w:rsidRPr="00783031" w:rsidRDefault="00425286" w:rsidP="00920968"/>
    <w:tbl>
      <w:tblPr>
        <w:tblW w:w="10818" w:type="dxa"/>
        <w:tblLayout w:type="fixed"/>
        <w:tblLook w:val="0000" w:firstRow="0" w:lastRow="0" w:firstColumn="0" w:lastColumn="0" w:noHBand="0" w:noVBand="0"/>
      </w:tblPr>
      <w:tblGrid>
        <w:gridCol w:w="1098"/>
        <w:gridCol w:w="1440"/>
        <w:gridCol w:w="1656"/>
        <w:gridCol w:w="1656"/>
        <w:gridCol w:w="1656"/>
        <w:gridCol w:w="1656"/>
        <w:gridCol w:w="1656"/>
      </w:tblGrid>
      <w:tr w:rsidR="00425286" w:rsidRPr="00FE3AF3" w14:paraId="439D491B" w14:textId="77777777">
        <w:tc>
          <w:tcPr>
            <w:tcW w:w="10818" w:type="dxa"/>
            <w:gridSpan w:val="7"/>
            <w:tcBorders>
              <w:top w:val="single" w:sz="6" w:space="0" w:color="auto"/>
              <w:left w:val="single" w:sz="6" w:space="0" w:color="auto"/>
              <w:bottom w:val="single" w:sz="6" w:space="0" w:color="auto"/>
              <w:right w:val="single" w:sz="6" w:space="0" w:color="auto"/>
            </w:tcBorders>
          </w:tcPr>
          <w:p w14:paraId="20E9C7A8" w14:textId="77777777" w:rsidR="00425286" w:rsidRPr="00FE3AF3" w:rsidRDefault="00425286" w:rsidP="00920968">
            <w:r>
              <w:rPr>
                <w:rFonts w:ascii="Courier New" w:hAnsi="Courier New" w:cs="Courier New"/>
                <w:szCs w:val="24"/>
              </w:rPr>
              <w:br w:type="page"/>
            </w:r>
            <w:r w:rsidRPr="00FE3AF3">
              <w:br w:type="page"/>
              <w:t>TABLE 16-1, PERFORMANCE EVALUATION CRITERIA</w:t>
            </w:r>
          </w:p>
        </w:tc>
      </w:tr>
      <w:tr w:rsidR="00425286" w:rsidRPr="00FE3AF3" w14:paraId="0CBA03BC" w14:textId="77777777">
        <w:tc>
          <w:tcPr>
            <w:tcW w:w="1098" w:type="dxa"/>
            <w:tcBorders>
              <w:top w:val="single" w:sz="6" w:space="0" w:color="auto"/>
              <w:left w:val="single" w:sz="6" w:space="0" w:color="auto"/>
              <w:bottom w:val="single" w:sz="6" w:space="0" w:color="auto"/>
            </w:tcBorders>
          </w:tcPr>
          <w:p w14:paraId="040A58D2" w14:textId="77777777" w:rsidR="00425286" w:rsidRPr="00FE3AF3" w:rsidRDefault="00425286" w:rsidP="00920968">
            <w:pPr>
              <w:rPr>
                <w:highlight w:val="yellow"/>
              </w:rPr>
            </w:pPr>
          </w:p>
        </w:tc>
        <w:tc>
          <w:tcPr>
            <w:tcW w:w="1440" w:type="dxa"/>
            <w:tcBorders>
              <w:top w:val="single" w:sz="6" w:space="0" w:color="auto"/>
              <w:bottom w:val="single" w:sz="6" w:space="0" w:color="auto"/>
            </w:tcBorders>
          </w:tcPr>
          <w:p w14:paraId="1BFE12C2" w14:textId="77777777" w:rsidR="00425286" w:rsidRPr="00FE3AF3" w:rsidRDefault="00425286" w:rsidP="0075376C">
            <w:pPr>
              <w:pStyle w:val="DFARS"/>
              <w:rPr>
                <w:rFonts w:ascii="Arial" w:hAnsi="Arial"/>
                <w:strike/>
                <w:sz w:val="20"/>
                <w:highlight w:val="yellow"/>
              </w:rPr>
            </w:pPr>
          </w:p>
        </w:tc>
        <w:tc>
          <w:tcPr>
            <w:tcW w:w="1656" w:type="dxa"/>
            <w:tcBorders>
              <w:top w:val="single" w:sz="6" w:space="0" w:color="auto"/>
              <w:left w:val="single" w:sz="6" w:space="0" w:color="auto"/>
              <w:bottom w:val="single" w:sz="6" w:space="0" w:color="auto"/>
              <w:right w:val="single" w:sz="6" w:space="0" w:color="auto"/>
            </w:tcBorders>
          </w:tcPr>
          <w:p w14:paraId="7D22653B" w14:textId="77777777" w:rsidR="00425286" w:rsidRPr="00FE3AF3" w:rsidRDefault="00425286" w:rsidP="00920968">
            <w:proofErr w:type="spellStart"/>
            <w:r w:rsidRPr="00FE3AF3">
              <w:rPr>
                <w:b/>
                <w:sz w:val="20"/>
              </w:rPr>
              <w:t>Submarginal</w:t>
            </w:r>
            <w:proofErr w:type="spellEnd"/>
          </w:p>
        </w:tc>
        <w:tc>
          <w:tcPr>
            <w:tcW w:w="1656" w:type="dxa"/>
            <w:tcBorders>
              <w:top w:val="single" w:sz="6" w:space="0" w:color="auto"/>
              <w:left w:val="single" w:sz="6" w:space="0" w:color="auto"/>
              <w:bottom w:val="single" w:sz="6" w:space="0" w:color="auto"/>
              <w:right w:val="single" w:sz="6" w:space="0" w:color="auto"/>
            </w:tcBorders>
          </w:tcPr>
          <w:p w14:paraId="2B927096" w14:textId="77777777" w:rsidR="00425286" w:rsidRPr="00FE3AF3" w:rsidRDefault="00425286" w:rsidP="00920968">
            <w:r w:rsidRPr="00FE3AF3">
              <w:rPr>
                <w:b/>
                <w:sz w:val="20"/>
              </w:rPr>
              <w:t>Marginal</w:t>
            </w:r>
          </w:p>
        </w:tc>
        <w:tc>
          <w:tcPr>
            <w:tcW w:w="1656" w:type="dxa"/>
            <w:tcBorders>
              <w:top w:val="single" w:sz="6" w:space="0" w:color="auto"/>
              <w:left w:val="single" w:sz="6" w:space="0" w:color="auto"/>
              <w:bottom w:val="single" w:sz="6" w:space="0" w:color="auto"/>
              <w:right w:val="single" w:sz="6" w:space="0" w:color="auto"/>
            </w:tcBorders>
          </w:tcPr>
          <w:p w14:paraId="2BF5F08D" w14:textId="77777777" w:rsidR="00425286" w:rsidRPr="00FE3AF3" w:rsidRDefault="00425286" w:rsidP="00920968">
            <w:r w:rsidRPr="00FE3AF3">
              <w:rPr>
                <w:b/>
                <w:sz w:val="20"/>
              </w:rPr>
              <w:t>Good</w:t>
            </w:r>
          </w:p>
        </w:tc>
        <w:tc>
          <w:tcPr>
            <w:tcW w:w="1656" w:type="dxa"/>
            <w:tcBorders>
              <w:top w:val="single" w:sz="6" w:space="0" w:color="auto"/>
              <w:left w:val="single" w:sz="6" w:space="0" w:color="auto"/>
              <w:bottom w:val="single" w:sz="6" w:space="0" w:color="auto"/>
              <w:right w:val="single" w:sz="6" w:space="0" w:color="auto"/>
            </w:tcBorders>
          </w:tcPr>
          <w:p w14:paraId="151A24B2" w14:textId="77777777" w:rsidR="00425286" w:rsidRPr="00FE3AF3" w:rsidRDefault="00425286" w:rsidP="00920968">
            <w:r w:rsidRPr="00FE3AF3">
              <w:rPr>
                <w:b/>
                <w:sz w:val="20"/>
              </w:rPr>
              <w:t>Very Good</w:t>
            </w:r>
          </w:p>
        </w:tc>
        <w:tc>
          <w:tcPr>
            <w:tcW w:w="1656" w:type="dxa"/>
            <w:tcBorders>
              <w:top w:val="single" w:sz="6" w:space="0" w:color="auto"/>
              <w:left w:val="single" w:sz="6" w:space="0" w:color="auto"/>
              <w:bottom w:val="single" w:sz="6" w:space="0" w:color="auto"/>
              <w:right w:val="single" w:sz="6" w:space="0" w:color="auto"/>
            </w:tcBorders>
          </w:tcPr>
          <w:p w14:paraId="26FE817B" w14:textId="77777777" w:rsidR="00425286" w:rsidRPr="00FE3AF3" w:rsidRDefault="00425286" w:rsidP="00920968">
            <w:r w:rsidRPr="00FE3AF3">
              <w:rPr>
                <w:b/>
                <w:sz w:val="20"/>
              </w:rPr>
              <w:t>Excellent</w:t>
            </w:r>
          </w:p>
        </w:tc>
      </w:tr>
      <w:tr w:rsidR="00425286" w:rsidRPr="00FE3AF3" w14:paraId="65A7CFA1" w14:textId="77777777">
        <w:tc>
          <w:tcPr>
            <w:tcW w:w="1098" w:type="dxa"/>
            <w:tcBorders>
              <w:top w:val="single" w:sz="6" w:space="0" w:color="auto"/>
              <w:left w:val="single" w:sz="6" w:space="0" w:color="auto"/>
              <w:right w:val="single" w:sz="6" w:space="0" w:color="auto"/>
            </w:tcBorders>
          </w:tcPr>
          <w:p w14:paraId="572DF1AD" w14:textId="77777777" w:rsidR="00425286" w:rsidRPr="00FE3AF3" w:rsidRDefault="00425286" w:rsidP="00920968">
            <w:r w:rsidRPr="00FE3AF3">
              <w:rPr>
                <w:sz w:val="20"/>
              </w:rPr>
              <w:t>A</w:t>
            </w:r>
          </w:p>
          <w:p w14:paraId="189D6466" w14:textId="77777777" w:rsidR="00425286" w:rsidRPr="00FE3AF3" w:rsidRDefault="00425286" w:rsidP="00920968">
            <w:r w:rsidRPr="00FE3AF3">
              <w:t>Time of</w:t>
            </w:r>
          </w:p>
          <w:p w14:paraId="69215BC4" w14:textId="77777777" w:rsidR="00425286" w:rsidRPr="00FE3AF3" w:rsidRDefault="00425286" w:rsidP="00920968">
            <w:pPr>
              <w:rPr>
                <w:highlight w:val="yellow"/>
              </w:rPr>
            </w:pPr>
            <w:r w:rsidRPr="00FE3AF3">
              <w:t>Delivery.</w:t>
            </w:r>
          </w:p>
        </w:tc>
        <w:tc>
          <w:tcPr>
            <w:tcW w:w="1440" w:type="dxa"/>
            <w:tcBorders>
              <w:top w:val="single" w:sz="6" w:space="0" w:color="auto"/>
              <w:left w:val="single" w:sz="6" w:space="0" w:color="auto"/>
              <w:bottom w:val="single" w:sz="6" w:space="0" w:color="auto"/>
              <w:right w:val="single" w:sz="6" w:space="0" w:color="auto"/>
            </w:tcBorders>
          </w:tcPr>
          <w:p w14:paraId="3FCA6FAE" w14:textId="77777777" w:rsidR="00425286" w:rsidRPr="00FE3AF3" w:rsidRDefault="00425286" w:rsidP="00920968">
            <w:r w:rsidRPr="00FE3AF3">
              <w:rPr>
                <w:sz w:val="20"/>
              </w:rPr>
              <w:t>(A-1)</w:t>
            </w:r>
          </w:p>
          <w:p w14:paraId="542B3B41" w14:textId="77777777" w:rsidR="00425286" w:rsidRPr="00FE3AF3" w:rsidRDefault="00425286" w:rsidP="00920968">
            <w:pPr>
              <w:rPr>
                <w:strike/>
                <w:highlight w:val="yellow"/>
              </w:rPr>
            </w:pPr>
            <w:r w:rsidRPr="00FE3AF3">
              <w:t>Adherence to plan schedule.</w:t>
            </w:r>
          </w:p>
        </w:tc>
        <w:tc>
          <w:tcPr>
            <w:tcW w:w="1656" w:type="dxa"/>
            <w:tcBorders>
              <w:top w:val="single" w:sz="6" w:space="0" w:color="auto"/>
              <w:left w:val="single" w:sz="6" w:space="0" w:color="auto"/>
              <w:bottom w:val="single" w:sz="6" w:space="0" w:color="auto"/>
              <w:right w:val="single" w:sz="6" w:space="0" w:color="auto"/>
            </w:tcBorders>
          </w:tcPr>
          <w:p w14:paraId="198D0CAD" w14:textId="77777777" w:rsidR="00425286" w:rsidRPr="00FE3AF3" w:rsidRDefault="00425286" w:rsidP="00920968">
            <w:r w:rsidRPr="00FE3AF3">
              <w:rPr>
                <w:sz w:val="20"/>
              </w:rPr>
              <w:t>Consistently late on 20% plans</w:t>
            </w:r>
          </w:p>
        </w:tc>
        <w:tc>
          <w:tcPr>
            <w:tcW w:w="1656" w:type="dxa"/>
            <w:tcBorders>
              <w:top w:val="single" w:sz="6" w:space="0" w:color="auto"/>
              <w:left w:val="single" w:sz="6" w:space="0" w:color="auto"/>
              <w:bottom w:val="single" w:sz="6" w:space="0" w:color="auto"/>
              <w:right w:val="single" w:sz="6" w:space="0" w:color="auto"/>
            </w:tcBorders>
          </w:tcPr>
          <w:p w14:paraId="532BF714" w14:textId="77777777" w:rsidR="00425286" w:rsidRPr="00FE3AF3" w:rsidRDefault="00425286" w:rsidP="00920968">
            <w:r w:rsidRPr="00FE3AF3">
              <w:rPr>
                <w:sz w:val="20"/>
              </w:rPr>
              <w:t>Late on 10% plans w/o prior agreement</w:t>
            </w:r>
          </w:p>
        </w:tc>
        <w:tc>
          <w:tcPr>
            <w:tcW w:w="1656" w:type="dxa"/>
            <w:tcBorders>
              <w:top w:val="single" w:sz="6" w:space="0" w:color="auto"/>
              <w:left w:val="single" w:sz="6" w:space="0" w:color="auto"/>
              <w:bottom w:val="single" w:sz="6" w:space="0" w:color="auto"/>
              <w:right w:val="single" w:sz="6" w:space="0" w:color="auto"/>
            </w:tcBorders>
          </w:tcPr>
          <w:p w14:paraId="58B296E0" w14:textId="77777777" w:rsidR="00425286" w:rsidRPr="00FE3AF3" w:rsidRDefault="00425286" w:rsidP="00920968">
            <w:r w:rsidRPr="00FE3AF3">
              <w:rPr>
                <w:sz w:val="20"/>
              </w:rPr>
              <w:t>Occasional plan late w/o justification.</w:t>
            </w:r>
          </w:p>
        </w:tc>
        <w:tc>
          <w:tcPr>
            <w:tcW w:w="1656" w:type="dxa"/>
            <w:tcBorders>
              <w:top w:val="single" w:sz="6" w:space="0" w:color="auto"/>
              <w:left w:val="single" w:sz="6" w:space="0" w:color="auto"/>
              <w:bottom w:val="single" w:sz="6" w:space="0" w:color="auto"/>
              <w:right w:val="single" w:sz="6" w:space="0" w:color="auto"/>
            </w:tcBorders>
          </w:tcPr>
          <w:p w14:paraId="5652FCB2" w14:textId="77777777" w:rsidR="00425286" w:rsidRPr="00FE3AF3" w:rsidRDefault="00425286" w:rsidP="00920968">
            <w:r w:rsidRPr="00FE3AF3">
              <w:rPr>
                <w:sz w:val="20"/>
              </w:rPr>
              <w:t>Meets plan schedule.</w:t>
            </w:r>
          </w:p>
        </w:tc>
        <w:tc>
          <w:tcPr>
            <w:tcW w:w="1656" w:type="dxa"/>
            <w:tcBorders>
              <w:top w:val="single" w:sz="6" w:space="0" w:color="auto"/>
              <w:left w:val="single" w:sz="6" w:space="0" w:color="auto"/>
              <w:bottom w:val="single" w:sz="6" w:space="0" w:color="auto"/>
              <w:right w:val="single" w:sz="6" w:space="0" w:color="auto"/>
            </w:tcBorders>
          </w:tcPr>
          <w:p w14:paraId="48B51307" w14:textId="77777777" w:rsidR="00425286" w:rsidRPr="00FE3AF3" w:rsidRDefault="00425286" w:rsidP="00920968">
            <w:r w:rsidRPr="00FE3AF3">
              <w:rPr>
                <w:sz w:val="20"/>
              </w:rPr>
              <w:t>Delivers all plans on schedule &amp; meets prod. Change requirements on schedule</w:t>
            </w:r>
          </w:p>
        </w:tc>
      </w:tr>
      <w:tr w:rsidR="00425286" w:rsidRPr="00FE3AF3" w14:paraId="404F8082" w14:textId="77777777">
        <w:tc>
          <w:tcPr>
            <w:tcW w:w="1098" w:type="dxa"/>
            <w:tcBorders>
              <w:left w:val="single" w:sz="6" w:space="0" w:color="auto"/>
              <w:right w:val="single" w:sz="6" w:space="0" w:color="auto"/>
            </w:tcBorders>
          </w:tcPr>
          <w:p w14:paraId="71D53664" w14:textId="77777777" w:rsidR="00425286" w:rsidRPr="00FE3AF3" w:rsidRDefault="00425286" w:rsidP="0075376C">
            <w:pPr>
              <w:pStyle w:val="DFARS"/>
              <w:rPr>
                <w:rFonts w:ascii="Arial" w:hAnsi="Arial"/>
                <w:strike/>
                <w:sz w:val="20"/>
                <w:highlight w:val="yellow"/>
              </w:rPr>
            </w:pPr>
          </w:p>
        </w:tc>
        <w:tc>
          <w:tcPr>
            <w:tcW w:w="1440" w:type="dxa"/>
            <w:tcBorders>
              <w:top w:val="single" w:sz="6" w:space="0" w:color="auto"/>
              <w:left w:val="single" w:sz="6" w:space="0" w:color="auto"/>
              <w:bottom w:val="single" w:sz="6" w:space="0" w:color="auto"/>
              <w:right w:val="single" w:sz="6" w:space="0" w:color="auto"/>
            </w:tcBorders>
          </w:tcPr>
          <w:p w14:paraId="1B94918B" w14:textId="77777777" w:rsidR="00425286" w:rsidRPr="00FE3AF3" w:rsidRDefault="00425286" w:rsidP="00920968">
            <w:r w:rsidRPr="00FE3AF3">
              <w:rPr>
                <w:sz w:val="20"/>
              </w:rPr>
              <w:t>(A-2)</w:t>
            </w:r>
          </w:p>
          <w:p w14:paraId="2DA034AC" w14:textId="77777777" w:rsidR="00425286" w:rsidRPr="00FE3AF3" w:rsidRDefault="00425286" w:rsidP="00920968">
            <w:r w:rsidRPr="00FE3AF3">
              <w:t>Action on Anticipated delays.</w:t>
            </w:r>
          </w:p>
        </w:tc>
        <w:tc>
          <w:tcPr>
            <w:tcW w:w="1656" w:type="dxa"/>
            <w:tcBorders>
              <w:top w:val="single" w:sz="6" w:space="0" w:color="auto"/>
              <w:left w:val="single" w:sz="6" w:space="0" w:color="auto"/>
              <w:bottom w:val="single" w:sz="6" w:space="0" w:color="auto"/>
              <w:right w:val="single" w:sz="6" w:space="0" w:color="auto"/>
            </w:tcBorders>
          </w:tcPr>
          <w:p w14:paraId="761186A5" w14:textId="77777777" w:rsidR="00425286" w:rsidRPr="00FE3AF3" w:rsidRDefault="00425286" w:rsidP="00920968">
            <w:r w:rsidRPr="00FE3AF3">
              <w:rPr>
                <w:sz w:val="20"/>
              </w:rPr>
              <w:t>Does not expose changes or resolve them as soon as recognized.</w:t>
            </w:r>
          </w:p>
        </w:tc>
        <w:tc>
          <w:tcPr>
            <w:tcW w:w="1656" w:type="dxa"/>
            <w:tcBorders>
              <w:top w:val="single" w:sz="6" w:space="0" w:color="auto"/>
              <w:left w:val="single" w:sz="6" w:space="0" w:color="auto"/>
              <w:bottom w:val="single" w:sz="6" w:space="0" w:color="auto"/>
              <w:right w:val="single" w:sz="6" w:space="0" w:color="auto"/>
            </w:tcBorders>
          </w:tcPr>
          <w:p w14:paraId="196751D1" w14:textId="77777777" w:rsidR="00425286" w:rsidRPr="00FE3AF3" w:rsidRDefault="00425286" w:rsidP="00920968">
            <w:r w:rsidRPr="00FE3AF3">
              <w:rPr>
                <w:sz w:val="20"/>
              </w:rPr>
              <w:t>Exposes changes but is dilatory in resolution on plans.</w:t>
            </w:r>
          </w:p>
        </w:tc>
        <w:tc>
          <w:tcPr>
            <w:tcW w:w="1656" w:type="dxa"/>
            <w:tcBorders>
              <w:top w:val="single" w:sz="6" w:space="0" w:color="auto"/>
              <w:left w:val="single" w:sz="6" w:space="0" w:color="auto"/>
              <w:bottom w:val="single" w:sz="6" w:space="0" w:color="auto"/>
              <w:right w:val="single" w:sz="6" w:space="0" w:color="auto"/>
            </w:tcBorders>
          </w:tcPr>
          <w:p w14:paraId="2BBA8BBB" w14:textId="77777777" w:rsidR="00425286" w:rsidRPr="00FE3AF3" w:rsidRDefault="00425286" w:rsidP="00920968">
            <w:r w:rsidRPr="00FE3AF3">
              <w:rPr>
                <w:sz w:val="20"/>
              </w:rPr>
              <w:t>Anticipates changes, advise Shipyard but misses completion of design plans 10%.</w:t>
            </w:r>
          </w:p>
        </w:tc>
        <w:tc>
          <w:tcPr>
            <w:tcW w:w="1656" w:type="dxa"/>
            <w:tcBorders>
              <w:top w:val="single" w:sz="6" w:space="0" w:color="auto"/>
              <w:left w:val="single" w:sz="6" w:space="0" w:color="auto"/>
              <w:bottom w:val="single" w:sz="6" w:space="0" w:color="auto"/>
              <w:right w:val="single" w:sz="6" w:space="0" w:color="auto"/>
            </w:tcBorders>
          </w:tcPr>
          <w:p w14:paraId="2E8F3F61" w14:textId="77777777" w:rsidR="00425286" w:rsidRPr="00FE3AF3" w:rsidRDefault="00425286" w:rsidP="00920968">
            <w:r w:rsidRPr="00FE3AF3">
              <w:rPr>
                <w:sz w:val="20"/>
              </w:rPr>
              <w:t>Keeps Yard posted on delays, resolves independently on plans.</w:t>
            </w:r>
          </w:p>
        </w:tc>
        <w:tc>
          <w:tcPr>
            <w:tcW w:w="1656" w:type="dxa"/>
            <w:tcBorders>
              <w:top w:val="single" w:sz="6" w:space="0" w:color="auto"/>
              <w:left w:val="single" w:sz="6" w:space="0" w:color="auto"/>
              <w:bottom w:val="single" w:sz="6" w:space="0" w:color="auto"/>
              <w:right w:val="single" w:sz="6" w:space="0" w:color="auto"/>
            </w:tcBorders>
          </w:tcPr>
          <w:p w14:paraId="487F39CA" w14:textId="77777777" w:rsidR="00425286" w:rsidRPr="00FE3AF3" w:rsidRDefault="00425286" w:rsidP="00920968">
            <w:r w:rsidRPr="00FE3AF3">
              <w:rPr>
                <w:sz w:val="20"/>
              </w:rPr>
              <w:t>Anticipates in good time, advises Ship-</w:t>
            </w:r>
          </w:p>
          <w:p w14:paraId="53D8D425" w14:textId="77777777" w:rsidR="00425286" w:rsidRPr="00FE3AF3" w:rsidRDefault="00425286" w:rsidP="00920968">
            <w:r w:rsidRPr="00FE3AF3">
              <w:t>yard, resolves independently and meets production requirements.</w:t>
            </w:r>
          </w:p>
        </w:tc>
      </w:tr>
      <w:tr w:rsidR="00425286" w:rsidRPr="00FE3AF3" w14:paraId="61326DF3" w14:textId="77777777">
        <w:tc>
          <w:tcPr>
            <w:tcW w:w="1098" w:type="dxa"/>
            <w:tcBorders>
              <w:left w:val="single" w:sz="6" w:space="0" w:color="auto"/>
              <w:bottom w:val="single" w:sz="6" w:space="0" w:color="auto"/>
              <w:right w:val="single" w:sz="6" w:space="0" w:color="auto"/>
            </w:tcBorders>
          </w:tcPr>
          <w:p w14:paraId="4501D8BD" w14:textId="77777777" w:rsidR="00425286" w:rsidRPr="00FE3AF3" w:rsidRDefault="00425286" w:rsidP="0075376C">
            <w:pPr>
              <w:pStyle w:val="DFARS"/>
              <w:rPr>
                <w:rFonts w:ascii="Arial" w:hAnsi="Arial"/>
                <w:strike/>
                <w:sz w:val="20"/>
                <w:highlight w:val="yellow"/>
              </w:rPr>
            </w:pPr>
          </w:p>
        </w:tc>
        <w:tc>
          <w:tcPr>
            <w:tcW w:w="1440" w:type="dxa"/>
            <w:tcBorders>
              <w:top w:val="single" w:sz="6" w:space="0" w:color="auto"/>
              <w:left w:val="single" w:sz="6" w:space="0" w:color="auto"/>
              <w:bottom w:val="single" w:sz="6" w:space="0" w:color="auto"/>
              <w:right w:val="single" w:sz="6" w:space="0" w:color="auto"/>
            </w:tcBorders>
          </w:tcPr>
          <w:p w14:paraId="72E49882" w14:textId="77777777" w:rsidR="00425286" w:rsidRPr="00FE3AF3" w:rsidRDefault="00425286" w:rsidP="00920968">
            <w:r w:rsidRPr="00FE3AF3">
              <w:rPr>
                <w:sz w:val="20"/>
              </w:rPr>
              <w:t>(A-3)</w:t>
            </w:r>
          </w:p>
          <w:p w14:paraId="46BBA8DD" w14:textId="77777777" w:rsidR="00425286" w:rsidRPr="00FE3AF3" w:rsidRDefault="00425286" w:rsidP="00920968">
            <w:r w:rsidRPr="00FE3AF3">
              <w:t>Plan Main-</w:t>
            </w:r>
          </w:p>
          <w:p w14:paraId="284A0705" w14:textId="77777777" w:rsidR="00425286" w:rsidRPr="00FE3AF3" w:rsidRDefault="00425286" w:rsidP="00920968">
            <w:proofErr w:type="spellStart"/>
            <w:r w:rsidRPr="00FE3AF3">
              <w:t>tenance</w:t>
            </w:r>
            <w:proofErr w:type="spellEnd"/>
            <w:r w:rsidRPr="00FE3AF3">
              <w:t>.</w:t>
            </w:r>
          </w:p>
        </w:tc>
        <w:tc>
          <w:tcPr>
            <w:tcW w:w="1656" w:type="dxa"/>
            <w:tcBorders>
              <w:top w:val="single" w:sz="6" w:space="0" w:color="auto"/>
              <w:left w:val="single" w:sz="6" w:space="0" w:color="auto"/>
              <w:bottom w:val="single" w:sz="6" w:space="0" w:color="auto"/>
              <w:right w:val="single" w:sz="6" w:space="0" w:color="auto"/>
            </w:tcBorders>
          </w:tcPr>
          <w:p w14:paraId="3AFC1166" w14:textId="77777777" w:rsidR="00425286" w:rsidRDefault="00425286" w:rsidP="00920968">
            <w:r w:rsidRPr="00FE3AF3">
              <w:rPr>
                <w:sz w:val="20"/>
              </w:rPr>
              <w:t xml:space="preserve">Does not </w:t>
            </w:r>
          </w:p>
          <w:p w14:paraId="733453F0" w14:textId="77777777" w:rsidR="00425286" w:rsidRDefault="00425286" w:rsidP="00920968">
            <w:r w:rsidRPr="00FE3AF3">
              <w:t xml:space="preserve">complete </w:t>
            </w:r>
          </w:p>
          <w:p w14:paraId="39850EE1" w14:textId="77777777" w:rsidR="00425286" w:rsidRPr="00FE3AF3" w:rsidRDefault="00425286" w:rsidP="00920968">
            <w:r w:rsidRPr="00FE3AF3">
              <w:t xml:space="preserve">interrelated systems </w:t>
            </w:r>
            <w:r w:rsidRPr="00FE3AF3">
              <w:lastRenderedPageBreak/>
              <w:t>studies concurrently.</w:t>
            </w:r>
          </w:p>
        </w:tc>
        <w:tc>
          <w:tcPr>
            <w:tcW w:w="1656" w:type="dxa"/>
            <w:tcBorders>
              <w:top w:val="single" w:sz="6" w:space="0" w:color="auto"/>
              <w:left w:val="single" w:sz="6" w:space="0" w:color="auto"/>
              <w:bottom w:val="single" w:sz="6" w:space="0" w:color="auto"/>
              <w:right w:val="single" w:sz="6" w:space="0" w:color="auto"/>
            </w:tcBorders>
          </w:tcPr>
          <w:p w14:paraId="4098AEC5" w14:textId="77777777" w:rsidR="00425286" w:rsidRPr="00FE3AF3" w:rsidRDefault="00425286" w:rsidP="00920968">
            <w:r w:rsidRPr="00FE3AF3">
              <w:rPr>
                <w:sz w:val="20"/>
              </w:rPr>
              <w:lastRenderedPageBreak/>
              <w:t>System studies completed but constr. Plan changes delayed.</w:t>
            </w:r>
          </w:p>
        </w:tc>
        <w:tc>
          <w:tcPr>
            <w:tcW w:w="1656" w:type="dxa"/>
            <w:tcBorders>
              <w:top w:val="single" w:sz="6" w:space="0" w:color="auto"/>
              <w:left w:val="single" w:sz="6" w:space="0" w:color="auto"/>
              <w:bottom w:val="single" w:sz="6" w:space="0" w:color="auto"/>
              <w:right w:val="single" w:sz="6" w:space="0" w:color="auto"/>
            </w:tcBorders>
          </w:tcPr>
          <w:p w14:paraId="3C759E06" w14:textId="77777777" w:rsidR="00425286" w:rsidRPr="00FE3AF3" w:rsidRDefault="00425286" w:rsidP="00920968">
            <w:r w:rsidRPr="00FE3AF3">
              <w:rPr>
                <w:sz w:val="20"/>
              </w:rPr>
              <w:t xml:space="preserve">Major work plans coordinated in time to meet </w:t>
            </w:r>
            <w:r w:rsidRPr="00FE3AF3">
              <w:rPr>
                <w:sz w:val="20"/>
              </w:rPr>
              <w:lastRenderedPageBreak/>
              <w:t>production schedules.</w:t>
            </w:r>
          </w:p>
        </w:tc>
        <w:tc>
          <w:tcPr>
            <w:tcW w:w="1656" w:type="dxa"/>
            <w:tcBorders>
              <w:top w:val="single" w:sz="6" w:space="0" w:color="auto"/>
              <w:left w:val="single" w:sz="6" w:space="0" w:color="auto"/>
              <w:bottom w:val="single" w:sz="6" w:space="0" w:color="auto"/>
              <w:right w:val="single" w:sz="6" w:space="0" w:color="auto"/>
            </w:tcBorders>
          </w:tcPr>
          <w:p w14:paraId="073C1996" w14:textId="77777777" w:rsidR="00425286" w:rsidRPr="00FE3AF3" w:rsidRDefault="00425286" w:rsidP="00920968">
            <w:r w:rsidRPr="00FE3AF3">
              <w:rPr>
                <w:sz w:val="20"/>
              </w:rPr>
              <w:lastRenderedPageBreak/>
              <w:t xml:space="preserve">Design changes from studies and interrelated plant issued in time to meet </w:t>
            </w:r>
            <w:r w:rsidRPr="00FE3AF3">
              <w:rPr>
                <w:sz w:val="20"/>
              </w:rPr>
              <w:lastRenderedPageBreak/>
              <w:t>product schedules.</w:t>
            </w:r>
          </w:p>
        </w:tc>
        <w:tc>
          <w:tcPr>
            <w:tcW w:w="1656" w:type="dxa"/>
            <w:tcBorders>
              <w:top w:val="single" w:sz="6" w:space="0" w:color="auto"/>
              <w:left w:val="single" w:sz="6" w:space="0" w:color="auto"/>
              <w:bottom w:val="single" w:sz="6" w:space="0" w:color="auto"/>
              <w:right w:val="single" w:sz="6" w:space="0" w:color="auto"/>
            </w:tcBorders>
          </w:tcPr>
          <w:p w14:paraId="27AE34F5" w14:textId="77777777" w:rsidR="00425286" w:rsidRPr="00FE3AF3" w:rsidRDefault="00425286" w:rsidP="00920968">
            <w:r w:rsidRPr="00FE3AF3">
              <w:rPr>
                <w:sz w:val="20"/>
              </w:rPr>
              <w:lastRenderedPageBreak/>
              <w:t xml:space="preserve">Design changes, studies </w:t>
            </w:r>
            <w:proofErr w:type="gramStart"/>
            <w:r w:rsidRPr="00FE3AF3">
              <w:rPr>
                <w:sz w:val="20"/>
              </w:rPr>
              <w:t>resolved</w:t>
            </w:r>
            <w:proofErr w:type="gramEnd"/>
            <w:r w:rsidRPr="00FE3AF3">
              <w:rPr>
                <w:sz w:val="20"/>
              </w:rPr>
              <w:t xml:space="preserve"> and test data issued ahead of </w:t>
            </w:r>
            <w:r w:rsidRPr="00FE3AF3">
              <w:rPr>
                <w:sz w:val="20"/>
              </w:rPr>
              <w:lastRenderedPageBreak/>
              <w:t>production requirements.</w:t>
            </w:r>
          </w:p>
        </w:tc>
      </w:tr>
      <w:tr w:rsidR="00425286" w:rsidRPr="00FE3AF3" w14:paraId="510D22BC" w14:textId="77777777">
        <w:tc>
          <w:tcPr>
            <w:tcW w:w="1098" w:type="dxa"/>
            <w:tcBorders>
              <w:top w:val="single" w:sz="6" w:space="0" w:color="auto"/>
              <w:left w:val="single" w:sz="6" w:space="0" w:color="auto"/>
              <w:right w:val="single" w:sz="6" w:space="0" w:color="auto"/>
            </w:tcBorders>
          </w:tcPr>
          <w:p w14:paraId="66B0E009" w14:textId="77777777" w:rsidR="00425286" w:rsidRPr="00FE3AF3" w:rsidRDefault="00425286" w:rsidP="00920968">
            <w:r w:rsidRPr="00FE3AF3">
              <w:rPr>
                <w:sz w:val="20"/>
              </w:rPr>
              <w:lastRenderedPageBreak/>
              <w:t>B</w:t>
            </w:r>
          </w:p>
          <w:p w14:paraId="2A8FB487" w14:textId="77777777" w:rsidR="00425286" w:rsidRPr="00FE3AF3" w:rsidRDefault="00425286" w:rsidP="00920968">
            <w:r w:rsidRPr="00FE3AF3">
              <w:t>Quality of Work.</w:t>
            </w:r>
          </w:p>
        </w:tc>
        <w:tc>
          <w:tcPr>
            <w:tcW w:w="1440" w:type="dxa"/>
            <w:tcBorders>
              <w:top w:val="single" w:sz="6" w:space="0" w:color="auto"/>
              <w:left w:val="single" w:sz="6" w:space="0" w:color="auto"/>
              <w:bottom w:val="single" w:sz="6" w:space="0" w:color="auto"/>
              <w:right w:val="single" w:sz="6" w:space="0" w:color="auto"/>
            </w:tcBorders>
          </w:tcPr>
          <w:p w14:paraId="660D712A" w14:textId="77777777" w:rsidR="00425286" w:rsidRPr="00FE3AF3" w:rsidRDefault="00425286" w:rsidP="00920968">
            <w:r w:rsidRPr="00FE3AF3">
              <w:rPr>
                <w:sz w:val="20"/>
              </w:rPr>
              <w:t>(B-1)</w:t>
            </w:r>
          </w:p>
          <w:p w14:paraId="2CBB3518" w14:textId="77777777" w:rsidR="00425286" w:rsidRPr="00FE3AF3" w:rsidRDefault="00425286" w:rsidP="00920968">
            <w:r w:rsidRPr="00FE3AF3">
              <w:t>Work Appearance.</w:t>
            </w:r>
          </w:p>
        </w:tc>
        <w:tc>
          <w:tcPr>
            <w:tcW w:w="1656" w:type="dxa"/>
            <w:tcBorders>
              <w:top w:val="single" w:sz="6" w:space="0" w:color="auto"/>
              <w:left w:val="single" w:sz="6" w:space="0" w:color="auto"/>
              <w:bottom w:val="single" w:sz="6" w:space="0" w:color="auto"/>
              <w:right w:val="single" w:sz="6" w:space="0" w:color="auto"/>
            </w:tcBorders>
          </w:tcPr>
          <w:p w14:paraId="24F0B595" w14:textId="77777777" w:rsidR="00425286" w:rsidRPr="00FE3AF3" w:rsidRDefault="00425286" w:rsidP="00920968">
            <w:r w:rsidRPr="00FE3AF3">
              <w:rPr>
                <w:sz w:val="20"/>
              </w:rPr>
              <w:t xml:space="preserve">25% </w:t>
            </w:r>
            <w:proofErr w:type="spellStart"/>
            <w:r w:rsidRPr="00FE3AF3">
              <w:rPr>
                <w:sz w:val="20"/>
              </w:rPr>
              <w:t>dwgs</w:t>
            </w:r>
            <w:proofErr w:type="spellEnd"/>
            <w:r w:rsidRPr="00FE3AF3">
              <w:rPr>
                <w:sz w:val="20"/>
              </w:rPr>
              <w:t>. Not compatible with Shipyard repro. processes and use.</w:t>
            </w:r>
          </w:p>
        </w:tc>
        <w:tc>
          <w:tcPr>
            <w:tcW w:w="1656" w:type="dxa"/>
            <w:tcBorders>
              <w:top w:val="single" w:sz="6" w:space="0" w:color="auto"/>
              <w:left w:val="single" w:sz="6" w:space="0" w:color="auto"/>
              <w:bottom w:val="single" w:sz="6" w:space="0" w:color="auto"/>
              <w:right w:val="single" w:sz="6" w:space="0" w:color="auto"/>
            </w:tcBorders>
          </w:tcPr>
          <w:p w14:paraId="4172E321" w14:textId="77777777" w:rsidR="00425286" w:rsidRPr="00FE3AF3" w:rsidRDefault="00425286" w:rsidP="00920968">
            <w:r w:rsidRPr="00FE3AF3">
              <w:rPr>
                <w:sz w:val="20"/>
              </w:rPr>
              <w:t>20% not compatible with Shipyard repro. processes and use.</w:t>
            </w:r>
          </w:p>
        </w:tc>
        <w:tc>
          <w:tcPr>
            <w:tcW w:w="1656" w:type="dxa"/>
            <w:tcBorders>
              <w:top w:val="single" w:sz="6" w:space="0" w:color="auto"/>
              <w:left w:val="single" w:sz="6" w:space="0" w:color="auto"/>
              <w:bottom w:val="single" w:sz="6" w:space="0" w:color="auto"/>
              <w:right w:val="single" w:sz="6" w:space="0" w:color="auto"/>
            </w:tcBorders>
          </w:tcPr>
          <w:p w14:paraId="6F804632" w14:textId="77777777" w:rsidR="00425286" w:rsidRPr="00FE3AF3" w:rsidRDefault="00425286" w:rsidP="00920968">
            <w:r w:rsidRPr="00FE3AF3">
              <w:rPr>
                <w:sz w:val="20"/>
              </w:rPr>
              <w:t>10% not compatible with Shipyard repro. processes and use.</w:t>
            </w:r>
          </w:p>
        </w:tc>
        <w:tc>
          <w:tcPr>
            <w:tcW w:w="1656" w:type="dxa"/>
            <w:tcBorders>
              <w:top w:val="single" w:sz="6" w:space="0" w:color="auto"/>
              <w:left w:val="single" w:sz="6" w:space="0" w:color="auto"/>
              <w:bottom w:val="single" w:sz="6" w:space="0" w:color="auto"/>
              <w:right w:val="single" w:sz="6" w:space="0" w:color="auto"/>
            </w:tcBorders>
          </w:tcPr>
          <w:p w14:paraId="2711EADF" w14:textId="77777777" w:rsidR="00425286" w:rsidRPr="00FE3AF3" w:rsidRDefault="00425286" w:rsidP="00920968">
            <w:r w:rsidRPr="00FE3AF3">
              <w:rPr>
                <w:sz w:val="20"/>
              </w:rPr>
              <w:t xml:space="preserve">0% </w:t>
            </w:r>
            <w:proofErr w:type="spellStart"/>
            <w:r w:rsidRPr="00FE3AF3">
              <w:rPr>
                <w:sz w:val="20"/>
              </w:rPr>
              <w:t>dwgs</w:t>
            </w:r>
            <w:proofErr w:type="spellEnd"/>
            <w:r w:rsidRPr="00FE3AF3">
              <w:rPr>
                <w:sz w:val="20"/>
              </w:rPr>
              <w:t xml:space="preserve"> prepared by Des. Agent not compatible with Shipyard repro. processes and use.</w:t>
            </w:r>
          </w:p>
        </w:tc>
        <w:tc>
          <w:tcPr>
            <w:tcW w:w="1656" w:type="dxa"/>
            <w:tcBorders>
              <w:top w:val="single" w:sz="6" w:space="0" w:color="auto"/>
              <w:left w:val="single" w:sz="6" w:space="0" w:color="auto"/>
              <w:bottom w:val="single" w:sz="6" w:space="0" w:color="auto"/>
              <w:right w:val="single" w:sz="6" w:space="0" w:color="auto"/>
            </w:tcBorders>
          </w:tcPr>
          <w:p w14:paraId="756C267B" w14:textId="77777777" w:rsidR="00425286" w:rsidRPr="00FE3AF3" w:rsidRDefault="00425286" w:rsidP="00920968">
            <w:r w:rsidRPr="00FE3AF3">
              <w:rPr>
                <w:sz w:val="20"/>
              </w:rPr>
              <w:t xml:space="preserve">0% </w:t>
            </w:r>
            <w:proofErr w:type="spellStart"/>
            <w:r w:rsidRPr="00FE3AF3">
              <w:rPr>
                <w:sz w:val="20"/>
              </w:rPr>
              <w:t>dwgs</w:t>
            </w:r>
            <w:proofErr w:type="spellEnd"/>
            <w:r w:rsidRPr="00FE3AF3">
              <w:rPr>
                <w:sz w:val="20"/>
              </w:rPr>
              <w:t xml:space="preserve">. Presented incl. Des. Agent, vendors, </w:t>
            </w:r>
            <w:proofErr w:type="spellStart"/>
            <w:r w:rsidRPr="00FE3AF3">
              <w:rPr>
                <w:sz w:val="20"/>
              </w:rPr>
              <w:t>subcontr</w:t>
            </w:r>
            <w:proofErr w:type="spellEnd"/>
            <w:r w:rsidRPr="00FE3AF3">
              <w:rPr>
                <w:sz w:val="20"/>
              </w:rPr>
              <w:t>. Not compatible with Shipyard repro processes and use.</w:t>
            </w:r>
          </w:p>
        </w:tc>
      </w:tr>
      <w:tr w:rsidR="00425286" w:rsidRPr="00FE3AF3" w14:paraId="45886085" w14:textId="77777777">
        <w:tc>
          <w:tcPr>
            <w:tcW w:w="1098" w:type="dxa"/>
            <w:tcBorders>
              <w:left w:val="single" w:sz="6" w:space="0" w:color="auto"/>
              <w:right w:val="single" w:sz="6" w:space="0" w:color="auto"/>
            </w:tcBorders>
          </w:tcPr>
          <w:p w14:paraId="7FFA6F6B" w14:textId="77777777" w:rsidR="00425286" w:rsidRPr="00FE3AF3" w:rsidRDefault="00425286" w:rsidP="0075376C">
            <w:pPr>
              <w:pStyle w:val="DFARS"/>
              <w:jc w:val="center"/>
              <w:rPr>
                <w:rFonts w:ascii="Arial" w:hAnsi="Arial"/>
                <w:strike/>
                <w:sz w:val="20"/>
                <w:highlight w:val="yellow"/>
              </w:rPr>
            </w:pPr>
          </w:p>
        </w:tc>
        <w:tc>
          <w:tcPr>
            <w:tcW w:w="1440" w:type="dxa"/>
            <w:tcBorders>
              <w:top w:val="single" w:sz="6" w:space="0" w:color="auto"/>
              <w:left w:val="single" w:sz="6" w:space="0" w:color="auto"/>
              <w:bottom w:val="single" w:sz="6" w:space="0" w:color="auto"/>
              <w:right w:val="single" w:sz="6" w:space="0" w:color="auto"/>
            </w:tcBorders>
          </w:tcPr>
          <w:p w14:paraId="45915601" w14:textId="77777777" w:rsidR="00425286" w:rsidRPr="00FE3AF3" w:rsidRDefault="00425286" w:rsidP="00920968">
            <w:r w:rsidRPr="00FE3AF3">
              <w:rPr>
                <w:sz w:val="20"/>
              </w:rPr>
              <w:t>(B-2)</w:t>
            </w:r>
          </w:p>
          <w:p w14:paraId="739D4132" w14:textId="77777777" w:rsidR="00425286" w:rsidRPr="00FE3AF3" w:rsidRDefault="00425286" w:rsidP="00920968">
            <w:r w:rsidRPr="00FE3AF3">
              <w:t>Thoroughness and Accuracy of Work.</w:t>
            </w:r>
          </w:p>
        </w:tc>
        <w:tc>
          <w:tcPr>
            <w:tcW w:w="1656" w:type="dxa"/>
            <w:tcBorders>
              <w:top w:val="single" w:sz="6" w:space="0" w:color="auto"/>
              <w:left w:val="single" w:sz="6" w:space="0" w:color="auto"/>
              <w:bottom w:val="single" w:sz="6" w:space="0" w:color="auto"/>
              <w:right w:val="single" w:sz="6" w:space="0" w:color="auto"/>
            </w:tcBorders>
          </w:tcPr>
          <w:p w14:paraId="72DB1D63" w14:textId="77777777" w:rsidR="00425286" w:rsidRPr="00FE3AF3" w:rsidRDefault="00425286" w:rsidP="00920968">
            <w:r w:rsidRPr="00FE3AF3">
              <w:rPr>
                <w:sz w:val="20"/>
              </w:rPr>
              <w:t>Is brief on plans tending to leave questionable situations for Shipyard to resolve.</w:t>
            </w:r>
          </w:p>
        </w:tc>
        <w:tc>
          <w:tcPr>
            <w:tcW w:w="1656" w:type="dxa"/>
            <w:tcBorders>
              <w:top w:val="single" w:sz="6" w:space="0" w:color="auto"/>
              <w:left w:val="single" w:sz="6" w:space="0" w:color="auto"/>
              <w:bottom w:val="single" w:sz="6" w:space="0" w:color="auto"/>
              <w:right w:val="single" w:sz="6" w:space="0" w:color="auto"/>
            </w:tcBorders>
          </w:tcPr>
          <w:p w14:paraId="5B03537A" w14:textId="77777777" w:rsidR="00425286" w:rsidRPr="00FE3AF3" w:rsidRDefault="00425286" w:rsidP="00920968">
            <w:r w:rsidRPr="00FE3AF3">
              <w:rPr>
                <w:sz w:val="20"/>
              </w:rPr>
              <w:t xml:space="preserve">Has followed guidance, type and standard </w:t>
            </w:r>
            <w:proofErr w:type="spellStart"/>
            <w:r w:rsidRPr="00FE3AF3">
              <w:rPr>
                <w:sz w:val="20"/>
              </w:rPr>
              <w:t>dwgs</w:t>
            </w:r>
            <w:proofErr w:type="spellEnd"/>
            <w:r w:rsidRPr="00FE3AF3">
              <w:rPr>
                <w:sz w:val="20"/>
              </w:rPr>
              <w:t>.</w:t>
            </w:r>
          </w:p>
        </w:tc>
        <w:tc>
          <w:tcPr>
            <w:tcW w:w="1656" w:type="dxa"/>
            <w:tcBorders>
              <w:top w:val="single" w:sz="6" w:space="0" w:color="auto"/>
              <w:left w:val="single" w:sz="6" w:space="0" w:color="auto"/>
              <w:bottom w:val="single" w:sz="6" w:space="0" w:color="auto"/>
              <w:right w:val="single" w:sz="6" w:space="0" w:color="auto"/>
            </w:tcBorders>
          </w:tcPr>
          <w:p w14:paraId="29A65A8B" w14:textId="77777777" w:rsidR="00425286" w:rsidRPr="00FE3AF3" w:rsidRDefault="00425286" w:rsidP="00920968">
            <w:r w:rsidRPr="00FE3AF3">
              <w:rPr>
                <w:sz w:val="20"/>
              </w:rPr>
              <w:t xml:space="preserve">Has followed guidance, type and standard </w:t>
            </w:r>
            <w:proofErr w:type="spellStart"/>
            <w:r w:rsidRPr="00FE3AF3">
              <w:rPr>
                <w:sz w:val="20"/>
              </w:rPr>
              <w:t>dwgs</w:t>
            </w:r>
            <w:proofErr w:type="spellEnd"/>
            <w:r w:rsidRPr="00FE3AF3">
              <w:rPr>
                <w:sz w:val="20"/>
              </w:rPr>
              <w:t>. Questioning and resolving doubtful areas.</w:t>
            </w:r>
          </w:p>
        </w:tc>
        <w:tc>
          <w:tcPr>
            <w:tcW w:w="1656" w:type="dxa"/>
            <w:tcBorders>
              <w:top w:val="single" w:sz="6" w:space="0" w:color="auto"/>
              <w:left w:val="single" w:sz="6" w:space="0" w:color="auto"/>
              <w:bottom w:val="single" w:sz="6" w:space="0" w:color="auto"/>
              <w:right w:val="single" w:sz="6" w:space="0" w:color="auto"/>
            </w:tcBorders>
          </w:tcPr>
          <w:p w14:paraId="6DEC5D8F" w14:textId="77777777" w:rsidR="00425286" w:rsidRPr="00FE3AF3" w:rsidRDefault="00425286" w:rsidP="00920968">
            <w:r w:rsidRPr="00FE3AF3">
              <w:rPr>
                <w:sz w:val="20"/>
              </w:rPr>
              <w:t>Work complete with notes and thorough explanations for anticipated questionable areas.</w:t>
            </w:r>
          </w:p>
        </w:tc>
        <w:tc>
          <w:tcPr>
            <w:tcW w:w="1656" w:type="dxa"/>
            <w:tcBorders>
              <w:top w:val="single" w:sz="6" w:space="0" w:color="auto"/>
              <w:left w:val="single" w:sz="6" w:space="0" w:color="auto"/>
              <w:bottom w:val="single" w:sz="6" w:space="0" w:color="auto"/>
              <w:right w:val="single" w:sz="6" w:space="0" w:color="auto"/>
            </w:tcBorders>
          </w:tcPr>
          <w:p w14:paraId="1FCE39B4" w14:textId="77777777" w:rsidR="00425286" w:rsidRPr="00FE3AF3" w:rsidRDefault="00425286" w:rsidP="00920968">
            <w:r w:rsidRPr="00FE3AF3">
              <w:rPr>
                <w:sz w:val="20"/>
              </w:rPr>
              <w:t>Work of highest caliber incorporating all pertinent data required including related activities.</w:t>
            </w:r>
          </w:p>
        </w:tc>
      </w:tr>
      <w:tr w:rsidR="00425286" w:rsidRPr="00FE3AF3" w14:paraId="1F678D85" w14:textId="77777777">
        <w:tc>
          <w:tcPr>
            <w:tcW w:w="1098" w:type="dxa"/>
            <w:tcBorders>
              <w:left w:val="single" w:sz="6" w:space="0" w:color="auto"/>
              <w:bottom w:val="single" w:sz="6" w:space="0" w:color="auto"/>
              <w:right w:val="single" w:sz="6" w:space="0" w:color="auto"/>
            </w:tcBorders>
          </w:tcPr>
          <w:p w14:paraId="1BEB95A7" w14:textId="77777777" w:rsidR="00425286" w:rsidRPr="00FE3AF3" w:rsidRDefault="00425286" w:rsidP="0075376C">
            <w:pPr>
              <w:pStyle w:val="DFARS"/>
              <w:jc w:val="center"/>
              <w:rPr>
                <w:rFonts w:ascii="Arial" w:hAnsi="Arial"/>
                <w:strike/>
                <w:sz w:val="20"/>
                <w:highlight w:val="yellow"/>
              </w:rPr>
            </w:pPr>
          </w:p>
        </w:tc>
        <w:tc>
          <w:tcPr>
            <w:tcW w:w="1440" w:type="dxa"/>
            <w:tcBorders>
              <w:top w:val="single" w:sz="6" w:space="0" w:color="auto"/>
              <w:left w:val="single" w:sz="6" w:space="0" w:color="auto"/>
              <w:bottom w:val="single" w:sz="6" w:space="0" w:color="auto"/>
              <w:right w:val="single" w:sz="6" w:space="0" w:color="auto"/>
            </w:tcBorders>
          </w:tcPr>
          <w:p w14:paraId="37D8D826" w14:textId="77777777" w:rsidR="00425286" w:rsidRPr="00FE3AF3" w:rsidRDefault="00425286" w:rsidP="00920968">
            <w:r w:rsidRPr="00FE3AF3">
              <w:rPr>
                <w:sz w:val="20"/>
              </w:rPr>
              <w:t>(B-3)</w:t>
            </w:r>
          </w:p>
          <w:p w14:paraId="14E8F14A" w14:textId="77777777" w:rsidR="00425286" w:rsidRPr="00FE3AF3" w:rsidRDefault="00425286" w:rsidP="00920968">
            <w:r w:rsidRPr="00FE3AF3">
              <w:t>Engineering Competence.</w:t>
            </w:r>
          </w:p>
        </w:tc>
        <w:tc>
          <w:tcPr>
            <w:tcW w:w="1656" w:type="dxa"/>
            <w:tcBorders>
              <w:top w:val="single" w:sz="6" w:space="0" w:color="auto"/>
              <w:left w:val="single" w:sz="6" w:space="0" w:color="auto"/>
              <w:bottom w:val="single" w:sz="6" w:space="0" w:color="auto"/>
              <w:right w:val="single" w:sz="6" w:space="0" w:color="auto"/>
            </w:tcBorders>
          </w:tcPr>
          <w:p w14:paraId="477D624C" w14:textId="77777777" w:rsidR="00425286" w:rsidRPr="00FE3AF3" w:rsidRDefault="00425286" w:rsidP="00920968">
            <w:r w:rsidRPr="00FE3AF3">
              <w:rPr>
                <w:sz w:val="20"/>
              </w:rPr>
              <w:t xml:space="preserve">Tendency to follow past practice with no variation to meet </w:t>
            </w:r>
            <w:proofErr w:type="spellStart"/>
            <w:r w:rsidRPr="00FE3AF3">
              <w:rPr>
                <w:sz w:val="20"/>
              </w:rPr>
              <w:t>reqmts</w:t>
            </w:r>
            <w:proofErr w:type="spellEnd"/>
            <w:r w:rsidRPr="00FE3AF3">
              <w:rPr>
                <w:sz w:val="20"/>
              </w:rPr>
              <w:t>. job in hand.</w:t>
            </w:r>
          </w:p>
        </w:tc>
        <w:tc>
          <w:tcPr>
            <w:tcW w:w="1656" w:type="dxa"/>
            <w:tcBorders>
              <w:top w:val="single" w:sz="6" w:space="0" w:color="auto"/>
              <w:left w:val="single" w:sz="6" w:space="0" w:color="auto"/>
              <w:bottom w:val="single" w:sz="6" w:space="0" w:color="auto"/>
              <w:right w:val="single" w:sz="6" w:space="0" w:color="auto"/>
            </w:tcBorders>
          </w:tcPr>
          <w:p w14:paraId="3030E337" w14:textId="77777777" w:rsidR="00425286" w:rsidRPr="00FE3AF3" w:rsidRDefault="00425286" w:rsidP="00920968">
            <w:r w:rsidRPr="00FE3AF3">
              <w:rPr>
                <w:sz w:val="20"/>
              </w:rPr>
              <w:t xml:space="preserve">Adequate </w:t>
            </w:r>
            <w:proofErr w:type="spellStart"/>
            <w:r w:rsidRPr="00FE3AF3">
              <w:rPr>
                <w:sz w:val="20"/>
              </w:rPr>
              <w:t>engrg</w:t>
            </w:r>
            <w:proofErr w:type="spellEnd"/>
            <w:r w:rsidRPr="00FE3AF3">
              <w:rPr>
                <w:sz w:val="20"/>
              </w:rPr>
              <w:t>. To use &amp; adapt existing designs to suit job on hand for routine work.</w:t>
            </w:r>
          </w:p>
        </w:tc>
        <w:tc>
          <w:tcPr>
            <w:tcW w:w="1656" w:type="dxa"/>
            <w:tcBorders>
              <w:top w:val="single" w:sz="6" w:space="0" w:color="auto"/>
              <w:left w:val="single" w:sz="6" w:space="0" w:color="auto"/>
              <w:bottom w:val="single" w:sz="6" w:space="0" w:color="auto"/>
              <w:right w:val="single" w:sz="6" w:space="0" w:color="auto"/>
            </w:tcBorders>
          </w:tcPr>
          <w:p w14:paraId="5E897425" w14:textId="77777777" w:rsidR="00425286" w:rsidRPr="00FE3AF3" w:rsidRDefault="00425286" w:rsidP="00920968">
            <w:r w:rsidRPr="00FE3AF3">
              <w:rPr>
                <w:sz w:val="20"/>
              </w:rPr>
              <w:t>Engineered to satisfy specs., guidance plans and material provided.</w:t>
            </w:r>
          </w:p>
        </w:tc>
        <w:tc>
          <w:tcPr>
            <w:tcW w:w="1656" w:type="dxa"/>
            <w:tcBorders>
              <w:top w:val="single" w:sz="6" w:space="0" w:color="auto"/>
              <w:left w:val="single" w:sz="6" w:space="0" w:color="auto"/>
              <w:bottom w:val="single" w:sz="6" w:space="0" w:color="auto"/>
              <w:right w:val="single" w:sz="6" w:space="0" w:color="auto"/>
            </w:tcBorders>
          </w:tcPr>
          <w:p w14:paraId="5A398E00" w14:textId="77777777" w:rsidR="00425286" w:rsidRPr="00FE3AF3" w:rsidRDefault="00425286" w:rsidP="00920968">
            <w:r w:rsidRPr="00FE3AF3">
              <w:rPr>
                <w:sz w:val="20"/>
              </w:rPr>
              <w:t xml:space="preserve">Displays excellent knowledge of constr. </w:t>
            </w:r>
            <w:proofErr w:type="spellStart"/>
            <w:r w:rsidRPr="00FE3AF3">
              <w:rPr>
                <w:sz w:val="20"/>
              </w:rPr>
              <w:t>Reqmts</w:t>
            </w:r>
            <w:proofErr w:type="spellEnd"/>
            <w:r w:rsidRPr="00FE3AF3">
              <w:rPr>
                <w:sz w:val="20"/>
              </w:rPr>
              <w:t>. considering systems aspect, cost, shop capabilities and procurement problems.</w:t>
            </w:r>
          </w:p>
        </w:tc>
        <w:tc>
          <w:tcPr>
            <w:tcW w:w="1656" w:type="dxa"/>
            <w:tcBorders>
              <w:top w:val="single" w:sz="6" w:space="0" w:color="auto"/>
              <w:left w:val="single" w:sz="6" w:space="0" w:color="auto"/>
              <w:bottom w:val="single" w:sz="6" w:space="0" w:color="auto"/>
              <w:right w:val="single" w:sz="6" w:space="0" w:color="auto"/>
            </w:tcBorders>
          </w:tcPr>
          <w:p w14:paraId="6D0978AE" w14:textId="77777777" w:rsidR="00425286" w:rsidRPr="00FE3AF3" w:rsidRDefault="00425286" w:rsidP="00920968">
            <w:r w:rsidRPr="00FE3AF3">
              <w:rPr>
                <w:sz w:val="20"/>
              </w:rPr>
              <w:t xml:space="preserve">Exceptional knowledge of Naval </w:t>
            </w:r>
            <w:proofErr w:type="spellStart"/>
            <w:r w:rsidRPr="00FE3AF3">
              <w:rPr>
                <w:sz w:val="20"/>
              </w:rPr>
              <w:t>shipwork</w:t>
            </w:r>
            <w:proofErr w:type="spellEnd"/>
            <w:r w:rsidRPr="00FE3AF3">
              <w:rPr>
                <w:sz w:val="20"/>
              </w:rPr>
              <w:t xml:space="preserve"> &amp; adaptability to work process incorporating knowledge of future planning in Design.</w:t>
            </w:r>
          </w:p>
        </w:tc>
      </w:tr>
      <w:tr w:rsidR="00425286" w:rsidRPr="00FE3AF3" w14:paraId="19C67DDD" w14:textId="77777777">
        <w:tc>
          <w:tcPr>
            <w:tcW w:w="1098" w:type="dxa"/>
            <w:tcBorders>
              <w:top w:val="single" w:sz="6" w:space="0" w:color="auto"/>
              <w:left w:val="single" w:sz="6" w:space="0" w:color="auto"/>
              <w:right w:val="single" w:sz="6" w:space="0" w:color="auto"/>
            </w:tcBorders>
          </w:tcPr>
          <w:p w14:paraId="62ACE6C7" w14:textId="77777777" w:rsidR="00425286" w:rsidRPr="00FE3AF3" w:rsidRDefault="00425286" w:rsidP="00920968">
            <w:r w:rsidRPr="00FE3AF3">
              <w:rPr>
                <w:sz w:val="20"/>
              </w:rPr>
              <w:t>B</w:t>
            </w:r>
          </w:p>
          <w:p w14:paraId="1E1E5ABA" w14:textId="77777777" w:rsidR="00425286" w:rsidRPr="00FE3AF3" w:rsidRDefault="00425286" w:rsidP="00920968">
            <w:r w:rsidRPr="00FE3AF3">
              <w:t>Quality of Work (Cont’d)</w:t>
            </w:r>
          </w:p>
        </w:tc>
        <w:tc>
          <w:tcPr>
            <w:tcW w:w="1440" w:type="dxa"/>
            <w:tcBorders>
              <w:top w:val="single" w:sz="6" w:space="0" w:color="auto"/>
              <w:left w:val="single" w:sz="6" w:space="0" w:color="auto"/>
              <w:bottom w:val="single" w:sz="6" w:space="0" w:color="auto"/>
              <w:right w:val="single" w:sz="6" w:space="0" w:color="auto"/>
            </w:tcBorders>
          </w:tcPr>
          <w:p w14:paraId="0D8B63C5" w14:textId="77777777" w:rsidR="00425286" w:rsidRPr="00FE3AF3" w:rsidRDefault="00425286" w:rsidP="00920968">
            <w:r w:rsidRPr="00FE3AF3">
              <w:rPr>
                <w:sz w:val="20"/>
              </w:rPr>
              <w:t>(B-4)</w:t>
            </w:r>
          </w:p>
          <w:p w14:paraId="377F3A02" w14:textId="77777777" w:rsidR="00425286" w:rsidRPr="00FE3AF3" w:rsidRDefault="00425286" w:rsidP="00920968">
            <w:r w:rsidRPr="00FE3AF3">
              <w:t>Liaison Effectiveness</w:t>
            </w:r>
          </w:p>
        </w:tc>
        <w:tc>
          <w:tcPr>
            <w:tcW w:w="1656" w:type="dxa"/>
            <w:tcBorders>
              <w:top w:val="single" w:sz="6" w:space="0" w:color="auto"/>
              <w:left w:val="single" w:sz="6" w:space="0" w:color="auto"/>
              <w:bottom w:val="single" w:sz="6" w:space="0" w:color="auto"/>
              <w:right w:val="single" w:sz="6" w:space="0" w:color="auto"/>
            </w:tcBorders>
          </w:tcPr>
          <w:p w14:paraId="26E13678" w14:textId="77777777" w:rsidR="00425286" w:rsidRPr="00FE3AF3" w:rsidRDefault="00425286" w:rsidP="00920968">
            <w:r w:rsidRPr="00FE3AF3">
              <w:rPr>
                <w:sz w:val="20"/>
              </w:rPr>
              <w:t xml:space="preserve">Indifferent to requirements of associated activities, related </w:t>
            </w:r>
            <w:r w:rsidRPr="00FE3AF3">
              <w:rPr>
                <w:sz w:val="20"/>
              </w:rPr>
              <w:lastRenderedPageBreak/>
              <w:t>systems, and Shipyard advice.</w:t>
            </w:r>
          </w:p>
        </w:tc>
        <w:tc>
          <w:tcPr>
            <w:tcW w:w="1656" w:type="dxa"/>
            <w:tcBorders>
              <w:top w:val="single" w:sz="6" w:space="0" w:color="auto"/>
              <w:left w:val="single" w:sz="6" w:space="0" w:color="auto"/>
              <w:bottom w:val="single" w:sz="6" w:space="0" w:color="auto"/>
              <w:right w:val="single" w:sz="6" w:space="0" w:color="auto"/>
            </w:tcBorders>
          </w:tcPr>
          <w:p w14:paraId="28F367F8" w14:textId="77777777" w:rsidR="00425286" w:rsidRPr="00FE3AF3" w:rsidRDefault="00425286" w:rsidP="00920968">
            <w:r w:rsidRPr="00FE3AF3">
              <w:rPr>
                <w:sz w:val="20"/>
              </w:rPr>
              <w:lastRenderedPageBreak/>
              <w:t xml:space="preserve">Satisfactory but dependent on Shipyard of force resolution of problems </w:t>
            </w:r>
            <w:r w:rsidRPr="00FE3AF3">
              <w:rPr>
                <w:sz w:val="20"/>
              </w:rPr>
              <w:lastRenderedPageBreak/>
              <w:t xml:space="preserve">without constructive </w:t>
            </w:r>
            <w:proofErr w:type="spellStart"/>
            <w:r w:rsidRPr="00FE3AF3">
              <w:rPr>
                <w:sz w:val="20"/>
              </w:rPr>
              <w:t>recommen</w:t>
            </w:r>
            <w:proofErr w:type="spellEnd"/>
            <w:r w:rsidRPr="00FE3AF3">
              <w:rPr>
                <w:sz w:val="20"/>
              </w:rPr>
              <w:t xml:space="preserve">--dations to </w:t>
            </w:r>
            <w:proofErr w:type="spellStart"/>
            <w:r w:rsidRPr="00FE3AF3">
              <w:rPr>
                <w:sz w:val="20"/>
              </w:rPr>
              <w:t>subcontr</w:t>
            </w:r>
            <w:proofErr w:type="spellEnd"/>
            <w:r w:rsidRPr="00FE3AF3">
              <w:rPr>
                <w:sz w:val="20"/>
              </w:rPr>
              <w:t>. or vendors.</w:t>
            </w:r>
          </w:p>
        </w:tc>
        <w:tc>
          <w:tcPr>
            <w:tcW w:w="1656" w:type="dxa"/>
            <w:tcBorders>
              <w:top w:val="single" w:sz="6" w:space="0" w:color="auto"/>
              <w:left w:val="single" w:sz="6" w:space="0" w:color="auto"/>
              <w:bottom w:val="single" w:sz="6" w:space="0" w:color="auto"/>
              <w:right w:val="single" w:sz="6" w:space="0" w:color="auto"/>
            </w:tcBorders>
          </w:tcPr>
          <w:p w14:paraId="1CE86EC9" w14:textId="77777777" w:rsidR="00425286" w:rsidRPr="00FE3AF3" w:rsidRDefault="00425286" w:rsidP="00920968">
            <w:r w:rsidRPr="00FE3AF3">
              <w:rPr>
                <w:sz w:val="20"/>
              </w:rPr>
              <w:lastRenderedPageBreak/>
              <w:t xml:space="preserve">Maintains normal contract with associated activities depending on </w:t>
            </w:r>
            <w:r w:rsidRPr="00FE3AF3">
              <w:rPr>
                <w:sz w:val="20"/>
              </w:rPr>
              <w:lastRenderedPageBreak/>
              <w:t>Shipyard for problems requiring military resolution.</w:t>
            </w:r>
          </w:p>
        </w:tc>
        <w:tc>
          <w:tcPr>
            <w:tcW w:w="1656" w:type="dxa"/>
            <w:tcBorders>
              <w:top w:val="single" w:sz="6" w:space="0" w:color="auto"/>
              <w:left w:val="single" w:sz="6" w:space="0" w:color="auto"/>
              <w:bottom w:val="single" w:sz="6" w:space="0" w:color="auto"/>
              <w:right w:val="single" w:sz="6" w:space="0" w:color="auto"/>
            </w:tcBorders>
          </w:tcPr>
          <w:p w14:paraId="1BEED8C2" w14:textId="77777777" w:rsidR="00425286" w:rsidRPr="00FE3AF3" w:rsidRDefault="00425286" w:rsidP="00920968">
            <w:r w:rsidRPr="00FE3AF3">
              <w:rPr>
                <w:sz w:val="20"/>
              </w:rPr>
              <w:lastRenderedPageBreak/>
              <w:t xml:space="preserve">Maintains independent contact with all associated activities, </w:t>
            </w:r>
            <w:r w:rsidRPr="00FE3AF3">
              <w:rPr>
                <w:sz w:val="20"/>
              </w:rPr>
              <w:lastRenderedPageBreak/>
              <w:t>keeping them informed to produce compatible design with little assistance for Yard.</w:t>
            </w:r>
          </w:p>
        </w:tc>
        <w:tc>
          <w:tcPr>
            <w:tcW w:w="1656" w:type="dxa"/>
            <w:tcBorders>
              <w:top w:val="single" w:sz="6" w:space="0" w:color="auto"/>
              <w:left w:val="single" w:sz="6" w:space="0" w:color="auto"/>
              <w:bottom w:val="single" w:sz="6" w:space="0" w:color="auto"/>
              <w:right w:val="single" w:sz="6" w:space="0" w:color="auto"/>
            </w:tcBorders>
          </w:tcPr>
          <w:p w14:paraId="34FE45BF" w14:textId="77777777" w:rsidR="00425286" w:rsidRPr="00FE3AF3" w:rsidRDefault="00425286" w:rsidP="00920968">
            <w:r w:rsidRPr="00FE3AF3">
              <w:rPr>
                <w:sz w:val="20"/>
              </w:rPr>
              <w:lastRenderedPageBreak/>
              <w:t xml:space="preserve">Maintains expert contact, keeping Yard informed, obtaining info </w:t>
            </w:r>
            <w:r w:rsidRPr="00FE3AF3">
              <w:rPr>
                <w:sz w:val="20"/>
              </w:rPr>
              <w:lastRenderedPageBreak/>
              <w:t>from equip, supplies w/o prompting of Shipyard.</w:t>
            </w:r>
          </w:p>
        </w:tc>
      </w:tr>
      <w:tr w:rsidR="00425286" w:rsidRPr="00FE3AF3" w14:paraId="1CB7274B" w14:textId="77777777">
        <w:tc>
          <w:tcPr>
            <w:tcW w:w="1098" w:type="dxa"/>
            <w:tcBorders>
              <w:left w:val="single" w:sz="6" w:space="0" w:color="auto"/>
              <w:bottom w:val="single" w:sz="6" w:space="0" w:color="auto"/>
              <w:right w:val="single" w:sz="6" w:space="0" w:color="auto"/>
            </w:tcBorders>
          </w:tcPr>
          <w:p w14:paraId="6ED75A14" w14:textId="77777777" w:rsidR="00425286" w:rsidRPr="00FE3AF3" w:rsidRDefault="00425286" w:rsidP="0075376C">
            <w:pPr>
              <w:pStyle w:val="DFARS"/>
              <w:jc w:val="center"/>
              <w:rPr>
                <w:rFonts w:ascii="Arial" w:hAnsi="Arial"/>
                <w:sz w:val="20"/>
              </w:rPr>
            </w:pPr>
          </w:p>
        </w:tc>
        <w:tc>
          <w:tcPr>
            <w:tcW w:w="1440" w:type="dxa"/>
            <w:tcBorders>
              <w:top w:val="single" w:sz="6" w:space="0" w:color="auto"/>
              <w:left w:val="single" w:sz="6" w:space="0" w:color="auto"/>
              <w:bottom w:val="single" w:sz="6" w:space="0" w:color="auto"/>
              <w:right w:val="single" w:sz="6" w:space="0" w:color="auto"/>
            </w:tcBorders>
          </w:tcPr>
          <w:p w14:paraId="56A7A674" w14:textId="77777777" w:rsidR="00425286" w:rsidRPr="00FE3AF3" w:rsidRDefault="00425286" w:rsidP="00920968">
            <w:r w:rsidRPr="00FE3AF3">
              <w:rPr>
                <w:sz w:val="20"/>
              </w:rPr>
              <w:t>(B-5)</w:t>
            </w:r>
          </w:p>
        </w:tc>
        <w:tc>
          <w:tcPr>
            <w:tcW w:w="1656" w:type="dxa"/>
            <w:tcBorders>
              <w:top w:val="single" w:sz="6" w:space="0" w:color="auto"/>
              <w:left w:val="single" w:sz="6" w:space="0" w:color="auto"/>
              <w:bottom w:val="single" w:sz="6" w:space="0" w:color="auto"/>
              <w:right w:val="single" w:sz="6" w:space="0" w:color="auto"/>
            </w:tcBorders>
          </w:tcPr>
          <w:p w14:paraId="78A98D46" w14:textId="77777777" w:rsidR="00425286" w:rsidRPr="00FE3AF3" w:rsidRDefault="00425286" w:rsidP="00920968">
            <w:r w:rsidRPr="00FE3AF3">
              <w:rPr>
                <w:sz w:val="20"/>
              </w:rPr>
              <w:t>Constant surveillance required to keep job from slipping—assign to low priority to satisfy needs.</w:t>
            </w:r>
          </w:p>
        </w:tc>
        <w:tc>
          <w:tcPr>
            <w:tcW w:w="1656" w:type="dxa"/>
            <w:tcBorders>
              <w:top w:val="single" w:sz="6" w:space="0" w:color="auto"/>
              <w:left w:val="single" w:sz="6" w:space="0" w:color="auto"/>
              <w:bottom w:val="single" w:sz="6" w:space="0" w:color="auto"/>
              <w:right w:val="single" w:sz="6" w:space="0" w:color="auto"/>
            </w:tcBorders>
          </w:tcPr>
          <w:p w14:paraId="1B9DAE2B" w14:textId="77777777" w:rsidR="00425286" w:rsidRPr="00FE3AF3" w:rsidRDefault="00425286" w:rsidP="00920968">
            <w:r w:rsidRPr="00FE3AF3">
              <w:rPr>
                <w:sz w:val="20"/>
              </w:rPr>
              <w:t>Requires occasional prodding to stay on schedule &amp; expects Shipyard resolution of most problems.</w:t>
            </w:r>
          </w:p>
        </w:tc>
        <w:tc>
          <w:tcPr>
            <w:tcW w:w="1656" w:type="dxa"/>
            <w:tcBorders>
              <w:top w:val="single" w:sz="6" w:space="0" w:color="auto"/>
              <w:left w:val="single" w:sz="6" w:space="0" w:color="auto"/>
              <w:bottom w:val="single" w:sz="6" w:space="0" w:color="auto"/>
              <w:right w:val="single" w:sz="6" w:space="0" w:color="auto"/>
            </w:tcBorders>
          </w:tcPr>
          <w:p w14:paraId="0B2F654A" w14:textId="77777777" w:rsidR="00425286" w:rsidRPr="00FE3AF3" w:rsidRDefault="00425286" w:rsidP="00920968">
            <w:r w:rsidRPr="00FE3AF3">
              <w:rPr>
                <w:sz w:val="20"/>
              </w:rPr>
              <w:t>Normal interest and desire to provide workable plans with average assistance &amp; direction by Shipyard.</w:t>
            </w:r>
          </w:p>
        </w:tc>
        <w:tc>
          <w:tcPr>
            <w:tcW w:w="1656" w:type="dxa"/>
            <w:tcBorders>
              <w:top w:val="single" w:sz="6" w:space="0" w:color="auto"/>
              <w:left w:val="single" w:sz="6" w:space="0" w:color="auto"/>
              <w:bottom w:val="single" w:sz="6" w:space="0" w:color="auto"/>
              <w:right w:val="single" w:sz="6" w:space="0" w:color="auto"/>
            </w:tcBorders>
          </w:tcPr>
          <w:p w14:paraId="344D8E2B" w14:textId="77777777" w:rsidR="00425286" w:rsidRPr="00FE3AF3" w:rsidRDefault="00425286" w:rsidP="00920968">
            <w:r w:rsidRPr="00FE3AF3">
              <w:rPr>
                <w:sz w:val="20"/>
              </w:rPr>
              <w:t xml:space="preserve">Complete &amp; accurate job.  Free of </w:t>
            </w:r>
            <w:proofErr w:type="spellStart"/>
            <w:r w:rsidRPr="00FE3AF3">
              <w:rPr>
                <w:sz w:val="20"/>
              </w:rPr>
              <w:t>incom</w:t>
            </w:r>
            <w:proofErr w:type="spellEnd"/>
            <w:r w:rsidRPr="00FE3AF3">
              <w:rPr>
                <w:sz w:val="20"/>
              </w:rPr>
              <w:t>-</w:t>
            </w:r>
          </w:p>
          <w:p w14:paraId="1E53C9A3" w14:textId="77777777" w:rsidR="00425286" w:rsidRPr="00FE3AF3" w:rsidRDefault="00425286" w:rsidP="00920968">
            <w:proofErr w:type="spellStart"/>
            <w:r w:rsidRPr="00FE3AF3">
              <w:t>patibilities</w:t>
            </w:r>
            <w:proofErr w:type="spellEnd"/>
            <w:r w:rsidRPr="00FE3AF3">
              <w:t xml:space="preserve"> with little or no direction by Shipyard.</w:t>
            </w:r>
          </w:p>
        </w:tc>
        <w:tc>
          <w:tcPr>
            <w:tcW w:w="1656" w:type="dxa"/>
            <w:tcBorders>
              <w:top w:val="single" w:sz="6" w:space="0" w:color="auto"/>
              <w:left w:val="single" w:sz="6" w:space="0" w:color="auto"/>
              <w:bottom w:val="single" w:sz="6" w:space="0" w:color="auto"/>
              <w:right w:val="single" w:sz="6" w:space="0" w:color="auto"/>
            </w:tcBorders>
          </w:tcPr>
          <w:p w14:paraId="0F6B26AB" w14:textId="77777777" w:rsidR="00425286" w:rsidRPr="00FE3AF3" w:rsidRDefault="00425286" w:rsidP="00920968">
            <w:r w:rsidRPr="00FE3AF3">
              <w:rPr>
                <w:sz w:val="20"/>
              </w:rPr>
              <w:t>Develops complete and accurate plans, seeks out problem areas and resolves with assoc. act. ahead of schedule.</w:t>
            </w:r>
          </w:p>
        </w:tc>
      </w:tr>
      <w:tr w:rsidR="00425286" w:rsidRPr="00FE3AF3" w14:paraId="2F865D52" w14:textId="77777777">
        <w:tc>
          <w:tcPr>
            <w:tcW w:w="1098" w:type="dxa"/>
            <w:tcBorders>
              <w:top w:val="single" w:sz="6" w:space="0" w:color="auto"/>
              <w:left w:val="single" w:sz="6" w:space="0" w:color="auto"/>
              <w:right w:val="single" w:sz="6" w:space="0" w:color="auto"/>
            </w:tcBorders>
          </w:tcPr>
          <w:p w14:paraId="396B326D" w14:textId="77777777" w:rsidR="00425286" w:rsidRPr="00FE3AF3" w:rsidRDefault="00425286" w:rsidP="00920968">
            <w:r w:rsidRPr="00FE3AF3">
              <w:rPr>
                <w:sz w:val="20"/>
              </w:rPr>
              <w:t>C</w:t>
            </w:r>
          </w:p>
          <w:p w14:paraId="607A52B1" w14:textId="77777777" w:rsidR="00425286" w:rsidRPr="00FE3AF3" w:rsidRDefault="00425286" w:rsidP="00920968">
            <w:r w:rsidRPr="00FE3AF3">
              <w:t>Effective-ness in Control-</w:t>
            </w:r>
          </w:p>
          <w:p w14:paraId="4FC33AFF" w14:textId="77777777" w:rsidR="00425286" w:rsidRPr="00FE3AF3" w:rsidRDefault="00425286" w:rsidP="00920968">
            <w:r w:rsidRPr="00FE3AF3">
              <w:t>ling and/or Reducing Costs</w:t>
            </w:r>
          </w:p>
        </w:tc>
        <w:tc>
          <w:tcPr>
            <w:tcW w:w="1440" w:type="dxa"/>
            <w:tcBorders>
              <w:top w:val="single" w:sz="6" w:space="0" w:color="auto"/>
              <w:left w:val="single" w:sz="6" w:space="0" w:color="auto"/>
              <w:bottom w:val="single" w:sz="6" w:space="0" w:color="auto"/>
              <w:right w:val="single" w:sz="6" w:space="0" w:color="auto"/>
            </w:tcBorders>
          </w:tcPr>
          <w:p w14:paraId="0FBB3BA8" w14:textId="77777777" w:rsidR="00425286" w:rsidRPr="00FE3AF3" w:rsidRDefault="00425286" w:rsidP="00920968">
            <w:r w:rsidRPr="00FE3AF3">
              <w:rPr>
                <w:sz w:val="20"/>
              </w:rPr>
              <w:t>(C-1)</w:t>
            </w:r>
          </w:p>
          <w:p w14:paraId="1CEC488B" w14:textId="77777777" w:rsidR="00425286" w:rsidRPr="00FE3AF3" w:rsidRDefault="00425286" w:rsidP="00920968">
            <w:r w:rsidRPr="00FE3AF3">
              <w:t>Utilization of Personnel</w:t>
            </w:r>
          </w:p>
        </w:tc>
        <w:tc>
          <w:tcPr>
            <w:tcW w:w="1656" w:type="dxa"/>
            <w:tcBorders>
              <w:top w:val="single" w:sz="6" w:space="0" w:color="auto"/>
              <w:left w:val="single" w:sz="6" w:space="0" w:color="auto"/>
              <w:bottom w:val="single" w:sz="6" w:space="0" w:color="auto"/>
              <w:right w:val="single" w:sz="6" w:space="0" w:color="auto"/>
            </w:tcBorders>
          </w:tcPr>
          <w:p w14:paraId="2FA7ABED" w14:textId="77777777" w:rsidR="00425286" w:rsidRPr="00FE3AF3" w:rsidRDefault="00425286" w:rsidP="00920968">
            <w:r w:rsidRPr="00FE3AF3">
              <w:rPr>
                <w:sz w:val="20"/>
              </w:rPr>
              <w:t>Planning of work left to designers on drafting boards.</w:t>
            </w:r>
          </w:p>
        </w:tc>
        <w:tc>
          <w:tcPr>
            <w:tcW w:w="1656" w:type="dxa"/>
            <w:tcBorders>
              <w:top w:val="single" w:sz="6" w:space="0" w:color="auto"/>
              <w:left w:val="single" w:sz="6" w:space="0" w:color="auto"/>
              <w:bottom w:val="single" w:sz="6" w:space="0" w:color="auto"/>
              <w:right w:val="single" w:sz="6" w:space="0" w:color="auto"/>
            </w:tcBorders>
          </w:tcPr>
          <w:p w14:paraId="4E7B7C1D" w14:textId="77777777" w:rsidR="00425286" w:rsidRPr="00FE3AF3" w:rsidRDefault="00425286" w:rsidP="00920968">
            <w:r w:rsidRPr="00FE3AF3">
              <w:rPr>
                <w:sz w:val="20"/>
              </w:rPr>
              <w:t>Supervision sets &amp; reviews goals for designers.</w:t>
            </w:r>
          </w:p>
        </w:tc>
        <w:tc>
          <w:tcPr>
            <w:tcW w:w="1656" w:type="dxa"/>
            <w:tcBorders>
              <w:top w:val="single" w:sz="6" w:space="0" w:color="auto"/>
              <w:left w:val="single" w:sz="6" w:space="0" w:color="auto"/>
              <w:bottom w:val="single" w:sz="6" w:space="0" w:color="auto"/>
              <w:right w:val="single" w:sz="6" w:space="0" w:color="auto"/>
            </w:tcBorders>
          </w:tcPr>
          <w:p w14:paraId="72553647" w14:textId="77777777" w:rsidR="00425286" w:rsidRPr="00FE3AF3" w:rsidRDefault="00425286" w:rsidP="00920968">
            <w:r w:rsidRPr="00FE3AF3">
              <w:rPr>
                <w:sz w:val="20"/>
              </w:rPr>
              <w:t>System planning by supervisory, personnel, studies checked by engineers.</w:t>
            </w:r>
          </w:p>
        </w:tc>
        <w:tc>
          <w:tcPr>
            <w:tcW w:w="1656" w:type="dxa"/>
            <w:tcBorders>
              <w:top w:val="single" w:sz="6" w:space="0" w:color="auto"/>
              <w:left w:val="single" w:sz="6" w:space="0" w:color="auto"/>
              <w:bottom w:val="single" w:sz="6" w:space="0" w:color="auto"/>
              <w:right w:val="single" w:sz="6" w:space="0" w:color="auto"/>
            </w:tcBorders>
          </w:tcPr>
          <w:p w14:paraId="4A104884" w14:textId="77777777" w:rsidR="00425286" w:rsidRPr="00FE3AF3" w:rsidRDefault="00425286" w:rsidP="00920968">
            <w:r w:rsidRPr="00FE3AF3">
              <w:rPr>
                <w:sz w:val="20"/>
              </w:rPr>
              <w:t>Design parameters established by system engineers &amp; held in design plans.</w:t>
            </w:r>
          </w:p>
        </w:tc>
        <w:tc>
          <w:tcPr>
            <w:tcW w:w="1656" w:type="dxa"/>
            <w:tcBorders>
              <w:top w:val="single" w:sz="6" w:space="0" w:color="auto"/>
              <w:left w:val="single" w:sz="6" w:space="0" w:color="auto"/>
              <w:bottom w:val="single" w:sz="6" w:space="0" w:color="auto"/>
              <w:right w:val="single" w:sz="6" w:space="0" w:color="auto"/>
            </w:tcBorders>
          </w:tcPr>
          <w:p w14:paraId="6DBABA34" w14:textId="77777777" w:rsidR="00425286" w:rsidRPr="00FE3AF3" w:rsidRDefault="00425286" w:rsidP="00920968">
            <w:r w:rsidRPr="00FE3AF3">
              <w:rPr>
                <w:sz w:val="20"/>
              </w:rPr>
              <w:t xml:space="preserve">Mods. to design plans limited to less than 5% as result lack </w:t>
            </w:r>
            <w:proofErr w:type="spellStart"/>
            <w:r w:rsidRPr="00FE3AF3">
              <w:rPr>
                <w:sz w:val="20"/>
              </w:rPr>
              <w:t>engrg</w:t>
            </w:r>
            <w:proofErr w:type="spellEnd"/>
            <w:r w:rsidRPr="00FE3AF3">
              <w:rPr>
                <w:sz w:val="20"/>
              </w:rPr>
              <w:t>. System correlation.</w:t>
            </w:r>
          </w:p>
        </w:tc>
      </w:tr>
      <w:tr w:rsidR="00425286" w:rsidRPr="00FE3AF3" w14:paraId="70581A5C" w14:textId="77777777">
        <w:tc>
          <w:tcPr>
            <w:tcW w:w="1098" w:type="dxa"/>
            <w:tcBorders>
              <w:left w:val="single" w:sz="6" w:space="0" w:color="auto"/>
              <w:right w:val="single" w:sz="6" w:space="0" w:color="auto"/>
            </w:tcBorders>
          </w:tcPr>
          <w:p w14:paraId="50B6D327" w14:textId="77777777" w:rsidR="00425286" w:rsidRPr="00FE3AF3" w:rsidRDefault="00425286" w:rsidP="0075376C">
            <w:pPr>
              <w:pStyle w:val="DFARS"/>
              <w:jc w:val="center"/>
              <w:rPr>
                <w:rFonts w:ascii="Arial" w:hAnsi="Arial"/>
                <w:sz w:val="20"/>
              </w:rPr>
            </w:pPr>
          </w:p>
        </w:tc>
        <w:tc>
          <w:tcPr>
            <w:tcW w:w="1440" w:type="dxa"/>
            <w:tcBorders>
              <w:top w:val="single" w:sz="6" w:space="0" w:color="auto"/>
              <w:left w:val="single" w:sz="6" w:space="0" w:color="auto"/>
              <w:bottom w:val="single" w:sz="6" w:space="0" w:color="auto"/>
              <w:right w:val="single" w:sz="6" w:space="0" w:color="auto"/>
            </w:tcBorders>
          </w:tcPr>
          <w:p w14:paraId="10CF5A22" w14:textId="77777777" w:rsidR="00425286" w:rsidRPr="00FE3AF3" w:rsidRDefault="00425286" w:rsidP="00920968">
            <w:r w:rsidRPr="00FE3AF3">
              <w:rPr>
                <w:sz w:val="20"/>
              </w:rPr>
              <w:t>(C-2)</w:t>
            </w:r>
          </w:p>
          <w:p w14:paraId="7DC19174" w14:textId="77777777" w:rsidR="00425286" w:rsidRPr="00FE3AF3" w:rsidRDefault="00425286" w:rsidP="00920968">
            <w:r w:rsidRPr="00FE3AF3">
              <w:t>Control Direct Charges (Except Labor)</w:t>
            </w:r>
          </w:p>
        </w:tc>
        <w:tc>
          <w:tcPr>
            <w:tcW w:w="1656" w:type="dxa"/>
            <w:tcBorders>
              <w:top w:val="single" w:sz="6" w:space="0" w:color="auto"/>
              <w:left w:val="single" w:sz="6" w:space="0" w:color="auto"/>
              <w:bottom w:val="single" w:sz="6" w:space="0" w:color="auto"/>
              <w:right w:val="single" w:sz="6" w:space="0" w:color="auto"/>
            </w:tcBorders>
          </w:tcPr>
          <w:p w14:paraId="05F61DCF" w14:textId="77777777" w:rsidR="00425286" w:rsidRPr="00FE3AF3" w:rsidRDefault="00425286" w:rsidP="00920968">
            <w:r w:rsidRPr="00FE3AF3">
              <w:rPr>
                <w:sz w:val="20"/>
              </w:rPr>
              <w:t>Expenditures not controlled for services.</w:t>
            </w:r>
          </w:p>
        </w:tc>
        <w:tc>
          <w:tcPr>
            <w:tcW w:w="1656" w:type="dxa"/>
            <w:tcBorders>
              <w:top w:val="single" w:sz="6" w:space="0" w:color="auto"/>
              <w:left w:val="single" w:sz="6" w:space="0" w:color="auto"/>
              <w:bottom w:val="single" w:sz="6" w:space="0" w:color="auto"/>
              <w:right w:val="single" w:sz="6" w:space="0" w:color="auto"/>
            </w:tcBorders>
          </w:tcPr>
          <w:p w14:paraId="4DE23BAE" w14:textId="77777777" w:rsidR="00425286" w:rsidRPr="00FE3AF3" w:rsidRDefault="00425286" w:rsidP="00920968">
            <w:r w:rsidRPr="00FE3AF3">
              <w:rPr>
                <w:sz w:val="20"/>
              </w:rPr>
              <w:t>Expenditures reviewed occasionally by supervision.</w:t>
            </w:r>
          </w:p>
        </w:tc>
        <w:tc>
          <w:tcPr>
            <w:tcW w:w="1656" w:type="dxa"/>
            <w:tcBorders>
              <w:top w:val="single" w:sz="6" w:space="0" w:color="auto"/>
              <w:left w:val="single" w:sz="6" w:space="0" w:color="auto"/>
              <w:bottom w:val="single" w:sz="6" w:space="0" w:color="auto"/>
              <w:right w:val="single" w:sz="6" w:space="0" w:color="auto"/>
            </w:tcBorders>
          </w:tcPr>
          <w:p w14:paraId="7B1865DD" w14:textId="77777777" w:rsidR="00425286" w:rsidRPr="00FE3AF3" w:rsidRDefault="00425286" w:rsidP="00920968">
            <w:r w:rsidRPr="00FE3AF3">
              <w:rPr>
                <w:sz w:val="20"/>
              </w:rPr>
              <w:t>Direct charges set &amp; accounted for on each work package.</w:t>
            </w:r>
          </w:p>
        </w:tc>
        <w:tc>
          <w:tcPr>
            <w:tcW w:w="1656" w:type="dxa"/>
            <w:tcBorders>
              <w:top w:val="single" w:sz="6" w:space="0" w:color="auto"/>
              <w:left w:val="single" w:sz="6" w:space="0" w:color="auto"/>
              <w:bottom w:val="single" w:sz="6" w:space="0" w:color="auto"/>
              <w:right w:val="single" w:sz="6" w:space="0" w:color="auto"/>
            </w:tcBorders>
          </w:tcPr>
          <w:p w14:paraId="7208BF73" w14:textId="77777777" w:rsidR="00425286" w:rsidRPr="00FE3AF3" w:rsidRDefault="00425286" w:rsidP="00920968">
            <w:r w:rsidRPr="00FE3AF3">
              <w:rPr>
                <w:sz w:val="20"/>
              </w:rPr>
              <w:t>Provides services as part of normal design function w/o extra charges.</w:t>
            </w:r>
          </w:p>
        </w:tc>
        <w:tc>
          <w:tcPr>
            <w:tcW w:w="1656" w:type="dxa"/>
            <w:tcBorders>
              <w:top w:val="single" w:sz="6" w:space="0" w:color="auto"/>
              <w:left w:val="single" w:sz="6" w:space="0" w:color="auto"/>
              <w:bottom w:val="single" w:sz="6" w:space="0" w:color="auto"/>
              <w:right w:val="single" w:sz="6" w:space="0" w:color="auto"/>
            </w:tcBorders>
          </w:tcPr>
          <w:p w14:paraId="54A59BD5" w14:textId="77777777" w:rsidR="00425286" w:rsidRPr="00FE3AF3" w:rsidRDefault="00425286" w:rsidP="00920968">
            <w:r w:rsidRPr="00FE3AF3">
              <w:rPr>
                <w:sz w:val="20"/>
              </w:rPr>
              <w:t>No cost overruns on original estimates absorbs service demands by Shipyard.</w:t>
            </w:r>
          </w:p>
        </w:tc>
      </w:tr>
      <w:tr w:rsidR="00425286" w:rsidRPr="00FE3AF3" w14:paraId="4D05B328" w14:textId="77777777">
        <w:tc>
          <w:tcPr>
            <w:tcW w:w="1098" w:type="dxa"/>
            <w:tcBorders>
              <w:left w:val="single" w:sz="6" w:space="0" w:color="auto"/>
              <w:bottom w:val="single" w:sz="6" w:space="0" w:color="auto"/>
              <w:right w:val="single" w:sz="6" w:space="0" w:color="auto"/>
            </w:tcBorders>
          </w:tcPr>
          <w:p w14:paraId="7EF82F68" w14:textId="77777777" w:rsidR="00425286" w:rsidRPr="00FE3AF3" w:rsidRDefault="00425286" w:rsidP="0075376C">
            <w:pPr>
              <w:pStyle w:val="DFARS"/>
              <w:jc w:val="center"/>
              <w:rPr>
                <w:rFonts w:ascii="Arial" w:hAnsi="Arial"/>
                <w:sz w:val="20"/>
              </w:rPr>
            </w:pPr>
          </w:p>
        </w:tc>
        <w:tc>
          <w:tcPr>
            <w:tcW w:w="1440" w:type="dxa"/>
            <w:tcBorders>
              <w:top w:val="single" w:sz="6" w:space="0" w:color="auto"/>
              <w:left w:val="single" w:sz="6" w:space="0" w:color="auto"/>
              <w:bottom w:val="single" w:sz="6" w:space="0" w:color="auto"/>
              <w:right w:val="single" w:sz="6" w:space="0" w:color="auto"/>
            </w:tcBorders>
          </w:tcPr>
          <w:p w14:paraId="123FAFE1" w14:textId="77777777" w:rsidR="00425286" w:rsidRPr="00FE3AF3" w:rsidRDefault="00425286" w:rsidP="00920968">
            <w:r w:rsidRPr="00FE3AF3">
              <w:rPr>
                <w:sz w:val="20"/>
              </w:rPr>
              <w:t>(C-3)</w:t>
            </w:r>
          </w:p>
          <w:p w14:paraId="304B1166" w14:textId="77777777" w:rsidR="00425286" w:rsidRPr="00FE3AF3" w:rsidRDefault="00425286" w:rsidP="00920968">
            <w:r w:rsidRPr="00FE3AF3">
              <w:t>Performance to Cost Estimate</w:t>
            </w:r>
          </w:p>
        </w:tc>
        <w:tc>
          <w:tcPr>
            <w:tcW w:w="1656" w:type="dxa"/>
            <w:tcBorders>
              <w:top w:val="single" w:sz="6" w:space="0" w:color="auto"/>
              <w:left w:val="single" w:sz="6" w:space="0" w:color="auto"/>
              <w:bottom w:val="single" w:sz="6" w:space="0" w:color="auto"/>
              <w:right w:val="single" w:sz="6" w:space="0" w:color="auto"/>
            </w:tcBorders>
          </w:tcPr>
          <w:p w14:paraId="4AE7348B" w14:textId="77777777" w:rsidR="00425286" w:rsidRPr="00FE3AF3" w:rsidRDefault="00425286" w:rsidP="00920968">
            <w:r w:rsidRPr="00FE3AF3">
              <w:rPr>
                <w:sz w:val="20"/>
              </w:rPr>
              <w:t>Does not meet cost estimate for original work or changes 30% time.</w:t>
            </w:r>
          </w:p>
        </w:tc>
        <w:tc>
          <w:tcPr>
            <w:tcW w:w="1656" w:type="dxa"/>
            <w:tcBorders>
              <w:top w:val="single" w:sz="6" w:space="0" w:color="auto"/>
              <w:left w:val="single" w:sz="6" w:space="0" w:color="auto"/>
              <w:bottom w:val="single" w:sz="6" w:space="0" w:color="auto"/>
              <w:right w:val="single" w:sz="6" w:space="0" w:color="auto"/>
            </w:tcBorders>
          </w:tcPr>
          <w:p w14:paraId="22D7A512" w14:textId="77777777" w:rsidR="00425286" w:rsidRPr="00FE3AF3" w:rsidRDefault="00425286" w:rsidP="00920968">
            <w:r w:rsidRPr="00FE3AF3">
              <w:rPr>
                <w:sz w:val="20"/>
              </w:rPr>
              <w:t>Does not meet cost estimate for original work or changes 20% time.</w:t>
            </w:r>
          </w:p>
        </w:tc>
        <w:tc>
          <w:tcPr>
            <w:tcW w:w="1656" w:type="dxa"/>
            <w:tcBorders>
              <w:top w:val="single" w:sz="6" w:space="0" w:color="auto"/>
              <w:left w:val="single" w:sz="6" w:space="0" w:color="auto"/>
              <w:bottom w:val="single" w:sz="6" w:space="0" w:color="auto"/>
              <w:right w:val="single" w:sz="6" w:space="0" w:color="auto"/>
            </w:tcBorders>
          </w:tcPr>
          <w:p w14:paraId="45E45E95" w14:textId="77777777" w:rsidR="00425286" w:rsidRPr="00FE3AF3" w:rsidRDefault="00425286" w:rsidP="00920968">
            <w:r w:rsidRPr="00FE3AF3">
              <w:rPr>
                <w:sz w:val="20"/>
              </w:rPr>
              <w:t>Exceeds original est. on change orders 10% time and meets original design costs.</w:t>
            </w:r>
          </w:p>
        </w:tc>
        <w:tc>
          <w:tcPr>
            <w:tcW w:w="1656" w:type="dxa"/>
            <w:tcBorders>
              <w:top w:val="single" w:sz="6" w:space="0" w:color="auto"/>
              <w:left w:val="single" w:sz="6" w:space="0" w:color="auto"/>
              <w:bottom w:val="single" w:sz="6" w:space="0" w:color="auto"/>
              <w:right w:val="single" w:sz="6" w:space="0" w:color="auto"/>
            </w:tcBorders>
          </w:tcPr>
          <w:p w14:paraId="650D5910" w14:textId="77777777" w:rsidR="00425286" w:rsidRPr="00FE3AF3" w:rsidRDefault="00425286" w:rsidP="00920968">
            <w:r w:rsidRPr="00FE3AF3">
              <w:rPr>
                <w:sz w:val="20"/>
              </w:rPr>
              <w:t>Exceeds original est. on changing orders 5% time.</w:t>
            </w:r>
          </w:p>
        </w:tc>
        <w:tc>
          <w:tcPr>
            <w:tcW w:w="1656" w:type="dxa"/>
            <w:tcBorders>
              <w:top w:val="single" w:sz="6" w:space="0" w:color="auto"/>
              <w:left w:val="single" w:sz="6" w:space="0" w:color="auto"/>
              <w:bottom w:val="single" w:sz="6" w:space="0" w:color="auto"/>
              <w:right w:val="single" w:sz="6" w:space="0" w:color="auto"/>
            </w:tcBorders>
          </w:tcPr>
          <w:p w14:paraId="4C1E99F9" w14:textId="77777777" w:rsidR="00425286" w:rsidRPr="00FE3AF3" w:rsidRDefault="00425286" w:rsidP="00920968">
            <w:r w:rsidRPr="00FE3AF3">
              <w:rPr>
                <w:sz w:val="20"/>
              </w:rPr>
              <w:t>Never exceeds estimates of original package or change orders.</w:t>
            </w:r>
          </w:p>
        </w:tc>
      </w:tr>
    </w:tbl>
    <w:p w14:paraId="6EB6ED3B" w14:textId="77777777" w:rsidR="00425286" w:rsidRPr="00FE3AF3" w:rsidRDefault="00425286" w:rsidP="00920968">
      <w:pPr>
        <w:rPr>
          <w:highlight w:val="yellow"/>
        </w:rPr>
        <w:sectPr w:rsidR="00425286" w:rsidRPr="00FE3AF3" w:rsidSect="00AF358C">
          <w:headerReference w:type="even" r:id="rId21"/>
          <w:headerReference w:type="default" r:id="rId22"/>
          <w:footerReference w:type="even" r:id="rId23"/>
          <w:footerReference w:type="default" r:id="rId24"/>
          <w:pgSz w:w="12240" w:h="15840"/>
          <w:pgMar w:top="1440" w:right="1440" w:bottom="1440" w:left="1440" w:header="720" w:footer="720" w:gutter="0"/>
          <w:cols w:space="720"/>
          <w:docGrid w:linePitch="360"/>
        </w:sectPr>
      </w:pPr>
    </w:p>
    <w:tbl>
      <w:tblPr>
        <w:tblW w:w="0" w:type="auto"/>
        <w:tblInd w:w="18" w:type="dxa"/>
        <w:tblLayout w:type="fixed"/>
        <w:tblLook w:val="0000" w:firstRow="0" w:lastRow="0" w:firstColumn="0" w:lastColumn="0" w:noHBand="0" w:noVBand="0"/>
      </w:tblPr>
      <w:tblGrid>
        <w:gridCol w:w="1366"/>
        <w:gridCol w:w="1424"/>
        <w:gridCol w:w="13"/>
        <w:gridCol w:w="1078"/>
        <w:gridCol w:w="263"/>
        <w:gridCol w:w="96"/>
        <w:gridCol w:w="947"/>
        <w:gridCol w:w="117"/>
        <w:gridCol w:w="276"/>
        <w:gridCol w:w="69"/>
        <w:gridCol w:w="21"/>
        <w:gridCol w:w="1308"/>
        <w:gridCol w:w="42"/>
        <w:gridCol w:w="214"/>
        <w:gridCol w:w="98"/>
        <w:gridCol w:w="48"/>
        <w:gridCol w:w="1015"/>
        <w:gridCol w:w="30"/>
        <w:gridCol w:w="145"/>
        <w:gridCol w:w="78"/>
        <w:gridCol w:w="82"/>
        <w:gridCol w:w="1352"/>
      </w:tblGrid>
      <w:tr w:rsidR="00425286" w:rsidRPr="00FE3AF3" w14:paraId="7A16974F" w14:textId="77777777">
        <w:tc>
          <w:tcPr>
            <w:tcW w:w="10080" w:type="dxa"/>
            <w:gridSpan w:val="22"/>
            <w:tcBorders>
              <w:top w:val="single" w:sz="6" w:space="0" w:color="auto"/>
              <w:left w:val="single" w:sz="6" w:space="0" w:color="auto"/>
              <w:right w:val="single" w:sz="6" w:space="0" w:color="auto"/>
            </w:tcBorders>
          </w:tcPr>
          <w:p w14:paraId="7AB7D941" w14:textId="77777777" w:rsidR="00425286" w:rsidRPr="00FE3AF3" w:rsidRDefault="00425286" w:rsidP="00920968">
            <w:r w:rsidRPr="00FE3AF3">
              <w:rPr>
                <w:b/>
                <w:sz w:val="20"/>
                <w:u w:val="single"/>
              </w:rPr>
              <w:lastRenderedPageBreak/>
              <w:t>TABLE 16-2, CONTRACTOR PERFORMANCE EVALAUTION REPORT</w:t>
            </w:r>
          </w:p>
        </w:tc>
      </w:tr>
      <w:tr w:rsidR="00425286" w:rsidRPr="00FE3AF3" w14:paraId="5DC0779C" w14:textId="77777777">
        <w:tc>
          <w:tcPr>
            <w:tcW w:w="5187" w:type="dxa"/>
            <w:gridSpan w:val="7"/>
            <w:tcBorders>
              <w:left w:val="single" w:sz="6" w:space="0" w:color="auto"/>
            </w:tcBorders>
          </w:tcPr>
          <w:p w14:paraId="4FB7A5EA" w14:textId="77777777" w:rsidR="00425286" w:rsidRPr="00FE3AF3" w:rsidRDefault="00425286" w:rsidP="00920968">
            <w:r w:rsidRPr="00FE3AF3">
              <w:rPr>
                <w:sz w:val="20"/>
              </w:rPr>
              <w:tab/>
              <w:t>Ratings</w:t>
            </w:r>
          </w:p>
        </w:tc>
        <w:tc>
          <w:tcPr>
            <w:tcW w:w="4893" w:type="dxa"/>
            <w:gridSpan w:val="15"/>
            <w:tcBorders>
              <w:right w:val="single" w:sz="6" w:space="0" w:color="auto"/>
            </w:tcBorders>
          </w:tcPr>
          <w:p w14:paraId="5364D15B" w14:textId="77777777" w:rsidR="00425286" w:rsidRPr="00FE3AF3" w:rsidRDefault="00425286" w:rsidP="00920968">
            <w:r w:rsidRPr="00FE3AF3">
              <w:rPr>
                <w:sz w:val="20"/>
              </w:rPr>
              <w:t>Period of ________________________________</w:t>
            </w:r>
            <w:r>
              <w:rPr>
                <w:sz w:val="20"/>
              </w:rPr>
              <w:t>___</w:t>
            </w:r>
            <w:r w:rsidRPr="00FE3AF3">
              <w:rPr>
                <w:sz w:val="20"/>
              </w:rPr>
              <w:t>_</w:t>
            </w:r>
          </w:p>
        </w:tc>
      </w:tr>
      <w:tr w:rsidR="00425286" w:rsidRPr="00FE3AF3" w14:paraId="69CA5232" w14:textId="77777777">
        <w:tc>
          <w:tcPr>
            <w:tcW w:w="5187" w:type="dxa"/>
            <w:gridSpan w:val="7"/>
            <w:tcBorders>
              <w:left w:val="single" w:sz="6" w:space="0" w:color="auto"/>
            </w:tcBorders>
          </w:tcPr>
          <w:p w14:paraId="3BB9768F" w14:textId="77777777" w:rsidR="00425286" w:rsidRPr="00FE3AF3" w:rsidRDefault="00425286" w:rsidP="00920968">
            <w:r w:rsidRPr="00FE3AF3">
              <w:rPr>
                <w:sz w:val="20"/>
              </w:rPr>
              <w:t>Excellent</w:t>
            </w:r>
          </w:p>
        </w:tc>
        <w:tc>
          <w:tcPr>
            <w:tcW w:w="4893" w:type="dxa"/>
            <w:gridSpan w:val="15"/>
            <w:tcBorders>
              <w:right w:val="single" w:sz="6" w:space="0" w:color="auto"/>
            </w:tcBorders>
          </w:tcPr>
          <w:p w14:paraId="55063273" w14:textId="77777777" w:rsidR="00425286" w:rsidRPr="00FE3AF3" w:rsidRDefault="00425286" w:rsidP="00920968">
            <w:r w:rsidRPr="00FE3AF3">
              <w:rPr>
                <w:sz w:val="20"/>
              </w:rPr>
              <w:t>Contract Number ______________________________</w:t>
            </w:r>
          </w:p>
        </w:tc>
      </w:tr>
      <w:tr w:rsidR="00425286" w:rsidRPr="00FE3AF3" w14:paraId="71FB9BF8" w14:textId="77777777">
        <w:tc>
          <w:tcPr>
            <w:tcW w:w="5187" w:type="dxa"/>
            <w:gridSpan w:val="7"/>
            <w:tcBorders>
              <w:left w:val="single" w:sz="6" w:space="0" w:color="auto"/>
            </w:tcBorders>
          </w:tcPr>
          <w:p w14:paraId="11C04200" w14:textId="77777777" w:rsidR="00425286" w:rsidRPr="00FE3AF3" w:rsidRDefault="00425286" w:rsidP="00920968">
            <w:r w:rsidRPr="00FE3AF3">
              <w:rPr>
                <w:sz w:val="20"/>
              </w:rPr>
              <w:t>Very Good</w:t>
            </w:r>
          </w:p>
        </w:tc>
        <w:tc>
          <w:tcPr>
            <w:tcW w:w="4893" w:type="dxa"/>
            <w:gridSpan w:val="15"/>
            <w:tcBorders>
              <w:right w:val="single" w:sz="6" w:space="0" w:color="auto"/>
            </w:tcBorders>
          </w:tcPr>
          <w:p w14:paraId="17B0BAD1" w14:textId="77777777" w:rsidR="00425286" w:rsidRPr="00FE3AF3" w:rsidRDefault="00425286" w:rsidP="00920968">
            <w:r w:rsidRPr="00FE3AF3">
              <w:rPr>
                <w:sz w:val="20"/>
              </w:rPr>
              <w:t>Contractor ____________________________________</w:t>
            </w:r>
          </w:p>
        </w:tc>
      </w:tr>
      <w:tr w:rsidR="00425286" w:rsidRPr="00FE3AF3" w14:paraId="0576A4DB" w14:textId="77777777">
        <w:tc>
          <w:tcPr>
            <w:tcW w:w="5187" w:type="dxa"/>
            <w:gridSpan w:val="7"/>
            <w:tcBorders>
              <w:left w:val="single" w:sz="6" w:space="0" w:color="auto"/>
            </w:tcBorders>
          </w:tcPr>
          <w:p w14:paraId="5C9B7433" w14:textId="77777777" w:rsidR="00425286" w:rsidRPr="00FE3AF3" w:rsidRDefault="00425286" w:rsidP="00920968">
            <w:r w:rsidRPr="00FE3AF3">
              <w:rPr>
                <w:sz w:val="20"/>
              </w:rPr>
              <w:t>Marginal</w:t>
            </w:r>
          </w:p>
        </w:tc>
        <w:tc>
          <w:tcPr>
            <w:tcW w:w="4893" w:type="dxa"/>
            <w:gridSpan w:val="15"/>
            <w:tcBorders>
              <w:right w:val="single" w:sz="6" w:space="0" w:color="auto"/>
            </w:tcBorders>
          </w:tcPr>
          <w:p w14:paraId="52C5B326" w14:textId="77777777" w:rsidR="00425286" w:rsidRPr="00FE3AF3" w:rsidRDefault="00425286" w:rsidP="00920968">
            <w:r w:rsidRPr="00FE3AF3">
              <w:rPr>
                <w:sz w:val="20"/>
              </w:rPr>
              <w:t>Date of Report _________________________________</w:t>
            </w:r>
          </w:p>
        </w:tc>
      </w:tr>
      <w:tr w:rsidR="00425286" w:rsidRPr="00FE3AF3" w14:paraId="4F7E2218" w14:textId="77777777">
        <w:tc>
          <w:tcPr>
            <w:tcW w:w="5187" w:type="dxa"/>
            <w:gridSpan w:val="7"/>
            <w:tcBorders>
              <w:left w:val="single" w:sz="6" w:space="0" w:color="auto"/>
            </w:tcBorders>
          </w:tcPr>
          <w:p w14:paraId="339F1630" w14:textId="77777777" w:rsidR="00425286" w:rsidRPr="00FE3AF3" w:rsidRDefault="00425286" w:rsidP="00920968">
            <w:proofErr w:type="spellStart"/>
            <w:r w:rsidRPr="00FE3AF3">
              <w:rPr>
                <w:sz w:val="20"/>
              </w:rPr>
              <w:t>Submarginal</w:t>
            </w:r>
            <w:proofErr w:type="spellEnd"/>
          </w:p>
        </w:tc>
        <w:tc>
          <w:tcPr>
            <w:tcW w:w="4893" w:type="dxa"/>
            <w:gridSpan w:val="15"/>
            <w:tcBorders>
              <w:right w:val="single" w:sz="6" w:space="0" w:color="auto"/>
            </w:tcBorders>
          </w:tcPr>
          <w:p w14:paraId="792304DA" w14:textId="77777777" w:rsidR="00425286" w:rsidRPr="00FE3AF3" w:rsidRDefault="00425286" w:rsidP="00920968">
            <w:r w:rsidRPr="00FE3AF3">
              <w:rPr>
                <w:sz w:val="20"/>
              </w:rPr>
              <w:t>PNS Technical Monitor/s________________________</w:t>
            </w:r>
          </w:p>
        </w:tc>
      </w:tr>
      <w:tr w:rsidR="00425286" w:rsidRPr="00FE3AF3" w14:paraId="7A3F39C8" w14:textId="77777777">
        <w:tc>
          <w:tcPr>
            <w:tcW w:w="5187" w:type="dxa"/>
            <w:gridSpan w:val="7"/>
            <w:tcBorders>
              <w:left w:val="single" w:sz="6" w:space="0" w:color="auto"/>
            </w:tcBorders>
          </w:tcPr>
          <w:p w14:paraId="34EED926" w14:textId="77777777" w:rsidR="00425286" w:rsidRPr="00FE3AF3" w:rsidRDefault="00425286" w:rsidP="0075376C">
            <w:pPr>
              <w:pStyle w:val="DFARS"/>
              <w:spacing w:after="60"/>
              <w:rPr>
                <w:rFonts w:ascii="Arial" w:hAnsi="Arial"/>
                <w:sz w:val="20"/>
              </w:rPr>
            </w:pPr>
          </w:p>
        </w:tc>
        <w:tc>
          <w:tcPr>
            <w:tcW w:w="4893" w:type="dxa"/>
            <w:gridSpan w:val="15"/>
            <w:tcBorders>
              <w:right w:val="single" w:sz="6" w:space="0" w:color="auto"/>
            </w:tcBorders>
          </w:tcPr>
          <w:p w14:paraId="4A0D45E5" w14:textId="77777777" w:rsidR="00425286" w:rsidRPr="00FE3AF3" w:rsidRDefault="00425286" w:rsidP="00920968">
            <w:r w:rsidRPr="00FE3AF3">
              <w:rPr>
                <w:sz w:val="20"/>
              </w:rPr>
              <w:t>____________________________________________</w:t>
            </w:r>
          </w:p>
        </w:tc>
      </w:tr>
      <w:tr w:rsidR="00425286" w:rsidRPr="00FE3AF3" w14:paraId="265B5786" w14:textId="77777777">
        <w:tc>
          <w:tcPr>
            <w:tcW w:w="1366" w:type="dxa"/>
            <w:tcBorders>
              <w:top w:val="single" w:sz="6" w:space="0" w:color="auto"/>
              <w:left w:val="single" w:sz="6" w:space="0" w:color="auto"/>
              <w:bottom w:val="single" w:sz="6" w:space="0" w:color="auto"/>
            </w:tcBorders>
          </w:tcPr>
          <w:p w14:paraId="66989475" w14:textId="77777777" w:rsidR="00425286" w:rsidRPr="00FE3AF3" w:rsidRDefault="00425286" w:rsidP="00920968">
            <w:r w:rsidRPr="00FE3AF3">
              <w:rPr>
                <w:sz w:val="20"/>
              </w:rPr>
              <w:t>CATEGORY</w:t>
            </w:r>
          </w:p>
        </w:tc>
        <w:tc>
          <w:tcPr>
            <w:tcW w:w="1424" w:type="dxa"/>
            <w:tcBorders>
              <w:top w:val="single" w:sz="6" w:space="0" w:color="auto"/>
              <w:bottom w:val="single" w:sz="6" w:space="0" w:color="auto"/>
            </w:tcBorders>
          </w:tcPr>
          <w:p w14:paraId="06842E70" w14:textId="77777777" w:rsidR="00425286" w:rsidRPr="00FE3AF3" w:rsidRDefault="00425286" w:rsidP="00920968">
            <w:r w:rsidRPr="00FE3AF3">
              <w:rPr>
                <w:sz w:val="20"/>
              </w:rPr>
              <w:t>CRITERIA</w:t>
            </w:r>
          </w:p>
        </w:tc>
        <w:tc>
          <w:tcPr>
            <w:tcW w:w="1354" w:type="dxa"/>
            <w:gridSpan w:val="3"/>
            <w:tcBorders>
              <w:top w:val="single" w:sz="6" w:space="0" w:color="auto"/>
              <w:bottom w:val="single" w:sz="6" w:space="0" w:color="auto"/>
            </w:tcBorders>
          </w:tcPr>
          <w:p w14:paraId="17F641AD" w14:textId="77777777" w:rsidR="00425286" w:rsidRPr="00FE3AF3" w:rsidRDefault="00425286" w:rsidP="00920968">
            <w:r w:rsidRPr="00FE3AF3">
              <w:rPr>
                <w:sz w:val="20"/>
              </w:rPr>
              <w:t>RATING</w:t>
            </w:r>
          </w:p>
        </w:tc>
        <w:tc>
          <w:tcPr>
            <w:tcW w:w="1436" w:type="dxa"/>
            <w:gridSpan w:val="4"/>
            <w:tcBorders>
              <w:top w:val="single" w:sz="6" w:space="0" w:color="auto"/>
              <w:bottom w:val="single" w:sz="6" w:space="0" w:color="auto"/>
            </w:tcBorders>
          </w:tcPr>
          <w:p w14:paraId="5D424C28" w14:textId="77777777" w:rsidR="00425286" w:rsidRPr="00FE3AF3" w:rsidRDefault="00425286" w:rsidP="00920968">
            <w:r w:rsidRPr="00FE3AF3">
              <w:rPr>
                <w:sz w:val="20"/>
              </w:rPr>
              <w:t>ITEM FACTOR</w:t>
            </w:r>
          </w:p>
        </w:tc>
        <w:tc>
          <w:tcPr>
            <w:tcW w:w="1654" w:type="dxa"/>
            <w:gridSpan w:val="5"/>
            <w:tcBorders>
              <w:top w:val="single" w:sz="6" w:space="0" w:color="auto"/>
              <w:bottom w:val="single" w:sz="6" w:space="0" w:color="auto"/>
            </w:tcBorders>
          </w:tcPr>
          <w:p w14:paraId="53709138" w14:textId="77777777" w:rsidR="00425286" w:rsidRPr="00FE3AF3" w:rsidRDefault="00425286" w:rsidP="00920968">
            <w:r w:rsidRPr="00FE3AF3">
              <w:rPr>
                <w:sz w:val="20"/>
              </w:rPr>
              <w:t>EVALUATION RATING</w:t>
            </w:r>
          </w:p>
        </w:tc>
        <w:tc>
          <w:tcPr>
            <w:tcW w:w="1336" w:type="dxa"/>
            <w:gridSpan w:val="5"/>
            <w:tcBorders>
              <w:top w:val="single" w:sz="6" w:space="0" w:color="auto"/>
              <w:bottom w:val="single" w:sz="6" w:space="0" w:color="auto"/>
            </w:tcBorders>
          </w:tcPr>
          <w:p w14:paraId="207FE065" w14:textId="77777777" w:rsidR="00425286" w:rsidRPr="00FE3AF3" w:rsidRDefault="00425286" w:rsidP="00920968">
            <w:r w:rsidRPr="00FE3AF3">
              <w:rPr>
                <w:sz w:val="20"/>
              </w:rPr>
              <w:t>CATEGORY FACTOR</w:t>
            </w:r>
          </w:p>
        </w:tc>
        <w:tc>
          <w:tcPr>
            <w:tcW w:w="1512" w:type="dxa"/>
            <w:gridSpan w:val="3"/>
            <w:tcBorders>
              <w:top w:val="single" w:sz="6" w:space="0" w:color="auto"/>
              <w:bottom w:val="single" w:sz="6" w:space="0" w:color="auto"/>
              <w:right w:val="single" w:sz="6" w:space="0" w:color="auto"/>
            </w:tcBorders>
          </w:tcPr>
          <w:p w14:paraId="64D04E5E" w14:textId="77777777" w:rsidR="00425286" w:rsidRPr="00FE3AF3" w:rsidRDefault="00425286" w:rsidP="00920968">
            <w:r w:rsidRPr="00FE3AF3">
              <w:rPr>
                <w:sz w:val="20"/>
              </w:rPr>
              <w:t>EFFICIENCY RATING</w:t>
            </w:r>
          </w:p>
        </w:tc>
      </w:tr>
      <w:tr w:rsidR="00425286" w:rsidRPr="00FE3AF3" w14:paraId="0AC4E155" w14:textId="77777777">
        <w:tc>
          <w:tcPr>
            <w:tcW w:w="1366" w:type="dxa"/>
            <w:tcBorders>
              <w:left w:val="single" w:sz="6" w:space="0" w:color="auto"/>
            </w:tcBorders>
          </w:tcPr>
          <w:p w14:paraId="19396E53" w14:textId="77777777" w:rsidR="00425286" w:rsidRPr="00FE3AF3" w:rsidRDefault="00425286" w:rsidP="00920968">
            <w:r w:rsidRPr="00FE3AF3">
              <w:rPr>
                <w:sz w:val="20"/>
              </w:rPr>
              <w:t>A</w:t>
            </w:r>
          </w:p>
        </w:tc>
        <w:tc>
          <w:tcPr>
            <w:tcW w:w="1437" w:type="dxa"/>
            <w:gridSpan w:val="2"/>
          </w:tcPr>
          <w:p w14:paraId="4B4A13EF" w14:textId="77777777" w:rsidR="00425286" w:rsidRPr="00FE3AF3" w:rsidRDefault="00425286" w:rsidP="00920968">
            <w:r w:rsidRPr="00FE3AF3">
              <w:rPr>
                <w:sz w:val="20"/>
              </w:rPr>
              <w:t>TIME OF DELIVERY</w:t>
            </w:r>
          </w:p>
        </w:tc>
        <w:tc>
          <w:tcPr>
            <w:tcW w:w="1078" w:type="dxa"/>
          </w:tcPr>
          <w:p w14:paraId="73EB90FC" w14:textId="77777777" w:rsidR="00425286" w:rsidRPr="00FE3AF3" w:rsidRDefault="00425286" w:rsidP="0075376C">
            <w:pPr>
              <w:pStyle w:val="DFARS"/>
              <w:spacing w:before="60"/>
              <w:rPr>
                <w:rFonts w:ascii="Arial" w:hAnsi="Arial"/>
                <w:sz w:val="20"/>
              </w:rPr>
            </w:pPr>
          </w:p>
        </w:tc>
        <w:tc>
          <w:tcPr>
            <w:tcW w:w="359" w:type="dxa"/>
            <w:gridSpan w:val="2"/>
          </w:tcPr>
          <w:p w14:paraId="2F261998" w14:textId="77777777" w:rsidR="00425286" w:rsidRPr="00FE3AF3" w:rsidRDefault="00425286" w:rsidP="0075376C">
            <w:pPr>
              <w:pStyle w:val="DFARS"/>
              <w:spacing w:before="60"/>
              <w:rPr>
                <w:rFonts w:ascii="Arial" w:hAnsi="Arial"/>
                <w:sz w:val="20"/>
              </w:rPr>
            </w:pPr>
          </w:p>
        </w:tc>
        <w:tc>
          <w:tcPr>
            <w:tcW w:w="1064" w:type="dxa"/>
            <w:gridSpan w:val="2"/>
          </w:tcPr>
          <w:p w14:paraId="63B0B468" w14:textId="77777777" w:rsidR="00425286" w:rsidRPr="00FE3AF3" w:rsidRDefault="00425286" w:rsidP="0075376C">
            <w:pPr>
              <w:pStyle w:val="DFARS"/>
              <w:spacing w:before="60"/>
              <w:rPr>
                <w:rFonts w:ascii="Arial" w:hAnsi="Arial"/>
                <w:sz w:val="20"/>
              </w:rPr>
            </w:pPr>
          </w:p>
        </w:tc>
        <w:tc>
          <w:tcPr>
            <w:tcW w:w="345" w:type="dxa"/>
            <w:gridSpan w:val="2"/>
          </w:tcPr>
          <w:p w14:paraId="0D05F1F8" w14:textId="77777777" w:rsidR="00425286" w:rsidRPr="00FE3AF3" w:rsidRDefault="00425286" w:rsidP="0075376C">
            <w:pPr>
              <w:pStyle w:val="DFARS"/>
              <w:spacing w:before="60"/>
              <w:rPr>
                <w:rFonts w:ascii="Arial" w:hAnsi="Arial"/>
                <w:sz w:val="20"/>
              </w:rPr>
            </w:pPr>
          </w:p>
        </w:tc>
        <w:tc>
          <w:tcPr>
            <w:tcW w:w="1329" w:type="dxa"/>
            <w:gridSpan w:val="2"/>
          </w:tcPr>
          <w:p w14:paraId="3820780F" w14:textId="77777777" w:rsidR="00425286" w:rsidRPr="00FE3AF3" w:rsidRDefault="00425286" w:rsidP="0075376C">
            <w:pPr>
              <w:pStyle w:val="DFARS"/>
              <w:spacing w:before="60"/>
              <w:rPr>
                <w:rFonts w:ascii="Arial" w:hAnsi="Arial"/>
                <w:sz w:val="20"/>
              </w:rPr>
            </w:pPr>
          </w:p>
        </w:tc>
        <w:tc>
          <w:tcPr>
            <w:tcW w:w="354" w:type="dxa"/>
            <w:gridSpan w:val="3"/>
          </w:tcPr>
          <w:p w14:paraId="50AA9D6E" w14:textId="77777777" w:rsidR="00425286" w:rsidRPr="00FE3AF3" w:rsidRDefault="00425286" w:rsidP="0075376C">
            <w:pPr>
              <w:pStyle w:val="DFARS"/>
              <w:spacing w:before="60"/>
              <w:rPr>
                <w:rFonts w:ascii="Arial" w:hAnsi="Arial"/>
                <w:sz w:val="20"/>
              </w:rPr>
            </w:pPr>
          </w:p>
        </w:tc>
        <w:tc>
          <w:tcPr>
            <w:tcW w:w="1063" w:type="dxa"/>
            <w:gridSpan w:val="2"/>
          </w:tcPr>
          <w:p w14:paraId="3C6677D4" w14:textId="77777777" w:rsidR="00425286" w:rsidRPr="00FE3AF3" w:rsidRDefault="00425286" w:rsidP="0075376C">
            <w:pPr>
              <w:pStyle w:val="DFARS"/>
              <w:spacing w:before="60"/>
              <w:rPr>
                <w:rFonts w:ascii="Arial" w:hAnsi="Arial"/>
                <w:strike/>
                <w:sz w:val="20"/>
                <w:highlight w:val="yellow"/>
              </w:rPr>
            </w:pPr>
          </w:p>
        </w:tc>
        <w:tc>
          <w:tcPr>
            <w:tcW w:w="253" w:type="dxa"/>
            <w:gridSpan w:val="3"/>
          </w:tcPr>
          <w:p w14:paraId="420FC4F3" w14:textId="77777777" w:rsidR="00425286" w:rsidRPr="00FE3AF3" w:rsidRDefault="00425286" w:rsidP="0075376C">
            <w:pPr>
              <w:pStyle w:val="DFARS"/>
              <w:spacing w:before="60"/>
              <w:rPr>
                <w:rFonts w:ascii="Arial" w:hAnsi="Arial"/>
                <w:b w:val="0"/>
                <w:strike/>
                <w:sz w:val="20"/>
                <w:highlight w:val="yellow"/>
              </w:rPr>
            </w:pPr>
          </w:p>
        </w:tc>
        <w:tc>
          <w:tcPr>
            <w:tcW w:w="1430" w:type="dxa"/>
            <w:gridSpan w:val="2"/>
            <w:tcBorders>
              <w:right w:val="single" w:sz="6" w:space="0" w:color="auto"/>
            </w:tcBorders>
          </w:tcPr>
          <w:p w14:paraId="72037C4F" w14:textId="77777777" w:rsidR="00425286" w:rsidRPr="00FE3AF3" w:rsidRDefault="00425286" w:rsidP="00920968"/>
        </w:tc>
      </w:tr>
      <w:tr w:rsidR="00425286" w:rsidRPr="00FE3AF3" w14:paraId="2AFC1F8D" w14:textId="77777777">
        <w:tc>
          <w:tcPr>
            <w:tcW w:w="1366" w:type="dxa"/>
            <w:tcBorders>
              <w:left w:val="single" w:sz="6" w:space="0" w:color="auto"/>
            </w:tcBorders>
          </w:tcPr>
          <w:p w14:paraId="3E052C75" w14:textId="77777777" w:rsidR="00425286" w:rsidRPr="00FE3AF3" w:rsidRDefault="00425286" w:rsidP="0075376C">
            <w:pPr>
              <w:pStyle w:val="DFARS"/>
              <w:rPr>
                <w:rFonts w:ascii="Arial" w:hAnsi="Arial"/>
                <w:sz w:val="20"/>
              </w:rPr>
            </w:pPr>
          </w:p>
        </w:tc>
        <w:tc>
          <w:tcPr>
            <w:tcW w:w="1437" w:type="dxa"/>
            <w:gridSpan w:val="2"/>
          </w:tcPr>
          <w:p w14:paraId="67874F48" w14:textId="77777777" w:rsidR="00425286" w:rsidRPr="00FE3AF3" w:rsidRDefault="00425286" w:rsidP="00920968">
            <w:r w:rsidRPr="00FE3AF3">
              <w:rPr>
                <w:sz w:val="20"/>
              </w:rPr>
              <w:t xml:space="preserve">A-1 </w:t>
            </w:r>
            <w:proofErr w:type="spellStart"/>
            <w:r w:rsidRPr="00FE3AF3">
              <w:rPr>
                <w:sz w:val="20"/>
              </w:rPr>
              <w:t>Adher-ence</w:t>
            </w:r>
            <w:proofErr w:type="spellEnd"/>
            <w:r w:rsidRPr="00FE3AF3">
              <w:rPr>
                <w:sz w:val="20"/>
              </w:rPr>
              <w:t xml:space="preserve"> to Plan Schedule</w:t>
            </w:r>
          </w:p>
        </w:tc>
        <w:tc>
          <w:tcPr>
            <w:tcW w:w="1078" w:type="dxa"/>
          </w:tcPr>
          <w:p w14:paraId="4CF961A2" w14:textId="77777777" w:rsidR="00425286" w:rsidRDefault="00425286" w:rsidP="00920968"/>
          <w:p w14:paraId="162373F2" w14:textId="77777777" w:rsidR="00425286" w:rsidRPr="00FE3AF3" w:rsidRDefault="00425286" w:rsidP="00920968">
            <w:r>
              <w:br/>
            </w:r>
            <w:r w:rsidRPr="00FE3AF3">
              <w:t>________</w:t>
            </w:r>
          </w:p>
        </w:tc>
        <w:tc>
          <w:tcPr>
            <w:tcW w:w="359" w:type="dxa"/>
            <w:gridSpan w:val="2"/>
          </w:tcPr>
          <w:p w14:paraId="6923DA90" w14:textId="77777777" w:rsidR="00425286" w:rsidRDefault="00425286" w:rsidP="00920968"/>
          <w:p w14:paraId="1F84A360" w14:textId="77777777" w:rsidR="00425286" w:rsidRPr="00FE3AF3" w:rsidRDefault="00425286" w:rsidP="00920968">
            <w:r>
              <w:br/>
            </w:r>
            <w:r w:rsidRPr="00FE3AF3">
              <w:t>x</w:t>
            </w:r>
          </w:p>
        </w:tc>
        <w:tc>
          <w:tcPr>
            <w:tcW w:w="1064" w:type="dxa"/>
            <w:gridSpan w:val="2"/>
          </w:tcPr>
          <w:p w14:paraId="3E7C6447" w14:textId="77777777" w:rsidR="00425286" w:rsidRDefault="00425286" w:rsidP="00920968"/>
          <w:p w14:paraId="451FDFCB" w14:textId="77777777" w:rsidR="00425286" w:rsidRPr="00FE3AF3" w:rsidRDefault="00425286" w:rsidP="00920968">
            <w:r>
              <w:br/>
            </w:r>
            <w:r w:rsidRPr="00FE3AF3">
              <w:t>.40</w:t>
            </w:r>
          </w:p>
        </w:tc>
        <w:tc>
          <w:tcPr>
            <w:tcW w:w="345" w:type="dxa"/>
            <w:gridSpan w:val="2"/>
          </w:tcPr>
          <w:p w14:paraId="72D94D14" w14:textId="77777777" w:rsidR="00425286" w:rsidRDefault="00425286" w:rsidP="00920968"/>
          <w:p w14:paraId="156EEC68" w14:textId="77777777" w:rsidR="00425286" w:rsidRPr="00FE3AF3" w:rsidRDefault="00425286" w:rsidP="00920968">
            <w:r>
              <w:br/>
            </w:r>
            <w:r w:rsidRPr="00FE3AF3">
              <w:t>=</w:t>
            </w:r>
          </w:p>
        </w:tc>
        <w:tc>
          <w:tcPr>
            <w:tcW w:w="1329" w:type="dxa"/>
            <w:gridSpan w:val="2"/>
          </w:tcPr>
          <w:p w14:paraId="5B701A3C" w14:textId="77777777" w:rsidR="00425286" w:rsidRDefault="00425286" w:rsidP="00920968"/>
          <w:p w14:paraId="76AB626F" w14:textId="77777777" w:rsidR="00425286" w:rsidRPr="00FE3AF3" w:rsidRDefault="00425286" w:rsidP="00920968">
            <w:r>
              <w:br/>
            </w:r>
            <w:r w:rsidRPr="00FE3AF3">
              <w:t>__________</w:t>
            </w:r>
          </w:p>
        </w:tc>
        <w:tc>
          <w:tcPr>
            <w:tcW w:w="354" w:type="dxa"/>
            <w:gridSpan w:val="3"/>
          </w:tcPr>
          <w:p w14:paraId="27EC3915" w14:textId="77777777" w:rsidR="00425286" w:rsidRDefault="00425286" w:rsidP="00920968"/>
          <w:p w14:paraId="2C569EBE" w14:textId="77777777" w:rsidR="00425286" w:rsidRPr="00FE3AF3" w:rsidRDefault="00425286" w:rsidP="00920968">
            <w:r>
              <w:br/>
            </w:r>
          </w:p>
        </w:tc>
        <w:tc>
          <w:tcPr>
            <w:tcW w:w="1063" w:type="dxa"/>
            <w:gridSpan w:val="2"/>
          </w:tcPr>
          <w:p w14:paraId="121496C6" w14:textId="77777777" w:rsidR="00425286" w:rsidRDefault="00425286" w:rsidP="00920968">
            <w:pPr>
              <w:rPr>
                <w:highlight w:val="yellow"/>
              </w:rPr>
            </w:pPr>
          </w:p>
          <w:p w14:paraId="3AE8E2CD" w14:textId="77777777" w:rsidR="00425286" w:rsidRPr="00FE3AF3" w:rsidRDefault="00425286" w:rsidP="00920968">
            <w:pPr>
              <w:rPr>
                <w:highlight w:val="yellow"/>
              </w:rPr>
            </w:pPr>
            <w:r>
              <w:rPr>
                <w:highlight w:val="yellow"/>
              </w:rPr>
              <w:br/>
            </w:r>
          </w:p>
        </w:tc>
        <w:tc>
          <w:tcPr>
            <w:tcW w:w="253" w:type="dxa"/>
            <w:gridSpan w:val="3"/>
          </w:tcPr>
          <w:p w14:paraId="1351A725" w14:textId="77777777" w:rsidR="00425286" w:rsidRDefault="00425286" w:rsidP="00920968">
            <w:pPr>
              <w:rPr>
                <w:highlight w:val="yellow"/>
              </w:rPr>
            </w:pPr>
          </w:p>
          <w:p w14:paraId="3E85F3A9" w14:textId="77777777" w:rsidR="00425286" w:rsidRPr="00FE3AF3" w:rsidRDefault="00425286" w:rsidP="00920968">
            <w:pPr>
              <w:rPr>
                <w:highlight w:val="yellow"/>
              </w:rPr>
            </w:pPr>
            <w:r>
              <w:rPr>
                <w:highlight w:val="yellow"/>
              </w:rPr>
              <w:br/>
            </w:r>
          </w:p>
        </w:tc>
        <w:tc>
          <w:tcPr>
            <w:tcW w:w="1430" w:type="dxa"/>
            <w:gridSpan w:val="2"/>
            <w:tcBorders>
              <w:right w:val="single" w:sz="6" w:space="0" w:color="auto"/>
            </w:tcBorders>
          </w:tcPr>
          <w:p w14:paraId="33E15D3B" w14:textId="77777777" w:rsidR="00425286" w:rsidRDefault="00425286" w:rsidP="00920968"/>
          <w:p w14:paraId="67C27B2B" w14:textId="77777777" w:rsidR="00425286" w:rsidRPr="00FE3AF3" w:rsidRDefault="00425286" w:rsidP="00920968">
            <w:r>
              <w:br/>
            </w:r>
          </w:p>
        </w:tc>
      </w:tr>
      <w:tr w:rsidR="00425286" w:rsidRPr="00FE3AF3" w14:paraId="56A65369" w14:textId="77777777">
        <w:tc>
          <w:tcPr>
            <w:tcW w:w="1366" w:type="dxa"/>
            <w:tcBorders>
              <w:left w:val="single" w:sz="6" w:space="0" w:color="auto"/>
            </w:tcBorders>
          </w:tcPr>
          <w:p w14:paraId="25533286" w14:textId="77777777" w:rsidR="00425286" w:rsidRPr="00FE3AF3" w:rsidRDefault="00425286" w:rsidP="0075376C">
            <w:pPr>
              <w:pStyle w:val="DFARS"/>
              <w:rPr>
                <w:rFonts w:ascii="Arial" w:hAnsi="Arial"/>
                <w:sz w:val="20"/>
              </w:rPr>
            </w:pPr>
          </w:p>
        </w:tc>
        <w:tc>
          <w:tcPr>
            <w:tcW w:w="1437" w:type="dxa"/>
            <w:gridSpan w:val="2"/>
          </w:tcPr>
          <w:p w14:paraId="03C61168" w14:textId="77777777" w:rsidR="00425286" w:rsidRPr="00FE3AF3" w:rsidRDefault="00425286" w:rsidP="00920968">
            <w:r w:rsidRPr="00FE3AF3">
              <w:rPr>
                <w:sz w:val="20"/>
              </w:rPr>
              <w:t>A-2 Action on</w:t>
            </w:r>
          </w:p>
          <w:p w14:paraId="60966446" w14:textId="77777777" w:rsidR="00425286" w:rsidRPr="00FE3AF3" w:rsidRDefault="00425286" w:rsidP="00920968">
            <w:r w:rsidRPr="00FE3AF3">
              <w:t>Anticipated Delays</w:t>
            </w:r>
          </w:p>
        </w:tc>
        <w:tc>
          <w:tcPr>
            <w:tcW w:w="1078" w:type="dxa"/>
          </w:tcPr>
          <w:p w14:paraId="0491B2B1" w14:textId="77777777" w:rsidR="00425286" w:rsidRDefault="00425286" w:rsidP="00920968"/>
          <w:p w14:paraId="6480DAEF" w14:textId="77777777" w:rsidR="00425286" w:rsidRPr="00FE3AF3" w:rsidRDefault="00425286" w:rsidP="00920968">
            <w:r>
              <w:br/>
            </w:r>
            <w:r w:rsidRPr="00FE3AF3">
              <w:t>________</w:t>
            </w:r>
          </w:p>
        </w:tc>
        <w:tc>
          <w:tcPr>
            <w:tcW w:w="359" w:type="dxa"/>
            <w:gridSpan w:val="2"/>
          </w:tcPr>
          <w:p w14:paraId="3E5BEA3A" w14:textId="77777777" w:rsidR="00425286" w:rsidRDefault="00425286" w:rsidP="00920968"/>
          <w:p w14:paraId="67358005" w14:textId="77777777" w:rsidR="00425286" w:rsidRPr="00FE3AF3" w:rsidRDefault="00425286" w:rsidP="00920968">
            <w:r>
              <w:br/>
            </w:r>
            <w:r w:rsidRPr="00FE3AF3">
              <w:t>x</w:t>
            </w:r>
          </w:p>
        </w:tc>
        <w:tc>
          <w:tcPr>
            <w:tcW w:w="1064" w:type="dxa"/>
            <w:gridSpan w:val="2"/>
          </w:tcPr>
          <w:p w14:paraId="0A7D2E90" w14:textId="77777777" w:rsidR="00425286" w:rsidRDefault="00425286" w:rsidP="00920968"/>
          <w:p w14:paraId="7F700F9E" w14:textId="77777777" w:rsidR="00425286" w:rsidRPr="00FE3AF3" w:rsidRDefault="00425286" w:rsidP="00920968">
            <w:r>
              <w:br/>
            </w:r>
            <w:r w:rsidRPr="00FE3AF3">
              <w:t>.30</w:t>
            </w:r>
          </w:p>
          <w:p w14:paraId="09142147" w14:textId="77777777" w:rsidR="00425286" w:rsidRPr="00FE3AF3" w:rsidRDefault="00425286" w:rsidP="0075376C">
            <w:pPr>
              <w:pStyle w:val="DFARS"/>
              <w:jc w:val="center"/>
              <w:rPr>
                <w:rFonts w:ascii="Arial" w:hAnsi="Arial"/>
                <w:sz w:val="20"/>
              </w:rPr>
            </w:pPr>
          </w:p>
        </w:tc>
        <w:tc>
          <w:tcPr>
            <w:tcW w:w="345" w:type="dxa"/>
            <w:gridSpan w:val="2"/>
          </w:tcPr>
          <w:p w14:paraId="644D6474" w14:textId="77777777" w:rsidR="00425286" w:rsidRDefault="00425286" w:rsidP="00920968"/>
          <w:p w14:paraId="081390CF" w14:textId="77777777" w:rsidR="00425286" w:rsidRPr="00FE3AF3" w:rsidRDefault="00425286" w:rsidP="00920968">
            <w:r>
              <w:br/>
            </w:r>
            <w:r w:rsidRPr="00FE3AF3">
              <w:t>=</w:t>
            </w:r>
          </w:p>
        </w:tc>
        <w:tc>
          <w:tcPr>
            <w:tcW w:w="1329" w:type="dxa"/>
            <w:gridSpan w:val="2"/>
          </w:tcPr>
          <w:p w14:paraId="71A7006E" w14:textId="77777777" w:rsidR="00425286" w:rsidRDefault="00425286" w:rsidP="00920968"/>
          <w:p w14:paraId="2EC874BF" w14:textId="77777777" w:rsidR="00425286" w:rsidRPr="00FE3AF3" w:rsidRDefault="00425286" w:rsidP="00920968">
            <w:r>
              <w:br/>
            </w:r>
            <w:r w:rsidRPr="00FE3AF3">
              <w:t>__________</w:t>
            </w:r>
          </w:p>
        </w:tc>
        <w:tc>
          <w:tcPr>
            <w:tcW w:w="354" w:type="dxa"/>
            <w:gridSpan w:val="3"/>
          </w:tcPr>
          <w:p w14:paraId="5B3395BB" w14:textId="77777777" w:rsidR="00425286" w:rsidRDefault="00425286" w:rsidP="00920968"/>
          <w:p w14:paraId="650418AC" w14:textId="77777777" w:rsidR="00425286" w:rsidRPr="00FE3AF3" w:rsidRDefault="00425286" w:rsidP="00920968">
            <w:r>
              <w:br/>
            </w:r>
          </w:p>
        </w:tc>
        <w:tc>
          <w:tcPr>
            <w:tcW w:w="1063" w:type="dxa"/>
            <w:gridSpan w:val="2"/>
          </w:tcPr>
          <w:p w14:paraId="69337458" w14:textId="77777777" w:rsidR="00425286" w:rsidRDefault="00425286" w:rsidP="00920968">
            <w:pPr>
              <w:rPr>
                <w:highlight w:val="yellow"/>
              </w:rPr>
            </w:pPr>
          </w:p>
          <w:p w14:paraId="76034974" w14:textId="77777777" w:rsidR="00425286" w:rsidRPr="00FE3AF3" w:rsidRDefault="00425286" w:rsidP="00920968">
            <w:pPr>
              <w:rPr>
                <w:highlight w:val="yellow"/>
              </w:rPr>
            </w:pPr>
            <w:r>
              <w:rPr>
                <w:highlight w:val="yellow"/>
              </w:rPr>
              <w:br/>
            </w:r>
          </w:p>
        </w:tc>
        <w:tc>
          <w:tcPr>
            <w:tcW w:w="253" w:type="dxa"/>
            <w:gridSpan w:val="3"/>
          </w:tcPr>
          <w:p w14:paraId="7725E026" w14:textId="77777777" w:rsidR="00425286" w:rsidRPr="00FE3AF3" w:rsidRDefault="00425286" w:rsidP="0075376C">
            <w:pPr>
              <w:pStyle w:val="DFARS"/>
              <w:rPr>
                <w:rFonts w:ascii="Arial" w:hAnsi="Arial"/>
                <w:b w:val="0"/>
                <w:strike/>
                <w:sz w:val="20"/>
                <w:highlight w:val="yellow"/>
              </w:rPr>
            </w:pPr>
          </w:p>
        </w:tc>
        <w:tc>
          <w:tcPr>
            <w:tcW w:w="1430" w:type="dxa"/>
            <w:gridSpan w:val="2"/>
            <w:tcBorders>
              <w:right w:val="single" w:sz="6" w:space="0" w:color="auto"/>
            </w:tcBorders>
          </w:tcPr>
          <w:p w14:paraId="0314F923" w14:textId="77777777" w:rsidR="00425286" w:rsidRPr="00FE3AF3" w:rsidRDefault="00425286" w:rsidP="00920968"/>
        </w:tc>
      </w:tr>
      <w:tr w:rsidR="00425286" w:rsidRPr="00FE3AF3" w14:paraId="54D4199D" w14:textId="77777777">
        <w:tc>
          <w:tcPr>
            <w:tcW w:w="1366" w:type="dxa"/>
            <w:tcBorders>
              <w:left w:val="single" w:sz="6" w:space="0" w:color="auto"/>
            </w:tcBorders>
          </w:tcPr>
          <w:p w14:paraId="45DAB69E" w14:textId="77777777" w:rsidR="00425286" w:rsidRPr="00FE3AF3" w:rsidRDefault="00425286" w:rsidP="0075376C">
            <w:pPr>
              <w:pStyle w:val="DFARS"/>
              <w:rPr>
                <w:rFonts w:ascii="Arial" w:hAnsi="Arial"/>
                <w:sz w:val="20"/>
              </w:rPr>
            </w:pPr>
          </w:p>
        </w:tc>
        <w:tc>
          <w:tcPr>
            <w:tcW w:w="1437" w:type="dxa"/>
            <w:gridSpan w:val="2"/>
          </w:tcPr>
          <w:p w14:paraId="729CA336" w14:textId="77777777" w:rsidR="00425286" w:rsidRPr="00FE3AF3" w:rsidRDefault="00425286" w:rsidP="00920968">
            <w:r w:rsidRPr="00FE3AF3">
              <w:rPr>
                <w:sz w:val="20"/>
              </w:rPr>
              <w:t>A-3 Plan Maintenance</w:t>
            </w:r>
          </w:p>
        </w:tc>
        <w:tc>
          <w:tcPr>
            <w:tcW w:w="1078" w:type="dxa"/>
          </w:tcPr>
          <w:p w14:paraId="7E2E4A52" w14:textId="77777777" w:rsidR="00425286" w:rsidRPr="00FE3AF3" w:rsidRDefault="00425286" w:rsidP="00920968"/>
          <w:p w14:paraId="50E627CB" w14:textId="77777777" w:rsidR="00425286" w:rsidRPr="00FE3AF3" w:rsidRDefault="00425286" w:rsidP="00920968">
            <w:r w:rsidRPr="00FE3AF3">
              <w:lastRenderedPageBreak/>
              <w:t>________</w:t>
            </w:r>
          </w:p>
        </w:tc>
        <w:tc>
          <w:tcPr>
            <w:tcW w:w="359" w:type="dxa"/>
            <w:gridSpan w:val="2"/>
          </w:tcPr>
          <w:p w14:paraId="28918844" w14:textId="77777777" w:rsidR="00425286" w:rsidRPr="00FE3AF3" w:rsidRDefault="00425286" w:rsidP="00920968"/>
          <w:p w14:paraId="7225534B" w14:textId="77777777" w:rsidR="00425286" w:rsidRPr="00FE3AF3" w:rsidRDefault="00425286" w:rsidP="00920968">
            <w:r w:rsidRPr="00FE3AF3">
              <w:t>x</w:t>
            </w:r>
          </w:p>
        </w:tc>
        <w:tc>
          <w:tcPr>
            <w:tcW w:w="1064" w:type="dxa"/>
            <w:gridSpan w:val="2"/>
          </w:tcPr>
          <w:p w14:paraId="1CF96619" w14:textId="77777777" w:rsidR="00425286" w:rsidRPr="00FE3AF3" w:rsidRDefault="00425286" w:rsidP="00920968"/>
          <w:p w14:paraId="26CE9EAE" w14:textId="77777777" w:rsidR="00425286" w:rsidRPr="00FE3AF3" w:rsidRDefault="00425286" w:rsidP="00920968">
            <w:r w:rsidRPr="00FE3AF3">
              <w:t>.30</w:t>
            </w:r>
          </w:p>
        </w:tc>
        <w:tc>
          <w:tcPr>
            <w:tcW w:w="345" w:type="dxa"/>
            <w:gridSpan w:val="2"/>
          </w:tcPr>
          <w:p w14:paraId="5FAA4BA1" w14:textId="77777777" w:rsidR="00425286" w:rsidRPr="00FE3AF3" w:rsidRDefault="00425286" w:rsidP="00920968"/>
          <w:p w14:paraId="23245833" w14:textId="77777777" w:rsidR="00425286" w:rsidRPr="00FE3AF3" w:rsidRDefault="00425286" w:rsidP="00920968">
            <w:r w:rsidRPr="00FE3AF3">
              <w:t>=</w:t>
            </w:r>
          </w:p>
        </w:tc>
        <w:tc>
          <w:tcPr>
            <w:tcW w:w="1329" w:type="dxa"/>
            <w:gridSpan w:val="2"/>
          </w:tcPr>
          <w:p w14:paraId="445867E8" w14:textId="77777777" w:rsidR="00425286" w:rsidRPr="00FE3AF3" w:rsidRDefault="00425286" w:rsidP="00920968"/>
          <w:p w14:paraId="0E96FEC9" w14:textId="77777777" w:rsidR="00425286" w:rsidRPr="00FE3AF3" w:rsidRDefault="00425286" w:rsidP="00920968">
            <w:r w:rsidRPr="00FE3AF3">
              <w:lastRenderedPageBreak/>
              <w:t>__________</w:t>
            </w:r>
          </w:p>
        </w:tc>
        <w:tc>
          <w:tcPr>
            <w:tcW w:w="354" w:type="dxa"/>
            <w:gridSpan w:val="3"/>
          </w:tcPr>
          <w:p w14:paraId="51B90DC8" w14:textId="77777777" w:rsidR="00425286" w:rsidRPr="00FE3AF3" w:rsidRDefault="00425286" w:rsidP="0075376C">
            <w:pPr>
              <w:pStyle w:val="DFARS"/>
              <w:rPr>
                <w:rFonts w:ascii="Arial" w:hAnsi="Arial"/>
                <w:sz w:val="20"/>
              </w:rPr>
            </w:pPr>
          </w:p>
        </w:tc>
        <w:tc>
          <w:tcPr>
            <w:tcW w:w="1063" w:type="dxa"/>
            <w:gridSpan w:val="2"/>
          </w:tcPr>
          <w:p w14:paraId="4352844D" w14:textId="77777777" w:rsidR="00425286" w:rsidRPr="00FE3AF3" w:rsidRDefault="00425286" w:rsidP="0075376C">
            <w:pPr>
              <w:pStyle w:val="DFARS"/>
              <w:rPr>
                <w:rFonts w:ascii="Arial" w:hAnsi="Arial"/>
                <w:strike/>
                <w:sz w:val="20"/>
                <w:highlight w:val="yellow"/>
              </w:rPr>
            </w:pPr>
          </w:p>
        </w:tc>
        <w:tc>
          <w:tcPr>
            <w:tcW w:w="253" w:type="dxa"/>
            <w:gridSpan w:val="3"/>
          </w:tcPr>
          <w:p w14:paraId="4FAA6539" w14:textId="77777777" w:rsidR="00425286" w:rsidRPr="00FE3AF3" w:rsidRDefault="00425286" w:rsidP="0075376C">
            <w:pPr>
              <w:pStyle w:val="DFARS"/>
              <w:rPr>
                <w:rFonts w:ascii="Arial" w:hAnsi="Arial"/>
                <w:b w:val="0"/>
                <w:strike/>
                <w:sz w:val="20"/>
                <w:highlight w:val="yellow"/>
              </w:rPr>
            </w:pPr>
          </w:p>
        </w:tc>
        <w:tc>
          <w:tcPr>
            <w:tcW w:w="1430" w:type="dxa"/>
            <w:gridSpan w:val="2"/>
            <w:tcBorders>
              <w:right w:val="single" w:sz="6" w:space="0" w:color="auto"/>
            </w:tcBorders>
          </w:tcPr>
          <w:p w14:paraId="56FA2115" w14:textId="77777777" w:rsidR="00425286" w:rsidRPr="00FE3AF3" w:rsidRDefault="00425286" w:rsidP="00920968"/>
        </w:tc>
      </w:tr>
      <w:tr w:rsidR="00425286" w:rsidRPr="00FE3AF3" w14:paraId="7742FB3F" w14:textId="77777777">
        <w:tc>
          <w:tcPr>
            <w:tcW w:w="2790" w:type="dxa"/>
            <w:gridSpan w:val="2"/>
            <w:tcBorders>
              <w:left w:val="single" w:sz="6" w:space="0" w:color="auto"/>
              <w:bottom w:val="single" w:sz="6" w:space="0" w:color="auto"/>
            </w:tcBorders>
          </w:tcPr>
          <w:p w14:paraId="67E786F5" w14:textId="77777777" w:rsidR="00425286" w:rsidRPr="00FE3AF3" w:rsidRDefault="00425286" w:rsidP="0075376C">
            <w:pPr>
              <w:pStyle w:val="DFARS"/>
              <w:spacing w:before="60" w:after="60"/>
              <w:rPr>
                <w:rFonts w:ascii="Arial" w:hAnsi="Arial"/>
                <w:sz w:val="20"/>
              </w:rPr>
            </w:pPr>
          </w:p>
        </w:tc>
        <w:tc>
          <w:tcPr>
            <w:tcW w:w="2880" w:type="dxa"/>
            <w:gridSpan w:val="9"/>
            <w:tcBorders>
              <w:bottom w:val="single" w:sz="6" w:space="0" w:color="auto"/>
            </w:tcBorders>
          </w:tcPr>
          <w:p w14:paraId="38314690" w14:textId="77777777" w:rsidR="00425286" w:rsidRPr="00FE3AF3" w:rsidRDefault="00425286" w:rsidP="00920968">
            <w:r w:rsidRPr="00FE3AF3">
              <w:rPr>
                <w:sz w:val="20"/>
              </w:rPr>
              <w:t>Total Item Weighed Rating</w:t>
            </w:r>
          </w:p>
        </w:tc>
        <w:tc>
          <w:tcPr>
            <w:tcW w:w="1350" w:type="dxa"/>
            <w:gridSpan w:val="2"/>
            <w:tcBorders>
              <w:bottom w:val="single" w:sz="6" w:space="0" w:color="auto"/>
            </w:tcBorders>
          </w:tcPr>
          <w:p w14:paraId="556CC8D2" w14:textId="77777777" w:rsidR="00425286" w:rsidRPr="00FE3AF3" w:rsidRDefault="00425286" w:rsidP="00920968">
            <w:r w:rsidRPr="00FE3AF3">
              <w:rPr>
                <w:sz w:val="20"/>
              </w:rPr>
              <w:t>__________</w:t>
            </w:r>
          </w:p>
        </w:tc>
        <w:tc>
          <w:tcPr>
            <w:tcW w:w="360" w:type="dxa"/>
            <w:gridSpan w:val="3"/>
            <w:tcBorders>
              <w:bottom w:val="single" w:sz="6" w:space="0" w:color="auto"/>
            </w:tcBorders>
          </w:tcPr>
          <w:p w14:paraId="4960F735" w14:textId="77777777" w:rsidR="00425286" w:rsidRPr="00FE3AF3" w:rsidRDefault="00425286" w:rsidP="00920968">
            <w:r w:rsidRPr="00FE3AF3">
              <w:rPr>
                <w:sz w:val="20"/>
              </w:rPr>
              <w:t>x</w:t>
            </w:r>
          </w:p>
        </w:tc>
        <w:tc>
          <w:tcPr>
            <w:tcW w:w="1045" w:type="dxa"/>
            <w:gridSpan w:val="2"/>
            <w:tcBorders>
              <w:bottom w:val="single" w:sz="6" w:space="0" w:color="auto"/>
            </w:tcBorders>
          </w:tcPr>
          <w:p w14:paraId="27F87AB5" w14:textId="77777777" w:rsidR="00425286" w:rsidRPr="00FE3AF3" w:rsidRDefault="00425286" w:rsidP="00920968">
            <w:pPr>
              <w:rPr>
                <w:highlight w:val="yellow"/>
              </w:rPr>
            </w:pPr>
            <w:r w:rsidRPr="00FE3AF3">
              <w:rPr>
                <w:sz w:val="20"/>
              </w:rPr>
              <w:t>.30</w:t>
            </w:r>
          </w:p>
        </w:tc>
        <w:tc>
          <w:tcPr>
            <w:tcW w:w="305" w:type="dxa"/>
            <w:gridSpan w:val="3"/>
            <w:tcBorders>
              <w:bottom w:val="single" w:sz="6" w:space="0" w:color="auto"/>
            </w:tcBorders>
          </w:tcPr>
          <w:p w14:paraId="02882C0D" w14:textId="77777777" w:rsidR="00425286" w:rsidRPr="00FE3AF3" w:rsidRDefault="00425286" w:rsidP="00920968">
            <w:r w:rsidRPr="00FE3AF3">
              <w:rPr>
                <w:sz w:val="20"/>
              </w:rPr>
              <w:t>=</w:t>
            </w:r>
          </w:p>
        </w:tc>
        <w:tc>
          <w:tcPr>
            <w:tcW w:w="1350" w:type="dxa"/>
            <w:tcBorders>
              <w:bottom w:val="single" w:sz="6" w:space="0" w:color="auto"/>
              <w:right w:val="single" w:sz="6" w:space="0" w:color="auto"/>
            </w:tcBorders>
          </w:tcPr>
          <w:p w14:paraId="3D0EAE56" w14:textId="77777777" w:rsidR="00425286" w:rsidRPr="00FE3AF3" w:rsidRDefault="00425286" w:rsidP="00920968">
            <w:r w:rsidRPr="00FE3AF3">
              <w:rPr>
                <w:sz w:val="20"/>
              </w:rPr>
              <w:t>__________</w:t>
            </w:r>
          </w:p>
        </w:tc>
      </w:tr>
      <w:tr w:rsidR="00425286" w:rsidRPr="00FE3AF3" w14:paraId="613547E7" w14:textId="77777777">
        <w:tblPrEx>
          <w:tblBorders>
            <w:left w:val="single" w:sz="6" w:space="0" w:color="auto"/>
            <w:right w:val="single" w:sz="6" w:space="0" w:color="auto"/>
          </w:tblBorders>
        </w:tblPrEx>
        <w:trPr>
          <w:cantSplit/>
        </w:trPr>
        <w:tc>
          <w:tcPr>
            <w:tcW w:w="1366" w:type="dxa"/>
          </w:tcPr>
          <w:p w14:paraId="5FADA735" w14:textId="77777777" w:rsidR="00425286" w:rsidRPr="00FE3AF3" w:rsidRDefault="00425286" w:rsidP="00920968">
            <w:r w:rsidRPr="00FE3AF3">
              <w:rPr>
                <w:sz w:val="20"/>
              </w:rPr>
              <w:t>B</w:t>
            </w:r>
          </w:p>
        </w:tc>
        <w:tc>
          <w:tcPr>
            <w:tcW w:w="1437" w:type="dxa"/>
            <w:gridSpan w:val="2"/>
          </w:tcPr>
          <w:p w14:paraId="23F477E5" w14:textId="77777777" w:rsidR="00425286" w:rsidRPr="00FE3AF3" w:rsidRDefault="00425286" w:rsidP="00920968">
            <w:r w:rsidRPr="00FE3AF3">
              <w:rPr>
                <w:sz w:val="20"/>
              </w:rPr>
              <w:t>QUALITY OF WORK</w:t>
            </w:r>
          </w:p>
        </w:tc>
        <w:tc>
          <w:tcPr>
            <w:tcW w:w="1078" w:type="dxa"/>
          </w:tcPr>
          <w:p w14:paraId="74A84549" w14:textId="77777777" w:rsidR="00425286" w:rsidRPr="00FE3AF3" w:rsidRDefault="00425286" w:rsidP="0075376C">
            <w:pPr>
              <w:pStyle w:val="DFARS"/>
              <w:rPr>
                <w:rFonts w:ascii="Arial" w:hAnsi="Arial"/>
                <w:sz w:val="20"/>
              </w:rPr>
            </w:pPr>
          </w:p>
        </w:tc>
        <w:tc>
          <w:tcPr>
            <w:tcW w:w="359" w:type="dxa"/>
            <w:gridSpan w:val="2"/>
          </w:tcPr>
          <w:p w14:paraId="7676EB17" w14:textId="77777777" w:rsidR="00425286" w:rsidRPr="00FE3AF3" w:rsidRDefault="00425286" w:rsidP="0075376C">
            <w:pPr>
              <w:pStyle w:val="DFARS"/>
              <w:rPr>
                <w:rFonts w:ascii="Arial" w:hAnsi="Arial"/>
                <w:sz w:val="20"/>
              </w:rPr>
            </w:pPr>
          </w:p>
        </w:tc>
        <w:tc>
          <w:tcPr>
            <w:tcW w:w="1064" w:type="dxa"/>
            <w:gridSpan w:val="2"/>
          </w:tcPr>
          <w:p w14:paraId="4B25CF03" w14:textId="77777777" w:rsidR="00425286" w:rsidRPr="00FE3AF3" w:rsidRDefault="00425286" w:rsidP="0075376C">
            <w:pPr>
              <w:pStyle w:val="DFARS"/>
              <w:rPr>
                <w:rFonts w:ascii="Arial" w:hAnsi="Arial"/>
                <w:sz w:val="20"/>
              </w:rPr>
            </w:pPr>
          </w:p>
        </w:tc>
        <w:tc>
          <w:tcPr>
            <w:tcW w:w="345" w:type="dxa"/>
            <w:gridSpan w:val="2"/>
          </w:tcPr>
          <w:p w14:paraId="04837119" w14:textId="77777777" w:rsidR="00425286" w:rsidRPr="00FE3AF3" w:rsidRDefault="00425286" w:rsidP="0075376C">
            <w:pPr>
              <w:pStyle w:val="DFARS"/>
              <w:rPr>
                <w:rFonts w:ascii="Arial" w:hAnsi="Arial"/>
                <w:sz w:val="20"/>
              </w:rPr>
            </w:pPr>
          </w:p>
        </w:tc>
        <w:tc>
          <w:tcPr>
            <w:tcW w:w="1329" w:type="dxa"/>
            <w:gridSpan w:val="2"/>
          </w:tcPr>
          <w:p w14:paraId="419678BD" w14:textId="77777777" w:rsidR="00425286" w:rsidRPr="00FE3AF3" w:rsidRDefault="00425286" w:rsidP="0075376C">
            <w:pPr>
              <w:pStyle w:val="DFARS"/>
              <w:rPr>
                <w:rFonts w:ascii="Arial" w:hAnsi="Arial"/>
                <w:sz w:val="20"/>
              </w:rPr>
            </w:pPr>
          </w:p>
        </w:tc>
        <w:tc>
          <w:tcPr>
            <w:tcW w:w="354" w:type="dxa"/>
            <w:gridSpan w:val="3"/>
          </w:tcPr>
          <w:p w14:paraId="44A2CE64" w14:textId="77777777" w:rsidR="00425286" w:rsidRPr="00FE3AF3" w:rsidRDefault="00425286" w:rsidP="0075376C">
            <w:pPr>
              <w:pStyle w:val="DFARS"/>
              <w:rPr>
                <w:rFonts w:ascii="Arial" w:hAnsi="Arial"/>
                <w:sz w:val="20"/>
              </w:rPr>
            </w:pPr>
          </w:p>
        </w:tc>
        <w:tc>
          <w:tcPr>
            <w:tcW w:w="1063" w:type="dxa"/>
            <w:gridSpan w:val="2"/>
          </w:tcPr>
          <w:p w14:paraId="34D4A31A" w14:textId="77777777" w:rsidR="00425286" w:rsidRPr="00FE3AF3" w:rsidRDefault="00425286" w:rsidP="0075376C">
            <w:pPr>
              <w:pStyle w:val="DFARS"/>
              <w:rPr>
                <w:rFonts w:ascii="Arial" w:hAnsi="Arial"/>
                <w:strike/>
                <w:sz w:val="20"/>
                <w:highlight w:val="yellow"/>
              </w:rPr>
            </w:pPr>
          </w:p>
        </w:tc>
        <w:tc>
          <w:tcPr>
            <w:tcW w:w="253" w:type="dxa"/>
            <w:gridSpan w:val="3"/>
          </w:tcPr>
          <w:p w14:paraId="5C81EEF1" w14:textId="77777777" w:rsidR="00425286" w:rsidRPr="00FE3AF3" w:rsidRDefault="00425286" w:rsidP="0075376C">
            <w:pPr>
              <w:pStyle w:val="DFARS"/>
              <w:rPr>
                <w:rFonts w:ascii="Arial" w:hAnsi="Arial"/>
                <w:b w:val="0"/>
                <w:strike/>
                <w:sz w:val="20"/>
                <w:highlight w:val="yellow"/>
              </w:rPr>
            </w:pPr>
          </w:p>
        </w:tc>
        <w:tc>
          <w:tcPr>
            <w:tcW w:w="1430" w:type="dxa"/>
            <w:gridSpan w:val="2"/>
          </w:tcPr>
          <w:p w14:paraId="7FB86CDD" w14:textId="77777777" w:rsidR="00425286" w:rsidRPr="00FE3AF3" w:rsidRDefault="00425286" w:rsidP="00920968">
            <w:pPr>
              <w:rPr>
                <w:highlight w:val="yellow"/>
              </w:rPr>
            </w:pPr>
          </w:p>
        </w:tc>
      </w:tr>
      <w:tr w:rsidR="00425286" w:rsidRPr="00FE3AF3" w14:paraId="188BB56D" w14:textId="77777777">
        <w:tblPrEx>
          <w:tblBorders>
            <w:left w:val="single" w:sz="6" w:space="0" w:color="auto"/>
            <w:right w:val="single" w:sz="6" w:space="0" w:color="auto"/>
          </w:tblBorders>
        </w:tblPrEx>
        <w:trPr>
          <w:cantSplit/>
        </w:trPr>
        <w:tc>
          <w:tcPr>
            <w:tcW w:w="1366" w:type="dxa"/>
          </w:tcPr>
          <w:p w14:paraId="54145F3B" w14:textId="77777777" w:rsidR="00425286" w:rsidRPr="00FE3AF3" w:rsidRDefault="00425286" w:rsidP="0075376C">
            <w:pPr>
              <w:pStyle w:val="DFARS"/>
              <w:jc w:val="center"/>
              <w:rPr>
                <w:rFonts w:ascii="Arial" w:hAnsi="Arial"/>
                <w:sz w:val="20"/>
              </w:rPr>
            </w:pPr>
          </w:p>
        </w:tc>
        <w:tc>
          <w:tcPr>
            <w:tcW w:w="1437" w:type="dxa"/>
            <w:gridSpan w:val="2"/>
          </w:tcPr>
          <w:p w14:paraId="2C962D02" w14:textId="77777777" w:rsidR="00425286" w:rsidRPr="00FE3AF3" w:rsidRDefault="00425286" w:rsidP="00920968">
            <w:r w:rsidRPr="00FE3AF3">
              <w:rPr>
                <w:sz w:val="20"/>
              </w:rPr>
              <w:t>B-1 Work Appearance</w:t>
            </w:r>
          </w:p>
        </w:tc>
        <w:tc>
          <w:tcPr>
            <w:tcW w:w="1078" w:type="dxa"/>
          </w:tcPr>
          <w:p w14:paraId="18495FA6" w14:textId="77777777" w:rsidR="00425286" w:rsidRPr="00FE3AF3" w:rsidRDefault="00425286" w:rsidP="00920968"/>
          <w:p w14:paraId="51E72671" w14:textId="77777777" w:rsidR="00425286" w:rsidRPr="00FE3AF3" w:rsidRDefault="00425286" w:rsidP="00920968">
            <w:r w:rsidRPr="00FE3AF3">
              <w:t>________</w:t>
            </w:r>
          </w:p>
        </w:tc>
        <w:tc>
          <w:tcPr>
            <w:tcW w:w="359" w:type="dxa"/>
            <w:gridSpan w:val="2"/>
          </w:tcPr>
          <w:p w14:paraId="2BBA8D4D" w14:textId="77777777" w:rsidR="00425286" w:rsidRPr="00FE3AF3" w:rsidRDefault="00425286" w:rsidP="00920968"/>
          <w:p w14:paraId="2ECB8B0E" w14:textId="77777777" w:rsidR="00425286" w:rsidRPr="00FE3AF3" w:rsidRDefault="00425286" w:rsidP="00920968">
            <w:r w:rsidRPr="00FE3AF3">
              <w:t>x</w:t>
            </w:r>
          </w:p>
        </w:tc>
        <w:tc>
          <w:tcPr>
            <w:tcW w:w="1064" w:type="dxa"/>
            <w:gridSpan w:val="2"/>
          </w:tcPr>
          <w:p w14:paraId="51A267E2" w14:textId="77777777" w:rsidR="00425286" w:rsidRPr="00FE3AF3" w:rsidRDefault="00425286" w:rsidP="00920968"/>
          <w:p w14:paraId="5E783419" w14:textId="77777777" w:rsidR="00425286" w:rsidRPr="00FE3AF3" w:rsidRDefault="00425286" w:rsidP="00920968">
            <w:r w:rsidRPr="00FE3AF3">
              <w:t>.15</w:t>
            </w:r>
          </w:p>
        </w:tc>
        <w:tc>
          <w:tcPr>
            <w:tcW w:w="345" w:type="dxa"/>
            <w:gridSpan w:val="2"/>
          </w:tcPr>
          <w:p w14:paraId="44738B9B" w14:textId="77777777" w:rsidR="00425286" w:rsidRPr="00FE3AF3" w:rsidRDefault="00425286" w:rsidP="00920968"/>
          <w:p w14:paraId="1FBFA210" w14:textId="77777777" w:rsidR="00425286" w:rsidRPr="00FE3AF3" w:rsidRDefault="00425286" w:rsidP="00920968">
            <w:r w:rsidRPr="00FE3AF3">
              <w:t>=</w:t>
            </w:r>
          </w:p>
        </w:tc>
        <w:tc>
          <w:tcPr>
            <w:tcW w:w="1329" w:type="dxa"/>
            <w:gridSpan w:val="2"/>
          </w:tcPr>
          <w:p w14:paraId="15B8F0BE" w14:textId="77777777" w:rsidR="00425286" w:rsidRPr="00FE3AF3" w:rsidRDefault="00425286" w:rsidP="00920968"/>
          <w:p w14:paraId="72F873F3" w14:textId="77777777" w:rsidR="00425286" w:rsidRPr="00FE3AF3" w:rsidRDefault="00425286" w:rsidP="00920968">
            <w:r w:rsidRPr="00FE3AF3">
              <w:t>__________</w:t>
            </w:r>
          </w:p>
        </w:tc>
        <w:tc>
          <w:tcPr>
            <w:tcW w:w="354" w:type="dxa"/>
            <w:gridSpan w:val="3"/>
          </w:tcPr>
          <w:p w14:paraId="408523B1" w14:textId="77777777" w:rsidR="00425286" w:rsidRPr="00FE3AF3" w:rsidRDefault="00425286" w:rsidP="0075376C">
            <w:pPr>
              <w:pStyle w:val="DFARS"/>
              <w:rPr>
                <w:rFonts w:ascii="Arial" w:hAnsi="Arial"/>
                <w:sz w:val="20"/>
              </w:rPr>
            </w:pPr>
          </w:p>
        </w:tc>
        <w:tc>
          <w:tcPr>
            <w:tcW w:w="1063" w:type="dxa"/>
            <w:gridSpan w:val="2"/>
          </w:tcPr>
          <w:p w14:paraId="4EB7253A" w14:textId="77777777" w:rsidR="00425286" w:rsidRPr="00FE3AF3" w:rsidRDefault="00425286" w:rsidP="0075376C">
            <w:pPr>
              <w:pStyle w:val="DFARS"/>
              <w:rPr>
                <w:rFonts w:ascii="Arial" w:hAnsi="Arial"/>
                <w:strike/>
                <w:sz w:val="20"/>
                <w:highlight w:val="yellow"/>
              </w:rPr>
            </w:pPr>
          </w:p>
        </w:tc>
        <w:tc>
          <w:tcPr>
            <w:tcW w:w="253" w:type="dxa"/>
            <w:gridSpan w:val="3"/>
          </w:tcPr>
          <w:p w14:paraId="631BF96F" w14:textId="77777777" w:rsidR="00425286" w:rsidRPr="00FE3AF3" w:rsidRDefault="00425286" w:rsidP="0075376C">
            <w:pPr>
              <w:pStyle w:val="DFARS"/>
              <w:rPr>
                <w:rFonts w:ascii="Arial" w:hAnsi="Arial"/>
                <w:b w:val="0"/>
                <w:strike/>
                <w:sz w:val="20"/>
                <w:highlight w:val="yellow"/>
              </w:rPr>
            </w:pPr>
          </w:p>
        </w:tc>
        <w:tc>
          <w:tcPr>
            <w:tcW w:w="1430" w:type="dxa"/>
            <w:gridSpan w:val="2"/>
          </w:tcPr>
          <w:p w14:paraId="433D0F96" w14:textId="77777777" w:rsidR="00425286" w:rsidRPr="00FE3AF3" w:rsidRDefault="00425286" w:rsidP="00920968">
            <w:pPr>
              <w:rPr>
                <w:highlight w:val="yellow"/>
              </w:rPr>
            </w:pPr>
          </w:p>
        </w:tc>
      </w:tr>
      <w:tr w:rsidR="00425286" w:rsidRPr="00FE3AF3" w14:paraId="5445350C" w14:textId="77777777">
        <w:tblPrEx>
          <w:tblBorders>
            <w:left w:val="single" w:sz="6" w:space="0" w:color="auto"/>
            <w:right w:val="single" w:sz="6" w:space="0" w:color="auto"/>
          </w:tblBorders>
        </w:tblPrEx>
        <w:trPr>
          <w:cantSplit/>
        </w:trPr>
        <w:tc>
          <w:tcPr>
            <w:tcW w:w="1366" w:type="dxa"/>
          </w:tcPr>
          <w:p w14:paraId="42BBD876" w14:textId="77777777" w:rsidR="00425286" w:rsidRPr="00FE3AF3" w:rsidRDefault="00425286" w:rsidP="0075376C">
            <w:pPr>
              <w:pStyle w:val="DFARS"/>
              <w:jc w:val="center"/>
              <w:rPr>
                <w:rFonts w:ascii="Arial" w:hAnsi="Arial"/>
                <w:strike/>
                <w:sz w:val="20"/>
                <w:highlight w:val="yellow"/>
              </w:rPr>
            </w:pPr>
          </w:p>
        </w:tc>
        <w:tc>
          <w:tcPr>
            <w:tcW w:w="1437" w:type="dxa"/>
            <w:gridSpan w:val="2"/>
          </w:tcPr>
          <w:p w14:paraId="3B6BF3BF" w14:textId="77777777" w:rsidR="00425286" w:rsidRPr="00FE3AF3" w:rsidRDefault="00425286" w:rsidP="00920968">
            <w:r w:rsidRPr="00FE3AF3">
              <w:rPr>
                <w:sz w:val="20"/>
              </w:rPr>
              <w:t>B-2 Thorough-ness and Accuracy of Work</w:t>
            </w:r>
          </w:p>
        </w:tc>
        <w:tc>
          <w:tcPr>
            <w:tcW w:w="1078" w:type="dxa"/>
          </w:tcPr>
          <w:p w14:paraId="3772A7CD" w14:textId="77777777" w:rsidR="00425286" w:rsidRDefault="00425286" w:rsidP="00920968"/>
          <w:p w14:paraId="449C2CE7" w14:textId="77777777" w:rsidR="00425286" w:rsidRPr="00FE3AF3" w:rsidRDefault="00425286" w:rsidP="00920968">
            <w:r>
              <w:br/>
            </w:r>
            <w:r w:rsidRPr="00FE3AF3">
              <w:t>________</w:t>
            </w:r>
          </w:p>
        </w:tc>
        <w:tc>
          <w:tcPr>
            <w:tcW w:w="359" w:type="dxa"/>
            <w:gridSpan w:val="2"/>
          </w:tcPr>
          <w:p w14:paraId="3673740F" w14:textId="77777777" w:rsidR="00425286" w:rsidRDefault="00425286" w:rsidP="00920968"/>
          <w:p w14:paraId="06382AA3" w14:textId="77777777" w:rsidR="00425286" w:rsidRPr="00FE3AF3" w:rsidRDefault="00425286" w:rsidP="00920968">
            <w:r>
              <w:br/>
            </w:r>
            <w:r w:rsidRPr="00FE3AF3">
              <w:t>x</w:t>
            </w:r>
          </w:p>
        </w:tc>
        <w:tc>
          <w:tcPr>
            <w:tcW w:w="1064" w:type="dxa"/>
            <w:gridSpan w:val="2"/>
          </w:tcPr>
          <w:p w14:paraId="33C851C2" w14:textId="77777777" w:rsidR="00425286" w:rsidRDefault="00425286" w:rsidP="00920968"/>
          <w:p w14:paraId="26F54F34" w14:textId="77777777" w:rsidR="00425286" w:rsidRPr="00FE3AF3" w:rsidRDefault="00425286" w:rsidP="00920968">
            <w:r>
              <w:br/>
            </w:r>
            <w:r w:rsidRPr="00FE3AF3">
              <w:t>.30</w:t>
            </w:r>
          </w:p>
        </w:tc>
        <w:tc>
          <w:tcPr>
            <w:tcW w:w="345" w:type="dxa"/>
            <w:gridSpan w:val="2"/>
          </w:tcPr>
          <w:p w14:paraId="2BEC3B8F" w14:textId="77777777" w:rsidR="00425286" w:rsidRDefault="00425286" w:rsidP="00920968"/>
          <w:p w14:paraId="20B5A33C" w14:textId="77777777" w:rsidR="00425286" w:rsidRPr="00FE3AF3" w:rsidRDefault="00425286" w:rsidP="00920968">
            <w:r>
              <w:br/>
            </w:r>
            <w:r w:rsidRPr="00FE3AF3">
              <w:t>=</w:t>
            </w:r>
          </w:p>
        </w:tc>
        <w:tc>
          <w:tcPr>
            <w:tcW w:w="1329" w:type="dxa"/>
            <w:gridSpan w:val="2"/>
          </w:tcPr>
          <w:p w14:paraId="7343F6CE" w14:textId="77777777" w:rsidR="00425286" w:rsidRDefault="00425286" w:rsidP="00920968"/>
          <w:p w14:paraId="11603E04" w14:textId="77777777" w:rsidR="00425286" w:rsidRPr="00FE3AF3" w:rsidRDefault="00425286" w:rsidP="00920968">
            <w:r>
              <w:br/>
            </w:r>
            <w:r w:rsidRPr="00FE3AF3">
              <w:t>__________</w:t>
            </w:r>
          </w:p>
        </w:tc>
        <w:tc>
          <w:tcPr>
            <w:tcW w:w="354" w:type="dxa"/>
            <w:gridSpan w:val="3"/>
          </w:tcPr>
          <w:p w14:paraId="3437D8A0" w14:textId="77777777" w:rsidR="00425286" w:rsidRPr="00FE3AF3" w:rsidRDefault="00425286" w:rsidP="0075376C">
            <w:pPr>
              <w:pStyle w:val="DFARS"/>
              <w:rPr>
                <w:rFonts w:ascii="Arial" w:hAnsi="Arial"/>
                <w:sz w:val="20"/>
              </w:rPr>
            </w:pPr>
          </w:p>
        </w:tc>
        <w:tc>
          <w:tcPr>
            <w:tcW w:w="1063" w:type="dxa"/>
            <w:gridSpan w:val="2"/>
          </w:tcPr>
          <w:p w14:paraId="5D7E3C4D" w14:textId="77777777" w:rsidR="00425286" w:rsidRPr="00FE3AF3" w:rsidRDefault="00425286" w:rsidP="0075376C">
            <w:pPr>
              <w:pStyle w:val="DFARS"/>
              <w:rPr>
                <w:rFonts w:ascii="Arial" w:hAnsi="Arial"/>
                <w:sz w:val="20"/>
              </w:rPr>
            </w:pPr>
          </w:p>
        </w:tc>
        <w:tc>
          <w:tcPr>
            <w:tcW w:w="253" w:type="dxa"/>
            <w:gridSpan w:val="3"/>
          </w:tcPr>
          <w:p w14:paraId="4EDC4F6E" w14:textId="77777777" w:rsidR="00425286" w:rsidRPr="00FE3AF3" w:rsidRDefault="00425286" w:rsidP="0075376C">
            <w:pPr>
              <w:pStyle w:val="DFARS"/>
              <w:rPr>
                <w:rFonts w:ascii="Arial" w:hAnsi="Arial"/>
                <w:b w:val="0"/>
                <w:sz w:val="20"/>
              </w:rPr>
            </w:pPr>
          </w:p>
        </w:tc>
        <w:tc>
          <w:tcPr>
            <w:tcW w:w="1430" w:type="dxa"/>
            <w:gridSpan w:val="2"/>
          </w:tcPr>
          <w:p w14:paraId="74E019A8" w14:textId="77777777" w:rsidR="00425286" w:rsidRPr="00FE3AF3" w:rsidRDefault="00425286" w:rsidP="00920968"/>
        </w:tc>
      </w:tr>
      <w:tr w:rsidR="00425286" w:rsidRPr="00FE3AF3" w14:paraId="6C288EC0" w14:textId="77777777">
        <w:tblPrEx>
          <w:tblBorders>
            <w:left w:val="single" w:sz="6" w:space="0" w:color="auto"/>
            <w:right w:val="single" w:sz="6" w:space="0" w:color="auto"/>
          </w:tblBorders>
        </w:tblPrEx>
        <w:trPr>
          <w:cantSplit/>
        </w:trPr>
        <w:tc>
          <w:tcPr>
            <w:tcW w:w="1366" w:type="dxa"/>
          </w:tcPr>
          <w:p w14:paraId="7E10E04D" w14:textId="77777777" w:rsidR="00425286" w:rsidRPr="00FE3AF3" w:rsidRDefault="00425286" w:rsidP="0075376C">
            <w:pPr>
              <w:pStyle w:val="DFARS"/>
              <w:jc w:val="center"/>
              <w:rPr>
                <w:rFonts w:ascii="Arial" w:hAnsi="Arial"/>
                <w:strike/>
                <w:sz w:val="20"/>
                <w:highlight w:val="yellow"/>
              </w:rPr>
            </w:pPr>
          </w:p>
        </w:tc>
        <w:tc>
          <w:tcPr>
            <w:tcW w:w="1437" w:type="dxa"/>
            <w:gridSpan w:val="2"/>
          </w:tcPr>
          <w:p w14:paraId="6879ED18" w14:textId="77777777" w:rsidR="00425286" w:rsidRPr="00FE3AF3" w:rsidRDefault="00425286" w:rsidP="00920968">
            <w:r w:rsidRPr="00FE3AF3">
              <w:rPr>
                <w:sz w:val="20"/>
              </w:rPr>
              <w:t>B-3 Engineering Competence</w:t>
            </w:r>
          </w:p>
        </w:tc>
        <w:tc>
          <w:tcPr>
            <w:tcW w:w="1078" w:type="dxa"/>
          </w:tcPr>
          <w:p w14:paraId="2889AD21" w14:textId="77777777" w:rsidR="00425286" w:rsidRDefault="00425286" w:rsidP="00920968"/>
          <w:p w14:paraId="44C384AF" w14:textId="77777777" w:rsidR="00425286" w:rsidRPr="00FE3AF3" w:rsidRDefault="00425286" w:rsidP="00920968">
            <w:r>
              <w:br/>
            </w:r>
            <w:r w:rsidRPr="00FE3AF3">
              <w:t>________</w:t>
            </w:r>
          </w:p>
        </w:tc>
        <w:tc>
          <w:tcPr>
            <w:tcW w:w="359" w:type="dxa"/>
            <w:gridSpan w:val="2"/>
          </w:tcPr>
          <w:p w14:paraId="1BC6022C" w14:textId="77777777" w:rsidR="00425286" w:rsidRDefault="00425286" w:rsidP="00920968"/>
          <w:p w14:paraId="164E083C" w14:textId="77777777" w:rsidR="00425286" w:rsidRPr="00FE3AF3" w:rsidRDefault="00425286" w:rsidP="00920968">
            <w:r>
              <w:br/>
            </w:r>
            <w:r w:rsidRPr="00FE3AF3">
              <w:t>x</w:t>
            </w:r>
          </w:p>
        </w:tc>
        <w:tc>
          <w:tcPr>
            <w:tcW w:w="1064" w:type="dxa"/>
            <w:gridSpan w:val="2"/>
          </w:tcPr>
          <w:p w14:paraId="4A9EACC1" w14:textId="77777777" w:rsidR="00425286" w:rsidRDefault="00425286" w:rsidP="00920968"/>
          <w:p w14:paraId="4456427A" w14:textId="77777777" w:rsidR="00425286" w:rsidRPr="00FE3AF3" w:rsidRDefault="00425286" w:rsidP="00920968">
            <w:r>
              <w:br/>
            </w:r>
            <w:r w:rsidRPr="00FE3AF3">
              <w:t>.20</w:t>
            </w:r>
          </w:p>
        </w:tc>
        <w:tc>
          <w:tcPr>
            <w:tcW w:w="345" w:type="dxa"/>
            <w:gridSpan w:val="2"/>
          </w:tcPr>
          <w:p w14:paraId="3C411E68" w14:textId="77777777" w:rsidR="00425286" w:rsidRDefault="00425286" w:rsidP="00920968"/>
          <w:p w14:paraId="29385EB0" w14:textId="77777777" w:rsidR="00425286" w:rsidRPr="00FE3AF3" w:rsidRDefault="00425286" w:rsidP="00920968">
            <w:r>
              <w:br/>
            </w:r>
            <w:r w:rsidRPr="00FE3AF3">
              <w:t>=</w:t>
            </w:r>
          </w:p>
        </w:tc>
        <w:tc>
          <w:tcPr>
            <w:tcW w:w="1329" w:type="dxa"/>
            <w:gridSpan w:val="2"/>
          </w:tcPr>
          <w:p w14:paraId="729556C8" w14:textId="77777777" w:rsidR="00425286" w:rsidRDefault="00425286" w:rsidP="00920968"/>
          <w:p w14:paraId="662F367B" w14:textId="77777777" w:rsidR="00425286" w:rsidRPr="00FE3AF3" w:rsidRDefault="00425286" w:rsidP="00920968">
            <w:r>
              <w:br/>
            </w:r>
            <w:r w:rsidRPr="00FE3AF3">
              <w:t>__________</w:t>
            </w:r>
          </w:p>
        </w:tc>
        <w:tc>
          <w:tcPr>
            <w:tcW w:w="354" w:type="dxa"/>
            <w:gridSpan w:val="3"/>
          </w:tcPr>
          <w:p w14:paraId="3C4A0864" w14:textId="77777777" w:rsidR="00425286" w:rsidRPr="00FE3AF3" w:rsidRDefault="00425286" w:rsidP="0075376C">
            <w:pPr>
              <w:pStyle w:val="DFARS"/>
              <w:rPr>
                <w:rFonts w:ascii="Arial" w:hAnsi="Arial"/>
                <w:sz w:val="20"/>
              </w:rPr>
            </w:pPr>
          </w:p>
        </w:tc>
        <w:tc>
          <w:tcPr>
            <w:tcW w:w="1063" w:type="dxa"/>
            <w:gridSpan w:val="2"/>
          </w:tcPr>
          <w:p w14:paraId="7F30B9E5" w14:textId="77777777" w:rsidR="00425286" w:rsidRPr="00FE3AF3" w:rsidRDefault="00425286" w:rsidP="0075376C">
            <w:pPr>
              <w:pStyle w:val="DFARS"/>
              <w:rPr>
                <w:rFonts w:ascii="Arial" w:hAnsi="Arial"/>
                <w:sz w:val="20"/>
              </w:rPr>
            </w:pPr>
          </w:p>
        </w:tc>
        <w:tc>
          <w:tcPr>
            <w:tcW w:w="253" w:type="dxa"/>
            <w:gridSpan w:val="3"/>
          </w:tcPr>
          <w:p w14:paraId="0B5870AB" w14:textId="77777777" w:rsidR="00425286" w:rsidRPr="00FE3AF3" w:rsidRDefault="00425286" w:rsidP="0075376C">
            <w:pPr>
              <w:pStyle w:val="DFARS"/>
              <w:rPr>
                <w:rFonts w:ascii="Arial" w:hAnsi="Arial"/>
                <w:b w:val="0"/>
                <w:sz w:val="20"/>
              </w:rPr>
            </w:pPr>
          </w:p>
        </w:tc>
        <w:tc>
          <w:tcPr>
            <w:tcW w:w="1430" w:type="dxa"/>
            <w:gridSpan w:val="2"/>
          </w:tcPr>
          <w:p w14:paraId="5AE707F1" w14:textId="77777777" w:rsidR="00425286" w:rsidRPr="00FE3AF3" w:rsidRDefault="00425286" w:rsidP="00920968"/>
        </w:tc>
      </w:tr>
      <w:tr w:rsidR="00425286" w:rsidRPr="00FE3AF3" w14:paraId="2095879B" w14:textId="77777777">
        <w:tblPrEx>
          <w:tblBorders>
            <w:left w:val="single" w:sz="6" w:space="0" w:color="auto"/>
            <w:right w:val="single" w:sz="6" w:space="0" w:color="auto"/>
          </w:tblBorders>
        </w:tblPrEx>
        <w:trPr>
          <w:cantSplit/>
        </w:trPr>
        <w:tc>
          <w:tcPr>
            <w:tcW w:w="1366" w:type="dxa"/>
          </w:tcPr>
          <w:p w14:paraId="6AF952A9" w14:textId="77777777" w:rsidR="00425286" w:rsidRPr="00FE3AF3" w:rsidRDefault="00425286" w:rsidP="0075376C">
            <w:pPr>
              <w:pStyle w:val="DFARS"/>
              <w:jc w:val="center"/>
              <w:rPr>
                <w:rFonts w:ascii="Arial" w:hAnsi="Arial"/>
                <w:strike/>
                <w:sz w:val="20"/>
                <w:highlight w:val="yellow"/>
              </w:rPr>
            </w:pPr>
          </w:p>
        </w:tc>
        <w:tc>
          <w:tcPr>
            <w:tcW w:w="1437" w:type="dxa"/>
            <w:gridSpan w:val="2"/>
          </w:tcPr>
          <w:p w14:paraId="79E5016C" w14:textId="77777777" w:rsidR="00425286" w:rsidRPr="00FE3AF3" w:rsidRDefault="00425286" w:rsidP="00920968">
            <w:r w:rsidRPr="00FE3AF3">
              <w:rPr>
                <w:sz w:val="20"/>
              </w:rPr>
              <w:t>B-4 Liaison Effectiveness</w:t>
            </w:r>
          </w:p>
        </w:tc>
        <w:tc>
          <w:tcPr>
            <w:tcW w:w="1078" w:type="dxa"/>
          </w:tcPr>
          <w:p w14:paraId="617478F4" w14:textId="77777777" w:rsidR="00425286" w:rsidRPr="00FE3AF3" w:rsidRDefault="00425286" w:rsidP="00920968"/>
          <w:p w14:paraId="4C51180F" w14:textId="77777777" w:rsidR="00425286" w:rsidRPr="00FE3AF3" w:rsidRDefault="00425286" w:rsidP="00920968">
            <w:r w:rsidRPr="00FE3AF3">
              <w:t>________</w:t>
            </w:r>
          </w:p>
        </w:tc>
        <w:tc>
          <w:tcPr>
            <w:tcW w:w="359" w:type="dxa"/>
            <w:gridSpan w:val="2"/>
          </w:tcPr>
          <w:p w14:paraId="5E14D51C" w14:textId="77777777" w:rsidR="00425286" w:rsidRPr="00FE3AF3" w:rsidRDefault="00425286" w:rsidP="00920968"/>
          <w:p w14:paraId="60406EF5" w14:textId="77777777" w:rsidR="00425286" w:rsidRPr="00FE3AF3" w:rsidRDefault="00425286" w:rsidP="00920968">
            <w:r w:rsidRPr="00FE3AF3">
              <w:t>x</w:t>
            </w:r>
          </w:p>
        </w:tc>
        <w:tc>
          <w:tcPr>
            <w:tcW w:w="1064" w:type="dxa"/>
            <w:gridSpan w:val="2"/>
          </w:tcPr>
          <w:p w14:paraId="22ED9A67" w14:textId="77777777" w:rsidR="00425286" w:rsidRPr="00FE3AF3" w:rsidRDefault="00425286" w:rsidP="00920968"/>
          <w:p w14:paraId="10491C64" w14:textId="77777777" w:rsidR="00425286" w:rsidRPr="00FE3AF3" w:rsidRDefault="00425286" w:rsidP="00920968">
            <w:r w:rsidRPr="00FE3AF3">
              <w:t>.15</w:t>
            </w:r>
          </w:p>
        </w:tc>
        <w:tc>
          <w:tcPr>
            <w:tcW w:w="345" w:type="dxa"/>
            <w:gridSpan w:val="2"/>
          </w:tcPr>
          <w:p w14:paraId="5FD2D9EE" w14:textId="77777777" w:rsidR="00425286" w:rsidRPr="00FE3AF3" w:rsidRDefault="00425286" w:rsidP="00920968"/>
          <w:p w14:paraId="36FF62BE" w14:textId="77777777" w:rsidR="00425286" w:rsidRPr="00FE3AF3" w:rsidRDefault="00425286" w:rsidP="00920968">
            <w:r w:rsidRPr="00FE3AF3">
              <w:t>=</w:t>
            </w:r>
          </w:p>
        </w:tc>
        <w:tc>
          <w:tcPr>
            <w:tcW w:w="1329" w:type="dxa"/>
            <w:gridSpan w:val="2"/>
          </w:tcPr>
          <w:p w14:paraId="7E7BE059" w14:textId="77777777" w:rsidR="00425286" w:rsidRPr="00FE3AF3" w:rsidRDefault="00425286" w:rsidP="00920968"/>
          <w:p w14:paraId="715AA18D" w14:textId="77777777" w:rsidR="00425286" w:rsidRPr="00FE3AF3" w:rsidRDefault="00425286" w:rsidP="00920968">
            <w:r w:rsidRPr="00FE3AF3">
              <w:t>__________</w:t>
            </w:r>
          </w:p>
        </w:tc>
        <w:tc>
          <w:tcPr>
            <w:tcW w:w="354" w:type="dxa"/>
            <w:gridSpan w:val="3"/>
          </w:tcPr>
          <w:p w14:paraId="3CF49BBA" w14:textId="77777777" w:rsidR="00425286" w:rsidRPr="00FE3AF3" w:rsidRDefault="00425286" w:rsidP="0075376C">
            <w:pPr>
              <w:pStyle w:val="DFARS"/>
              <w:rPr>
                <w:rFonts w:ascii="Arial" w:hAnsi="Arial"/>
                <w:sz w:val="20"/>
              </w:rPr>
            </w:pPr>
          </w:p>
        </w:tc>
        <w:tc>
          <w:tcPr>
            <w:tcW w:w="1063" w:type="dxa"/>
            <w:gridSpan w:val="2"/>
          </w:tcPr>
          <w:p w14:paraId="0F071201" w14:textId="77777777" w:rsidR="00425286" w:rsidRPr="00FE3AF3" w:rsidRDefault="00425286" w:rsidP="0075376C">
            <w:pPr>
              <w:pStyle w:val="DFARS"/>
              <w:rPr>
                <w:rFonts w:ascii="Arial" w:hAnsi="Arial"/>
                <w:sz w:val="20"/>
              </w:rPr>
            </w:pPr>
          </w:p>
        </w:tc>
        <w:tc>
          <w:tcPr>
            <w:tcW w:w="253" w:type="dxa"/>
            <w:gridSpan w:val="3"/>
          </w:tcPr>
          <w:p w14:paraId="1D4A6544" w14:textId="77777777" w:rsidR="00425286" w:rsidRPr="00FE3AF3" w:rsidRDefault="00425286" w:rsidP="0075376C">
            <w:pPr>
              <w:pStyle w:val="DFARS"/>
              <w:rPr>
                <w:rFonts w:ascii="Arial" w:hAnsi="Arial"/>
                <w:b w:val="0"/>
                <w:sz w:val="20"/>
              </w:rPr>
            </w:pPr>
          </w:p>
        </w:tc>
        <w:tc>
          <w:tcPr>
            <w:tcW w:w="1430" w:type="dxa"/>
            <w:gridSpan w:val="2"/>
          </w:tcPr>
          <w:p w14:paraId="4A1B9E52" w14:textId="77777777" w:rsidR="00425286" w:rsidRPr="00FE3AF3" w:rsidRDefault="00425286" w:rsidP="00920968"/>
        </w:tc>
      </w:tr>
      <w:tr w:rsidR="00425286" w:rsidRPr="00FE3AF3" w14:paraId="1AFF2FA1" w14:textId="77777777">
        <w:tblPrEx>
          <w:tblBorders>
            <w:left w:val="single" w:sz="6" w:space="0" w:color="auto"/>
            <w:right w:val="single" w:sz="6" w:space="0" w:color="auto"/>
          </w:tblBorders>
        </w:tblPrEx>
        <w:trPr>
          <w:cantSplit/>
        </w:trPr>
        <w:tc>
          <w:tcPr>
            <w:tcW w:w="1366" w:type="dxa"/>
          </w:tcPr>
          <w:p w14:paraId="23801AA7" w14:textId="77777777" w:rsidR="00425286" w:rsidRPr="00FE3AF3" w:rsidRDefault="00425286" w:rsidP="0075376C">
            <w:pPr>
              <w:pStyle w:val="DFARS"/>
              <w:jc w:val="center"/>
              <w:rPr>
                <w:rFonts w:ascii="Arial" w:hAnsi="Arial"/>
                <w:strike/>
                <w:sz w:val="20"/>
                <w:highlight w:val="yellow"/>
              </w:rPr>
            </w:pPr>
          </w:p>
        </w:tc>
        <w:tc>
          <w:tcPr>
            <w:tcW w:w="1437" w:type="dxa"/>
            <w:gridSpan w:val="2"/>
          </w:tcPr>
          <w:p w14:paraId="048B4E3D" w14:textId="77777777" w:rsidR="00425286" w:rsidRPr="00FE3AF3" w:rsidRDefault="00425286" w:rsidP="00920968">
            <w:r w:rsidRPr="00FE3AF3">
              <w:rPr>
                <w:sz w:val="20"/>
              </w:rPr>
              <w:t xml:space="preserve">B-5 </w:t>
            </w:r>
            <w:proofErr w:type="spellStart"/>
            <w:r w:rsidRPr="00FE3AF3">
              <w:rPr>
                <w:sz w:val="20"/>
              </w:rPr>
              <w:t>Indepen-dence</w:t>
            </w:r>
            <w:proofErr w:type="spellEnd"/>
            <w:r w:rsidRPr="00FE3AF3">
              <w:rPr>
                <w:sz w:val="20"/>
              </w:rPr>
              <w:t xml:space="preserve"> and Initiative</w:t>
            </w:r>
          </w:p>
        </w:tc>
        <w:tc>
          <w:tcPr>
            <w:tcW w:w="1078" w:type="dxa"/>
          </w:tcPr>
          <w:p w14:paraId="6F453E44" w14:textId="77777777" w:rsidR="00425286" w:rsidRDefault="00425286" w:rsidP="00920968"/>
          <w:p w14:paraId="4E72BB2D" w14:textId="77777777" w:rsidR="00425286" w:rsidRPr="00FE3AF3" w:rsidRDefault="00425286" w:rsidP="00920968">
            <w:r>
              <w:br/>
            </w:r>
            <w:r w:rsidRPr="00FE3AF3">
              <w:t>________</w:t>
            </w:r>
          </w:p>
        </w:tc>
        <w:tc>
          <w:tcPr>
            <w:tcW w:w="359" w:type="dxa"/>
            <w:gridSpan w:val="2"/>
          </w:tcPr>
          <w:p w14:paraId="22838C95" w14:textId="77777777" w:rsidR="00425286" w:rsidRDefault="00425286" w:rsidP="00920968"/>
          <w:p w14:paraId="2BB504CD" w14:textId="77777777" w:rsidR="00425286" w:rsidRPr="00FE3AF3" w:rsidRDefault="00425286" w:rsidP="00920968">
            <w:r>
              <w:br/>
            </w:r>
            <w:r w:rsidRPr="00FE3AF3">
              <w:t>x</w:t>
            </w:r>
          </w:p>
        </w:tc>
        <w:tc>
          <w:tcPr>
            <w:tcW w:w="1064" w:type="dxa"/>
            <w:gridSpan w:val="2"/>
          </w:tcPr>
          <w:p w14:paraId="5A85E9B0" w14:textId="77777777" w:rsidR="00425286" w:rsidRDefault="00425286" w:rsidP="00920968"/>
          <w:p w14:paraId="5E62EE23" w14:textId="77777777" w:rsidR="00425286" w:rsidRPr="00FE3AF3" w:rsidRDefault="00425286" w:rsidP="00920968">
            <w:r>
              <w:br/>
            </w:r>
            <w:r w:rsidRPr="00FE3AF3">
              <w:t>.15</w:t>
            </w:r>
          </w:p>
        </w:tc>
        <w:tc>
          <w:tcPr>
            <w:tcW w:w="345" w:type="dxa"/>
            <w:gridSpan w:val="2"/>
          </w:tcPr>
          <w:p w14:paraId="14568F75" w14:textId="77777777" w:rsidR="00425286" w:rsidRDefault="00425286" w:rsidP="00920968"/>
          <w:p w14:paraId="57CA2DB4" w14:textId="77777777" w:rsidR="00425286" w:rsidRPr="00FE3AF3" w:rsidRDefault="00425286" w:rsidP="00920968">
            <w:r>
              <w:br/>
            </w:r>
            <w:r w:rsidRPr="00FE3AF3">
              <w:t>=</w:t>
            </w:r>
          </w:p>
        </w:tc>
        <w:tc>
          <w:tcPr>
            <w:tcW w:w="1329" w:type="dxa"/>
            <w:gridSpan w:val="2"/>
          </w:tcPr>
          <w:p w14:paraId="0248470F" w14:textId="77777777" w:rsidR="00425286" w:rsidRDefault="00425286" w:rsidP="00920968"/>
          <w:p w14:paraId="29DAB6CF" w14:textId="77777777" w:rsidR="00425286" w:rsidRPr="00FE3AF3" w:rsidRDefault="00425286" w:rsidP="00920968">
            <w:r>
              <w:br/>
            </w:r>
            <w:r w:rsidRPr="00FE3AF3">
              <w:t>__________</w:t>
            </w:r>
          </w:p>
        </w:tc>
        <w:tc>
          <w:tcPr>
            <w:tcW w:w="354" w:type="dxa"/>
            <w:gridSpan w:val="3"/>
          </w:tcPr>
          <w:p w14:paraId="46A3EB0F" w14:textId="77777777" w:rsidR="00425286" w:rsidRPr="00FE3AF3" w:rsidRDefault="00425286" w:rsidP="0075376C">
            <w:pPr>
              <w:pStyle w:val="DFARS"/>
              <w:rPr>
                <w:rFonts w:ascii="Arial" w:hAnsi="Arial"/>
                <w:sz w:val="20"/>
              </w:rPr>
            </w:pPr>
          </w:p>
        </w:tc>
        <w:tc>
          <w:tcPr>
            <w:tcW w:w="1063" w:type="dxa"/>
            <w:gridSpan w:val="2"/>
          </w:tcPr>
          <w:p w14:paraId="197D7059" w14:textId="77777777" w:rsidR="00425286" w:rsidRPr="00FE3AF3" w:rsidRDefault="00425286" w:rsidP="0075376C">
            <w:pPr>
              <w:pStyle w:val="DFARS"/>
              <w:rPr>
                <w:rFonts w:ascii="Arial" w:hAnsi="Arial"/>
                <w:sz w:val="20"/>
              </w:rPr>
            </w:pPr>
          </w:p>
        </w:tc>
        <w:tc>
          <w:tcPr>
            <w:tcW w:w="253" w:type="dxa"/>
            <w:gridSpan w:val="3"/>
          </w:tcPr>
          <w:p w14:paraId="7C4BCE43" w14:textId="77777777" w:rsidR="00425286" w:rsidRPr="00FE3AF3" w:rsidRDefault="00425286" w:rsidP="0075376C">
            <w:pPr>
              <w:pStyle w:val="DFARS"/>
              <w:rPr>
                <w:rFonts w:ascii="Arial" w:hAnsi="Arial"/>
                <w:b w:val="0"/>
                <w:sz w:val="20"/>
              </w:rPr>
            </w:pPr>
          </w:p>
        </w:tc>
        <w:tc>
          <w:tcPr>
            <w:tcW w:w="1430" w:type="dxa"/>
            <w:gridSpan w:val="2"/>
          </w:tcPr>
          <w:p w14:paraId="0334C892" w14:textId="77777777" w:rsidR="00425286" w:rsidRPr="00FE3AF3" w:rsidRDefault="00425286" w:rsidP="00920968"/>
        </w:tc>
      </w:tr>
      <w:tr w:rsidR="00425286" w:rsidRPr="00FE3AF3" w14:paraId="04FB3DA3" w14:textId="77777777">
        <w:tblPrEx>
          <w:tblBorders>
            <w:left w:val="single" w:sz="6" w:space="0" w:color="auto"/>
            <w:right w:val="single" w:sz="6" w:space="0" w:color="auto"/>
          </w:tblBorders>
        </w:tblPrEx>
        <w:trPr>
          <w:cantSplit/>
        </w:trPr>
        <w:tc>
          <w:tcPr>
            <w:tcW w:w="2790" w:type="dxa"/>
            <w:gridSpan w:val="2"/>
            <w:tcBorders>
              <w:bottom w:val="single" w:sz="6" w:space="0" w:color="auto"/>
            </w:tcBorders>
          </w:tcPr>
          <w:p w14:paraId="4AD2FBDF" w14:textId="77777777" w:rsidR="00425286" w:rsidRPr="00FE3AF3" w:rsidRDefault="00425286" w:rsidP="0075376C">
            <w:pPr>
              <w:pStyle w:val="DFARS"/>
              <w:spacing w:before="60" w:after="120"/>
              <w:rPr>
                <w:rFonts w:ascii="Arial" w:hAnsi="Arial"/>
                <w:sz w:val="20"/>
              </w:rPr>
            </w:pPr>
          </w:p>
        </w:tc>
        <w:tc>
          <w:tcPr>
            <w:tcW w:w="2880" w:type="dxa"/>
            <w:gridSpan w:val="9"/>
            <w:tcBorders>
              <w:bottom w:val="single" w:sz="6" w:space="0" w:color="auto"/>
            </w:tcBorders>
          </w:tcPr>
          <w:p w14:paraId="1B157653" w14:textId="77777777" w:rsidR="00425286" w:rsidRPr="00FE3AF3" w:rsidRDefault="00425286" w:rsidP="00920968">
            <w:r w:rsidRPr="00FE3AF3">
              <w:rPr>
                <w:sz w:val="20"/>
              </w:rPr>
              <w:t>Total Item Weighed Rating</w:t>
            </w:r>
          </w:p>
        </w:tc>
        <w:tc>
          <w:tcPr>
            <w:tcW w:w="1350" w:type="dxa"/>
            <w:gridSpan w:val="2"/>
            <w:tcBorders>
              <w:bottom w:val="single" w:sz="6" w:space="0" w:color="auto"/>
            </w:tcBorders>
          </w:tcPr>
          <w:p w14:paraId="21691F9A" w14:textId="77777777" w:rsidR="00425286" w:rsidRPr="00FE3AF3" w:rsidRDefault="00425286" w:rsidP="00920968">
            <w:r w:rsidRPr="00FE3AF3">
              <w:rPr>
                <w:sz w:val="20"/>
              </w:rPr>
              <w:t>__________</w:t>
            </w:r>
          </w:p>
        </w:tc>
        <w:tc>
          <w:tcPr>
            <w:tcW w:w="360" w:type="dxa"/>
            <w:gridSpan w:val="3"/>
            <w:tcBorders>
              <w:bottom w:val="single" w:sz="6" w:space="0" w:color="auto"/>
            </w:tcBorders>
          </w:tcPr>
          <w:p w14:paraId="58EE1B6E" w14:textId="77777777" w:rsidR="00425286" w:rsidRPr="00FE3AF3" w:rsidRDefault="00425286" w:rsidP="00920968">
            <w:r w:rsidRPr="00FE3AF3">
              <w:rPr>
                <w:sz w:val="20"/>
              </w:rPr>
              <w:t>x</w:t>
            </w:r>
          </w:p>
        </w:tc>
        <w:tc>
          <w:tcPr>
            <w:tcW w:w="1045" w:type="dxa"/>
            <w:gridSpan w:val="2"/>
            <w:tcBorders>
              <w:bottom w:val="single" w:sz="6" w:space="0" w:color="auto"/>
            </w:tcBorders>
          </w:tcPr>
          <w:p w14:paraId="419F258D" w14:textId="77777777" w:rsidR="00425286" w:rsidRPr="00FE3AF3" w:rsidRDefault="00425286" w:rsidP="00920968">
            <w:r w:rsidRPr="00FE3AF3">
              <w:rPr>
                <w:sz w:val="20"/>
              </w:rPr>
              <w:t>.40</w:t>
            </w:r>
          </w:p>
        </w:tc>
        <w:tc>
          <w:tcPr>
            <w:tcW w:w="305" w:type="dxa"/>
            <w:gridSpan w:val="3"/>
            <w:tcBorders>
              <w:bottom w:val="single" w:sz="6" w:space="0" w:color="auto"/>
            </w:tcBorders>
          </w:tcPr>
          <w:p w14:paraId="11705CDB" w14:textId="77777777" w:rsidR="00425286" w:rsidRPr="00FE3AF3" w:rsidRDefault="00425286" w:rsidP="00920968">
            <w:r w:rsidRPr="00FE3AF3">
              <w:rPr>
                <w:sz w:val="20"/>
              </w:rPr>
              <w:t>=</w:t>
            </w:r>
          </w:p>
        </w:tc>
        <w:tc>
          <w:tcPr>
            <w:tcW w:w="1350" w:type="dxa"/>
            <w:tcBorders>
              <w:bottom w:val="single" w:sz="6" w:space="0" w:color="auto"/>
            </w:tcBorders>
          </w:tcPr>
          <w:p w14:paraId="1EA6EDBD" w14:textId="77777777" w:rsidR="00425286" w:rsidRPr="00FE3AF3" w:rsidRDefault="00425286" w:rsidP="00920968">
            <w:r w:rsidRPr="00FE3AF3">
              <w:rPr>
                <w:sz w:val="20"/>
              </w:rPr>
              <w:t>__________</w:t>
            </w:r>
          </w:p>
        </w:tc>
      </w:tr>
    </w:tbl>
    <w:p w14:paraId="35783EC1" w14:textId="77777777" w:rsidR="00425286" w:rsidRPr="00FE3AF3" w:rsidRDefault="00425286" w:rsidP="0075376C">
      <w:pPr>
        <w:rPr>
          <w:strike/>
          <w:highlight w:val="yellow"/>
        </w:rPr>
      </w:pPr>
    </w:p>
    <w:tbl>
      <w:tblPr>
        <w:tblW w:w="0" w:type="auto"/>
        <w:tblInd w:w="18" w:type="dxa"/>
        <w:tblBorders>
          <w:left w:val="single" w:sz="6" w:space="0" w:color="auto"/>
          <w:right w:val="single" w:sz="6" w:space="0" w:color="auto"/>
        </w:tblBorders>
        <w:tblLayout w:type="fixed"/>
        <w:tblLook w:val="0000" w:firstRow="0" w:lastRow="0" w:firstColumn="0" w:lastColumn="0" w:noHBand="0" w:noVBand="0"/>
      </w:tblPr>
      <w:tblGrid>
        <w:gridCol w:w="1366"/>
        <w:gridCol w:w="1604"/>
        <w:gridCol w:w="180"/>
        <w:gridCol w:w="873"/>
        <w:gridCol w:w="351"/>
        <w:gridCol w:w="1040"/>
        <w:gridCol w:w="337"/>
        <w:gridCol w:w="28"/>
        <w:gridCol w:w="1270"/>
        <w:gridCol w:w="47"/>
        <w:gridCol w:w="299"/>
        <w:gridCol w:w="52"/>
        <w:gridCol w:w="987"/>
        <w:gridCol w:w="32"/>
        <w:gridCol w:w="215"/>
        <w:gridCol w:w="82"/>
        <w:gridCol w:w="1317"/>
      </w:tblGrid>
      <w:tr w:rsidR="00425286" w:rsidRPr="00FE3AF3" w14:paraId="0A63CFC4" w14:textId="77777777">
        <w:trPr>
          <w:cantSplit/>
        </w:trPr>
        <w:tc>
          <w:tcPr>
            <w:tcW w:w="1366" w:type="dxa"/>
            <w:tcBorders>
              <w:top w:val="single" w:sz="6" w:space="0" w:color="auto"/>
            </w:tcBorders>
          </w:tcPr>
          <w:p w14:paraId="610C2FDA" w14:textId="77777777" w:rsidR="00425286" w:rsidRPr="00FE3AF3" w:rsidRDefault="00425286" w:rsidP="00920968">
            <w:r w:rsidRPr="00FE3AF3">
              <w:rPr>
                <w:sz w:val="20"/>
              </w:rPr>
              <w:lastRenderedPageBreak/>
              <w:t>C</w:t>
            </w:r>
          </w:p>
        </w:tc>
        <w:tc>
          <w:tcPr>
            <w:tcW w:w="1604" w:type="dxa"/>
            <w:tcBorders>
              <w:top w:val="single" w:sz="6" w:space="0" w:color="auto"/>
            </w:tcBorders>
          </w:tcPr>
          <w:p w14:paraId="2B94B1D0" w14:textId="77777777" w:rsidR="00425286" w:rsidRPr="00FE3AF3" w:rsidRDefault="00425286" w:rsidP="00920968">
            <w:r w:rsidRPr="00FE3AF3">
              <w:rPr>
                <w:sz w:val="20"/>
              </w:rPr>
              <w:t>EFFECTIVE-NESS IN CONTROL-LING AND/OR REDUCING COSTS</w:t>
            </w:r>
          </w:p>
        </w:tc>
        <w:tc>
          <w:tcPr>
            <w:tcW w:w="1053" w:type="dxa"/>
            <w:gridSpan w:val="2"/>
            <w:tcBorders>
              <w:top w:val="single" w:sz="6" w:space="0" w:color="auto"/>
            </w:tcBorders>
          </w:tcPr>
          <w:p w14:paraId="02763675" w14:textId="77777777" w:rsidR="00425286" w:rsidRPr="00FE3AF3" w:rsidRDefault="00425286" w:rsidP="0075376C">
            <w:pPr>
              <w:pStyle w:val="DFARS"/>
              <w:keepNext/>
              <w:keepLines/>
              <w:spacing w:before="60"/>
              <w:rPr>
                <w:rFonts w:ascii="Arial" w:hAnsi="Arial"/>
                <w:sz w:val="20"/>
              </w:rPr>
            </w:pPr>
          </w:p>
        </w:tc>
        <w:tc>
          <w:tcPr>
            <w:tcW w:w="351" w:type="dxa"/>
            <w:tcBorders>
              <w:top w:val="single" w:sz="6" w:space="0" w:color="auto"/>
            </w:tcBorders>
          </w:tcPr>
          <w:p w14:paraId="0C13DB55" w14:textId="77777777" w:rsidR="00425286" w:rsidRPr="00FE3AF3" w:rsidRDefault="00425286" w:rsidP="0075376C">
            <w:pPr>
              <w:pStyle w:val="DFARS"/>
              <w:keepNext/>
              <w:keepLines/>
              <w:spacing w:before="60"/>
              <w:rPr>
                <w:rFonts w:ascii="Arial" w:hAnsi="Arial"/>
                <w:sz w:val="20"/>
              </w:rPr>
            </w:pPr>
          </w:p>
        </w:tc>
        <w:tc>
          <w:tcPr>
            <w:tcW w:w="1040" w:type="dxa"/>
            <w:tcBorders>
              <w:top w:val="single" w:sz="6" w:space="0" w:color="auto"/>
            </w:tcBorders>
          </w:tcPr>
          <w:p w14:paraId="70D20187" w14:textId="77777777" w:rsidR="00425286" w:rsidRPr="00FE3AF3" w:rsidRDefault="00425286" w:rsidP="0075376C">
            <w:pPr>
              <w:pStyle w:val="DFARS"/>
              <w:keepNext/>
              <w:keepLines/>
              <w:spacing w:before="60"/>
              <w:rPr>
                <w:rFonts w:ascii="Arial" w:hAnsi="Arial"/>
                <w:sz w:val="20"/>
              </w:rPr>
            </w:pPr>
          </w:p>
        </w:tc>
        <w:tc>
          <w:tcPr>
            <w:tcW w:w="337" w:type="dxa"/>
            <w:tcBorders>
              <w:top w:val="single" w:sz="6" w:space="0" w:color="auto"/>
            </w:tcBorders>
          </w:tcPr>
          <w:p w14:paraId="43918AF9" w14:textId="77777777" w:rsidR="00425286" w:rsidRPr="00FE3AF3" w:rsidRDefault="00425286" w:rsidP="0075376C">
            <w:pPr>
              <w:pStyle w:val="DFARS"/>
              <w:keepNext/>
              <w:keepLines/>
              <w:spacing w:before="60"/>
              <w:rPr>
                <w:rFonts w:ascii="Arial" w:hAnsi="Arial"/>
                <w:sz w:val="20"/>
              </w:rPr>
            </w:pPr>
          </w:p>
        </w:tc>
        <w:tc>
          <w:tcPr>
            <w:tcW w:w="1298" w:type="dxa"/>
            <w:gridSpan w:val="2"/>
            <w:tcBorders>
              <w:top w:val="single" w:sz="6" w:space="0" w:color="auto"/>
            </w:tcBorders>
          </w:tcPr>
          <w:p w14:paraId="418D5596" w14:textId="77777777" w:rsidR="00425286" w:rsidRPr="00FE3AF3" w:rsidRDefault="00425286" w:rsidP="0075376C">
            <w:pPr>
              <w:pStyle w:val="DFARS"/>
              <w:keepNext/>
              <w:keepLines/>
              <w:spacing w:before="60"/>
              <w:rPr>
                <w:rFonts w:ascii="Arial" w:hAnsi="Arial"/>
                <w:sz w:val="20"/>
              </w:rPr>
            </w:pPr>
          </w:p>
        </w:tc>
        <w:tc>
          <w:tcPr>
            <w:tcW w:w="346" w:type="dxa"/>
            <w:gridSpan w:val="2"/>
            <w:tcBorders>
              <w:top w:val="single" w:sz="6" w:space="0" w:color="auto"/>
            </w:tcBorders>
          </w:tcPr>
          <w:p w14:paraId="6619413E" w14:textId="77777777" w:rsidR="00425286" w:rsidRPr="00FE3AF3" w:rsidRDefault="00425286" w:rsidP="0075376C">
            <w:pPr>
              <w:pStyle w:val="DFARS"/>
              <w:keepNext/>
              <w:keepLines/>
              <w:spacing w:before="60"/>
              <w:rPr>
                <w:rFonts w:ascii="Arial" w:hAnsi="Arial"/>
                <w:strike/>
                <w:sz w:val="20"/>
                <w:highlight w:val="yellow"/>
              </w:rPr>
            </w:pPr>
          </w:p>
        </w:tc>
        <w:tc>
          <w:tcPr>
            <w:tcW w:w="1039" w:type="dxa"/>
            <w:gridSpan w:val="2"/>
            <w:tcBorders>
              <w:top w:val="single" w:sz="6" w:space="0" w:color="auto"/>
            </w:tcBorders>
          </w:tcPr>
          <w:p w14:paraId="71E8DAFC" w14:textId="77777777" w:rsidR="00425286" w:rsidRPr="00FE3AF3" w:rsidRDefault="00425286" w:rsidP="0075376C">
            <w:pPr>
              <w:pStyle w:val="DFARS"/>
              <w:keepNext/>
              <w:keepLines/>
              <w:spacing w:before="60"/>
              <w:rPr>
                <w:rFonts w:ascii="Arial" w:hAnsi="Arial"/>
                <w:strike/>
                <w:sz w:val="20"/>
                <w:highlight w:val="yellow"/>
              </w:rPr>
            </w:pPr>
          </w:p>
        </w:tc>
        <w:tc>
          <w:tcPr>
            <w:tcW w:w="247" w:type="dxa"/>
            <w:gridSpan w:val="2"/>
            <w:tcBorders>
              <w:top w:val="single" w:sz="6" w:space="0" w:color="auto"/>
            </w:tcBorders>
          </w:tcPr>
          <w:p w14:paraId="0D25F23B" w14:textId="77777777" w:rsidR="00425286" w:rsidRPr="00FE3AF3" w:rsidRDefault="00425286" w:rsidP="0075376C">
            <w:pPr>
              <w:pStyle w:val="DFARS"/>
              <w:keepNext/>
              <w:keepLines/>
              <w:spacing w:before="60"/>
              <w:rPr>
                <w:rFonts w:ascii="Arial" w:hAnsi="Arial"/>
                <w:b w:val="0"/>
                <w:strike/>
                <w:sz w:val="20"/>
                <w:highlight w:val="yellow"/>
              </w:rPr>
            </w:pPr>
          </w:p>
        </w:tc>
        <w:tc>
          <w:tcPr>
            <w:tcW w:w="1397" w:type="dxa"/>
            <w:gridSpan w:val="2"/>
            <w:tcBorders>
              <w:top w:val="single" w:sz="6" w:space="0" w:color="auto"/>
            </w:tcBorders>
          </w:tcPr>
          <w:p w14:paraId="03CA7E81" w14:textId="77777777" w:rsidR="00425286" w:rsidRPr="00FE3AF3" w:rsidRDefault="00425286" w:rsidP="00920968">
            <w:pPr>
              <w:rPr>
                <w:highlight w:val="yellow"/>
              </w:rPr>
            </w:pPr>
          </w:p>
        </w:tc>
      </w:tr>
      <w:tr w:rsidR="00425286" w:rsidRPr="00FE3AF3" w14:paraId="1B7AABAC" w14:textId="77777777">
        <w:trPr>
          <w:cantSplit/>
        </w:trPr>
        <w:tc>
          <w:tcPr>
            <w:tcW w:w="1366" w:type="dxa"/>
          </w:tcPr>
          <w:p w14:paraId="32264ED2" w14:textId="77777777" w:rsidR="00425286" w:rsidRPr="00FE3AF3" w:rsidRDefault="00425286" w:rsidP="0075376C">
            <w:pPr>
              <w:pStyle w:val="DFARS"/>
              <w:jc w:val="center"/>
              <w:rPr>
                <w:rFonts w:ascii="Arial" w:hAnsi="Arial"/>
                <w:sz w:val="20"/>
              </w:rPr>
            </w:pPr>
          </w:p>
        </w:tc>
        <w:tc>
          <w:tcPr>
            <w:tcW w:w="1604" w:type="dxa"/>
          </w:tcPr>
          <w:p w14:paraId="02AAA61C" w14:textId="77777777" w:rsidR="00425286" w:rsidRPr="00FE3AF3" w:rsidRDefault="00425286" w:rsidP="00920968">
            <w:r w:rsidRPr="00FE3AF3">
              <w:rPr>
                <w:sz w:val="20"/>
              </w:rPr>
              <w:t>C-1 Utilization of Personnel</w:t>
            </w:r>
          </w:p>
        </w:tc>
        <w:tc>
          <w:tcPr>
            <w:tcW w:w="1053" w:type="dxa"/>
            <w:gridSpan w:val="2"/>
          </w:tcPr>
          <w:p w14:paraId="67B32F26" w14:textId="77777777" w:rsidR="00425286" w:rsidRDefault="00425286" w:rsidP="00920968"/>
          <w:p w14:paraId="6024C0BD" w14:textId="77777777" w:rsidR="00425286" w:rsidRPr="00FE3AF3" w:rsidRDefault="00425286" w:rsidP="00920968">
            <w:r>
              <w:br/>
            </w:r>
            <w:r w:rsidRPr="00FE3AF3">
              <w:t>_______</w:t>
            </w:r>
          </w:p>
        </w:tc>
        <w:tc>
          <w:tcPr>
            <w:tcW w:w="351" w:type="dxa"/>
          </w:tcPr>
          <w:p w14:paraId="7D02EDC5" w14:textId="77777777" w:rsidR="00425286" w:rsidRDefault="00425286" w:rsidP="00920968"/>
          <w:p w14:paraId="746899F8" w14:textId="77777777" w:rsidR="00425286" w:rsidRPr="00FE3AF3" w:rsidRDefault="00425286" w:rsidP="00920968">
            <w:r>
              <w:br/>
            </w:r>
            <w:r w:rsidRPr="00FE3AF3">
              <w:t>x</w:t>
            </w:r>
          </w:p>
        </w:tc>
        <w:tc>
          <w:tcPr>
            <w:tcW w:w="1040" w:type="dxa"/>
          </w:tcPr>
          <w:p w14:paraId="6BE7C596" w14:textId="77777777" w:rsidR="00425286" w:rsidRDefault="00425286" w:rsidP="00920968"/>
          <w:p w14:paraId="35940D7E" w14:textId="77777777" w:rsidR="00425286" w:rsidRPr="00FE3AF3" w:rsidRDefault="00425286" w:rsidP="00920968">
            <w:r>
              <w:br/>
            </w:r>
            <w:r w:rsidRPr="00FE3AF3">
              <w:t>.30</w:t>
            </w:r>
          </w:p>
        </w:tc>
        <w:tc>
          <w:tcPr>
            <w:tcW w:w="337" w:type="dxa"/>
          </w:tcPr>
          <w:p w14:paraId="0BD67A4F" w14:textId="77777777" w:rsidR="00425286" w:rsidRDefault="00425286" w:rsidP="00920968"/>
          <w:p w14:paraId="3E1EF2E1" w14:textId="77777777" w:rsidR="00425286" w:rsidRPr="00FE3AF3" w:rsidRDefault="00425286" w:rsidP="00920968">
            <w:r>
              <w:br/>
            </w:r>
            <w:r w:rsidRPr="00FE3AF3">
              <w:t>=</w:t>
            </w:r>
          </w:p>
        </w:tc>
        <w:tc>
          <w:tcPr>
            <w:tcW w:w="1298" w:type="dxa"/>
            <w:gridSpan w:val="2"/>
          </w:tcPr>
          <w:p w14:paraId="445874D5" w14:textId="77777777" w:rsidR="00425286" w:rsidRDefault="00425286" w:rsidP="00920968"/>
          <w:p w14:paraId="1086FA14" w14:textId="77777777" w:rsidR="00425286" w:rsidRPr="00FE3AF3" w:rsidRDefault="00425286" w:rsidP="00920968">
            <w:r>
              <w:br/>
            </w:r>
            <w:r w:rsidRPr="00FE3AF3">
              <w:t>__________</w:t>
            </w:r>
          </w:p>
        </w:tc>
        <w:tc>
          <w:tcPr>
            <w:tcW w:w="346" w:type="dxa"/>
            <w:gridSpan w:val="2"/>
          </w:tcPr>
          <w:p w14:paraId="25349DEB" w14:textId="77777777" w:rsidR="00425286" w:rsidRPr="00FE3AF3" w:rsidRDefault="00425286" w:rsidP="0075376C">
            <w:pPr>
              <w:pStyle w:val="DFARS"/>
              <w:rPr>
                <w:rFonts w:ascii="Arial" w:hAnsi="Arial"/>
                <w:strike/>
                <w:sz w:val="20"/>
                <w:highlight w:val="yellow"/>
              </w:rPr>
            </w:pPr>
          </w:p>
        </w:tc>
        <w:tc>
          <w:tcPr>
            <w:tcW w:w="1039" w:type="dxa"/>
            <w:gridSpan w:val="2"/>
          </w:tcPr>
          <w:p w14:paraId="6E9B133D" w14:textId="77777777" w:rsidR="00425286" w:rsidRPr="00FE3AF3" w:rsidRDefault="00425286" w:rsidP="0075376C">
            <w:pPr>
              <w:pStyle w:val="DFARS"/>
              <w:rPr>
                <w:rFonts w:ascii="Arial" w:hAnsi="Arial"/>
                <w:strike/>
                <w:sz w:val="20"/>
                <w:highlight w:val="yellow"/>
              </w:rPr>
            </w:pPr>
          </w:p>
        </w:tc>
        <w:tc>
          <w:tcPr>
            <w:tcW w:w="247" w:type="dxa"/>
            <w:gridSpan w:val="2"/>
          </w:tcPr>
          <w:p w14:paraId="4E3E0751" w14:textId="77777777" w:rsidR="00425286" w:rsidRPr="00FE3AF3" w:rsidRDefault="00425286" w:rsidP="0075376C">
            <w:pPr>
              <w:pStyle w:val="DFARS"/>
              <w:rPr>
                <w:rFonts w:ascii="Arial" w:hAnsi="Arial"/>
                <w:b w:val="0"/>
                <w:strike/>
                <w:sz w:val="20"/>
                <w:highlight w:val="yellow"/>
              </w:rPr>
            </w:pPr>
          </w:p>
        </w:tc>
        <w:tc>
          <w:tcPr>
            <w:tcW w:w="1397" w:type="dxa"/>
            <w:gridSpan w:val="2"/>
          </w:tcPr>
          <w:p w14:paraId="3CAB8784" w14:textId="77777777" w:rsidR="00425286" w:rsidRPr="00FE3AF3" w:rsidRDefault="00425286" w:rsidP="00920968">
            <w:pPr>
              <w:rPr>
                <w:highlight w:val="yellow"/>
              </w:rPr>
            </w:pPr>
          </w:p>
        </w:tc>
      </w:tr>
      <w:tr w:rsidR="00425286" w:rsidRPr="00FE3AF3" w14:paraId="1B447839" w14:textId="77777777">
        <w:trPr>
          <w:cantSplit/>
        </w:trPr>
        <w:tc>
          <w:tcPr>
            <w:tcW w:w="1366" w:type="dxa"/>
          </w:tcPr>
          <w:p w14:paraId="4C189B5B" w14:textId="77777777" w:rsidR="00425286" w:rsidRPr="00FE3AF3" w:rsidRDefault="00425286" w:rsidP="0075376C">
            <w:pPr>
              <w:pStyle w:val="DFARS"/>
              <w:jc w:val="center"/>
              <w:rPr>
                <w:rFonts w:ascii="Arial" w:hAnsi="Arial"/>
                <w:strike/>
                <w:sz w:val="20"/>
                <w:highlight w:val="yellow"/>
              </w:rPr>
            </w:pPr>
          </w:p>
        </w:tc>
        <w:tc>
          <w:tcPr>
            <w:tcW w:w="1604" w:type="dxa"/>
          </w:tcPr>
          <w:p w14:paraId="670CE2E6" w14:textId="77777777" w:rsidR="00425286" w:rsidRPr="00FE3AF3" w:rsidRDefault="00425286" w:rsidP="00920968">
            <w:r w:rsidRPr="00FE3AF3">
              <w:rPr>
                <w:sz w:val="20"/>
              </w:rPr>
              <w:t>C-2 Control of all Direct Charges Other than Labor</w:t>
            </w:r>
          </w:p>
        </w:tc>
        <w:tc>
          <w:tcPr>
            <w:tcW w:w="1053" w:type="dxa"/>
            <w:gridSpan w:val="2"/>
          </w:tcPr>
          <w:p w14:paraId="74698085" w14:textId="77777777" w:rsidR="00425286" w:rsidRDefault="00425286" w:rsidP="00920968"/>
          <w:p w14:paraId="0E746EE6" w14:textId="77777777" w:rsidR="00425286" w:rsidRPr="00FE3AF3" w:rsidRDefault="00425286" w:rsidP="00920968">
            <w:r>
              <w:br/>
            </w:r>
            <w:r w:rsidRPr="00FE3AF3">
              <w:t>_______</w:t>
            </w:r>
          </w:p>
        </w:tc>
        <w:tc>
          <w:tcPr>
            <w:tcW w:w="351" w:type="dxa"/>
          </w:tcPr>
          <w:p w14:paraId="23CF1558" w14:textId="77777777" w:rsidR="00425286" w:rsidRDefault="00425286" w:rsidP="00920968"/>
          <w:p w14:paraId="5A7295C0" w14:textId="77777777" w:rsidR="00425286" w:rsidRPr="00FE3AF3" w:rsidRDefault="00425286" w:rsidP="00920968">
            <w:r>
              <w:br/>
            </w:r>
            <w:r w:rsidRPr="00FE3AF3">
              <w:t>x</w:t>
            </w:r>
          </w:p>
        </w:tc>
        <w:tc>
          <w:tcPr>
            <w:tcW w:w="1040" w:type="dxa"/>
          </w:tcPr>
          <w:p w14:paraId="78E7DD35" w14:textId="77777777" w:rsidR="00425286" w:rsidRDefault="00425286" w:rsidP="00920968"/>
          <w:p w14:paraId="721E411F" w14:textId="77777777" w:rsidR="00425286" w:rsidRPr="00FE3AF3" w:rsidRDefault="00425286" w:rsidP="00920968">
            <w:r>
              <w:br/>
            </w:r>
            <w:r w:rsidRPr="00FE3AF3">
              <w:t>.30</w:t>
            </w:r>
          </w:p>
        </w:tc>
        <w:tc>
          <w:tcPr>
            <w:tcW w:w="337" w:type="dxa"/>
          </w:tcPr>
          <w:p w14:paraId="0DB540AB" w14:textId="77777777" w:rsidR="00425286" w:rsidRDefault="00425286" w:rsidP="00920968"/>
          <w:p w14:paraId="7D7EA414" w14:textId="77777777" w:rsidR="00425286" w:rsidRPr="00FE3AF3" w:rsidRDefault="00425286" w:rsidP="00920968">
            <w:r>
              <w:br/>
            </w:r>
            <w:r w:rsidRPr="00FE3AF3">
              <w:t>=</w:t>
            </w:r>
          </w:p>
        </w:tc>
        <w:tc>
          <w:tcPr>
            <w:tcW w:w="1298" w:type="dxa"/>
            <w:gridSpan w:val="2"/>
          </w:tcPr>
          <w:p w14:paraId="7E6989CC" w14:textId="77777777" w:rsidR="00425286" w:rsidRDefault="00425286" w:rsidP="00920968"/>
          <w:p w14:paraId="31D8651A" w14:textId="77777777" w:rsidR="00425286" w:rsidRPr="00FE3AF3" w:rsidRDefault="00425286" w:rsidP="00920968">
            <w:r>
              <w:br/>
            </w:r>
            <w:r w:rsidRPr="00FE3AF3">
              <w:t>__________</w:t>
            </w:r>
          </w:p>
        </w:tc>
        <w:tc>
          <w:tcPr>
            <w:tcW w:w="346" w:type="dxa"/>
            <w:gridSpan w:val="2"/>
          </w:tcPr>
          <w:p w14:paraId="55AB5203" w14:textId="77777777" w:rsidR="00425286" w:rsidRPr="00FE3AF3" w:rsidRDefault="00425286" w:rsidP="0075376C">
            <w:pPr>
              <w:pStyle w:val="DFARS"/>
              <w:rPr>
                <w:rFonts w:ascii="Arial" w:hAnsi="Arial"/>
                <w:sz w:val="20"/>
              </w:rPr>
            </w:pPr>
          </w:p>
        </w:tc>
        <w:tc>
          <w:tcPr>
            <w:tcW w:w="1039" w:type="dxa"/>
            <w:gridSpan w:val="2"/>
          </w:tcPr>
          <w:p w14:paraId="28762671" w14:textId="77777777" w:rsidR="00425286" w:rsidRPr="00FE3AF3" w:rsidRDefault="00425286" w:rsidP="0075376C">
            <w:pPr>
              <w:pStyle w:val="DFARS"/>
              <w:rPr>
                <w:rFonts w:ascii="Arial" w:hAnsi="Arial"/>
                <w:sz w:val="20"/>
              </w:rPr>
            </w:pPr>
          </w:p>
        </w:tc>
        <w:tc>
          <w:tcPr>
            <w:tcW w:w="247" w:type="dxa"/>
            <w:gridSpan w:val="2"/>
          </w:tcPr>
          <w:p w14:paraId="57AD7F5C" w14:textId="77777777" w:rsidR="00425286" w:rsidRPr="00FE3AF3" w:rsidRDefault="00425286" w:rsidP="0075376C">
            <w:pPr>
              <w:pStyle w:val="DFARS"/>
              <w:rPr>
                <w:rFonts w:ascii="Arial" w:hAnsi="Arial"/>
                <w:b w:val="0"/>
                <w:sz w:val="20"/>
              </w:rPr>
            </w:pPr>
          </w:p>
        </w:tc>
        <w:tc>
          <w:tcPr>
            <w:tcW w:w="1397" w:type="dxa"/>
            <w:gridSpan w:val="2"/>
          </w:tcPr>
          <w:p w14:paraId="35FBE31C" w14:textId="77777777" w:rsidR="00425286" w:rsidRPr="00FE3AF3" w:rsidRDefault="00425286" w:rsidP="00920968"/>
        </w:tc>
      </w:tr>
      <w:tr w:rsidR="00425286" w:rsidRPr="00FE3AF3" w14:paraId="7F683261" w14:textId="77777777">
        <w:trPr>
          <w:cantSplit/>
        </w:trPr>
        <w:tc>
          <w:tcPr>
            <w:tcW w:w="1366" w:type="dxa"/>
          </w:tcPr>
          <w:p w14:paraId="2CC4EE63" w14:textId="77777777" w:rsidR="00425286" w:rsidRPr="00FE3AF3" w:rsidRDefault="00425286" w:rsidP="0075376C">
            <w:pPr>
              <w:pStyle w:val="DFARS"/>
              <w:jc w:val="center"/>
              <w:rPr>
                <w:rFonts w:ascii="Arial" w:hAnsi="Arial"/>
                <w:strike/>
                <w:sz w:val="20"/>
                <w:highlight w:val="yellow"/>
              </w:rPr>
            </w:pPr>
          </w:p>
        </w:tc>
        <w:tc>
          <w:tcPr>
            <w:tcW w:w="1604" w:type="dxa"/>
          </w:tcPr>
          <w:p w14:paraId="19FA10FA" w14:textId="77777777" w:rsidR="00425286" w:rsidRPr="00FE3AF3" w:rsidRDefault="00425286" w:rsidP="00920968">
            <w:r w:rsidRPr="00FE3AF3">
              <w:rPr>
                <w:sz w:val="20"/>
              </w:rPr>
              <w:t>C-3 Performance to Cost Estimate</w:t>
            </w:r>
          </w:p>
        </w:tc>
        <w:tc>
          <w:tcPr>
            <w:tcW w:w="1053" w:type="dxa"/>
            <w:gridSpan w:val="2"/>
          </w:tcPr>
          <w:p w14:paraId="296A0576" w14:textId="77777777" w:rsidR="00425286" w:rsidRDefault="00425286" w:rsidP="00920968"/>
          <w:p w14:paraId="63605403" w14:textId="77777777" w:rsidR="00425286" w:rsidRPr="00FE3AF3" w:rsidRDefault="00425286" w:rsidP="00920968">
            <w:r>
              <w:br/>
            </w:r>
            <w:r w:rsidRPr="00FE3AF3">
              <w:t>_______</w:t>
            </w:r>
          </w:p>
        </w:tc>
        <w:tc>
          <w:tcPr>
            <w:tcW w:w="351" w:type="dxa"/>
          </w:tcPr>
          <w:p w14:paraId="0183D042" w14:textId="77777777" w:rsidR="00425286" w:rsidRDefault="00425286" w:rsidP="00920968"/>
          <w:p w14:paraId="38D92D4C" w14:textId="77777777" w:rsidR="00425286" w:rsidRPr="00FE3AF3" w:rsidRDefault="00425286" w:rsidP="00920968">
            <w:r>
              <w:br/>
            </w:r>
            <w:r w:rsidRPr="00FE3AF3">
              <w:t>x</w:t>
            </w:r>
          </w:p>
        </w:tc>
        <w:tc>
          <w:tcPr>
            <w:tcW w:w="1040" w:type="dxa"/>
          </w:tcPr>
          <w:p w14:paraId="7EAB94B9" w14:textId="77777777" w:rsidR="00425286" w:rsidRDefault="00425286" w:rsidP="00920968"/>
          <w:p w14:paraId="177579E4" w14:textId="77777777" w:rsidR="00425286" w:rsidRPr="00FE3AF3" w:rsidRDefault="00425286" w:rsidP="00920968">
            <w:r>
              <w:br/>
            </w:r>
            <w:r w:rsidRPr="00FE3AF3">
              <w:t>.40</w:t>
            </w:r>
          </w:p>
        </w:tc>
        <w:tc>
          <w:tcPr>
            <w:tcW w:w="337" w:type="dxa"/>
          </w:tcPr>
          <w:p w14:paraId="10D1DCE6" w14:textId="77777777" w:rsidR="00425286" w:rsidRDefault="00425286" w:rsidP="00920968"/>
          <w:p w14:paraId="5E141874" w14:textId="77777777" w:rsidR="00425286" w:rsidRPr="00FE3AF3" w:rsidRDefault="00425286" w:rsidP="00920968">
            <w:r>
              <w:br/>
            </w:r>
            <w:r w:rsidRPr="00FE3AF3">
              <w:t>=</w:t>
            </w:r>
          </w:p>
        </w:tc>
        <w:tc>
          <w:tcPr>
            <w:tcW w:w="1298" w:type="dxa"/>
            <w:gridSpan w:val="2"/>
          </w:tcPr>
          <w:p w14:paraId="43FAFD1F" w14:textId="77777777" w:rsidR="00425286" w:rsidRDefault="00425286" w:rsidP="00920968"/>
          <w:p w14:paraId="0ECD6615" w14:textId="77777777" w:rsidR="00425286" w:rsidRPr="00FE3AF3" w:rsidRDefault="00425286" w:rsidP="00920968">
            <w:r>
              <w:br/>
            </w:r>
            <w:r w:rsidRPr="00FE3AF3">
              <w:t>__________</w:t>
            </w:r>
          </w:p>
        </w:tc>
        <w:tc>
          <w:tcPr>
            <w:tcW w:w="346" w:type="dxa"/>
            <w:gridSpan w:val="2"/>
          </w:tcPr>
          <w:p w14:paraId="78D1E29B" w14:textId="77777777" w:rsidR="00425286" w:rsidRPr="00FE3AF3" w:rsidRDefault="00425286" w:rsidP="0075376C">
            <w:pPr>
              <w:pStyle w:val="DFARS"/>
              <w:rPr>
                <w:rFonts w:ascii="Arial" w:hAnsi="Arial"/>
                <w:sz w:val="20"/>
              </w:rPr>
            </w:pPr>
          </w:p>
        </w:tc>
        <w:tc>
          <w:tcPr>
            <w:tcW w:w="1039" w:type="dxa"/>
            <w:gridSpan w:val="2"/>
          </w:tcPr>
          <w:p w14:paraId="26EF503E" w14:textId="77777777" w:rsidR="00425286" w:rsidRPr="00FE3AF3" w:rsidRDefault="00425286" w:rsidP="0075376C">
            <w:pPr>
              <w:pStyle w:val="DFARS"/>
              <w:rPr>
                <w:rFonts w:ascii="Arial" w:hAnsi="Arial"/>
                <w:sz w:val="20"/>
              </w:rPr>
            </w:pPr>
          </w:p>
        </w:tc>
        <w:tc>
          <w:tcPr>
            <w:tcW w:w="247" w:type="dxa"/>
            <w:gridSpan w:val="2"/>
          </w:tcPr>
          <w:p w14:paraId="45E61EC8" w14:textId="77777777" w:rsidR="00425286" w:rsidRPr="00FE3AF3" w:rsidRDefault="00425286" w:rsidP="0075376C">
            <w:pPr>
              <w:pStyle w:val="DFARS"/>
              <w:rPr>
                <w:rFonts w:ascii="Arial" w:hAnsi="Arial"/>
                <w:b w:val="0"/>
                <w:sz w:val="20"/>
              </w:rPr>
            </w:pPr>
          </w:p>
        </w:tc>
        <w:tc>
          <w:tcPr>
            <w:tcW w:w="1397" w:type="dxa"/>
            <w:gridSpan w:val="2"/>
          </w:tcPr>
          <w:p w14:paraId="2837CAB4" w14:textId="77777777" w:rsidR="00425286" w:rsidRPr="00FE3AF3" w:rsidRDefault="00425286" w:rsidP="00920968"/>
        </w:tc>
      </w:tr>
      <w:tr w:rsidR="00425286" w:rsidRPr="00FE3AF3" w14:paraId="0436EA37" w14:textId="77777777">
        <w:trPr>
          <w:cantSplit/>
        </w:trPr>
        <w:tc>
          <w:tcPr>
            <w:tcW w:w="2970" w:type="dxa"/>
            <w:gridSpan w:val="2"/>
            <w:tcBorders>
              <w:bottom w:val="single" w:sz="6" w:space="0" w:color="auto"/>
            </w:tcBorders>
          </w:tcPr>
          <w:p w14:paraId="5B61AF05" w14:textId="77777777" w:rsidR="00425286" w:rsidRPr="00FE3AF3" w:rsidRDefault="00425286" w:rsidP="0075376C">
            <w:pPr>
              <w:pStyle w:val="DFARS"/>
              <w:spacing w:before="60" w:after="60"/>
              <w:rPr>
                <w:rFonts w:ascii="Arial" w:hAnsi="Arial"/>
                <w:sz w:val="20"/>
              </w:rPr>
            </w:pPr>
          </w:p>
        </w:tc>
        <w:tc>
          <w:tcPr>
            <w:tcW w:w="2809" w:type="dxa"/>
            <w:gridSpan w:val="6"/>
            <w:tcBorders>
              <w:bottom w:val="single" w:sz="6" w:space="0" w:color="auto"/>
            </w:tcBorders>
          </w:tcPr>
          <w:p w14:paraId="4D842F5A" w14:textId="77777777" w:rsidR="00425286" w:rsidRPr="00FE3AF3" w:rsidRDefault="00425286" w:rsidP="00920968">
            <w:r w:rsidRPr="00FE3AF3">
              <w:rPr>
                <w:sz w:val="20"/>
              </w:rPr>
              <w:t>Total Item Weighed Rating</w:t>
            </w:r>
          </w:p>
        </w:tc>
        <w:tc>
          <w:tcPr>
            <w:tcW w:w="1317" w:type="dxa"/>
            <w:gridSpan w:val="2"/>
            <w:tcBorders>
              <w:bottom w:val="single" w:sz="6" w:space="0" w:color="auto"/>
            </w:tcBorders>
          </w:tcPr>
          <w:p w14:paraId="6319760C" w14:textId="77777777" w:rsidR="00425286" w:rsidRPr="00FE3AF3" w:rsidRDefault="00425286" w:rsidP="00920968">
            <w:r w:rsidRPr="00FE3AF3">
              <w:rPr>
                <w:sz w:val="20"/>
              </w:rPr>
              <w:t>__________</w:t>
            </w:r>
          </w:p>
        </w:tc>
        <w:tc>
          <w:tcPr>
            <w:tcW w:w="351" w:type="dxa"/>
            <w:gridSpan w:val="2"/>
            <w:tcBorders>
              <w:bottom w:val="single" w:sz="6" w:space="0" w:color="auto"/>
            </w:tcBorders>
          </w:tcPr>
          <w:p w14:paraId="62D288D8" w14:textId="77777777" w:rsidR="00425286" w:rsidRPr="00FE3AF3" w:rsidRDefault="00425286" w:rsidP="00920968">
            <w:r w:rsidRPr="00FE3AF3">
              <w:rPr>
                <w:sz w:val="20"/>
              </w:rPr>
              <w:t>x</w:t>
            </w:r>
          </w:p>
        </w:tc>
        <w:tc>
          <w:tcPr>
            <w:tcW w:w="1019" w:type="dxa"/>
            <w:gridSpan w:val="2"/>
            <w:tcBorders>
              <w:bottom w:val="single" w:sz="6" w:space="0" w:color="auto"/>
            </w:tcBorders>
          </w:tcPr>
          <w:p w14:paraId="41D8A22E" w14:textId="77777777" w:rsidR="00425286" w:rsidRPr="00FE3AF3" w:rsidRDefault="00425286" w:rsidP="00920968">
            <w:r w:rsidRPr="00FE3AF3">
              <w:rPr>
                <w:sz w:val="20"/>
              </w:rPr>
              <w:t>.30</w:t>
            </w:r>
          </w:p>
        </w:tc>
        <w:tc>
          <w:tcPr>
            <w:tcW w:w="297" w:type="dxa"/>
            <w:gridSpan w:val="2"/>
            <w:tcBorders>
              <w:bottom w:val="single" w:sz="6" w:space="0" w:color="auto"/>
            </w:tcBorders>
          </w:tcPr>
          <w:p w14:paraId="2ED2A524" w14:textId="77777777" w:rsidR="00425286" w:rsidRPr="00FE3AF3" w:rsidRDefault="00425286" w:rsidP="00920968">
            <w:r w:rsidRPr="00FE3AF3">
              <w:rPr>
                <w:sz w:val="20"/>
              </w:rPr>
              <w:t>=</w:t>
            </w:r>
          </w:p>
        </w:tc>
        <w:tc>
          <w:tcPr>
            <w:tcW w:w="1317" w:type="dxa"/>
            <w:tcBorders>
              <w:bottom w:val="single" w:sz="6" w:space="0" w:color="auto"/>
            </w:tcBorders>
          </w:tcPr>
          <w:p w14:paraId="6216152A" w14:textId="77777777" w:rsidR="00425286" w:rsidRPr="00FE3AF3" w:rsidRDefault="00425286" w:rsidP="00920968">
            <w:r w:rsidRPr="00FE3AF3">
              <w:rPr>
                <w:sz w:val="20"/>
              </w:rPr>
              <w:t>__________</w:t>
            </w:r>
          </w:p>
        </w:tc>
      </w:tr>
      <w:tr w:rsidR="00425286" w:rsidRPr="00FE3AF3" w14:paraId="5E4CA3D2" w14:textId="77777777">
        <w:trPr>
          <w:cantSplit/>
        </w:trPr>
        <w:tc>
          <w:tcPr>
            <w:tcW w:w="3150" w:type="dxa"/>
            <w:gridSpan w:val="3"/>
          </w:tcPr>
          <w:p w14:paraId="49C4006B" w14:textId="77777777" w:rsidR="00425286" w:rsidRPr="00FE3AF3" w:rsidRDefault="00425286" w:rsidP="0075376C">
            <w:pPr>
              <w:pStyle w:val="DFARS"/>
              <w:rPr>
                <w:rFonts w:ascii="Arial" w:hAnsi="Arial"/>
                <w:sz w:val="20"/>
              </w:rPr>
            </w:pPr>
          </w:p>
        </w:tc>
        <w:tc>
          <w:tcPr>
            <w:tcW w:w="6930" w:type="dxa"/>
            <w:gridSpan w:val="14"/>
          </w:tcPr>
          <w:p w14:paraId="7F50EACD" w14:textId="77777777" w:rsidR="00425286" w:rsidRPr="00FE3AF3" w:rsidRDefault="00425286" w:rsidP="00920968">
            <w:r w:rsidRPr="00FE3AF3">
              <w:rPr>
                <w:sz w:val="20"/>
              </w:rPr>
              <w:t>TOTAL WEIGHT RATING _________________________________</w:t>
            </w:r>
          </w:p>
        </w:tc>
      </w:tr>
      <w:tr w:rsidR="00425286" w:rsidRPr="00FE3AF3" w14:paraId="06BC4EEC" w14:textId="77777777">
        <w:trPr>
          <w:cantSplit/>
        </w:trPr>
        <w:tc>
          <w:tcPr>
            <w:tcW w:w="3150" w:type="dxa"/>
            <w:gridSpan w:val="3"/>
          </w:tcPr>
          <w:p w14:paraId="3D35981D" w14:textId="77777777" w:rsidR="00425286" w:rsidRPr="00FE3AF3" w:rsidRDefault="00425286" w:rsidP="0075376C">
            <w:pPr>
              <w:pStyle w:val="DFARS"/>
              <w:spacing w:before="60" w:after="60"/>
              <w:rPr>
                <w:rFonts w:ascii="Arial" w:hAnsi="Arial"/>
                <w:sz w:val="20"/>
              </w:rPr>
            </w:pPr>
          </w:p>
        </w:tc>
        <w:tc>
          <w:tcPr>
            <w:tcW w:w="6930" w:type="dxa"/>
            <w:gridSpan w:val="14"/>
          </w:tcPr>
          <w:p w14:paraId="4C196ECB" w14:textId="77777777" w:rsidR="00425286" w:rsidRPr="00FE3AF3" w:rsidRDefault="00425286" w:rsidP="00920968">
            <w:r w:rsidRPr="00FE3AF3">
              <w:rPr>
                <w:sz w:val="20"/>
              </w:rPr>
              <w:t>Rated by:  _________________________________________________</w:t>
            </w:r>
          </w:p>
        </w:tc>
      </w:tr>
      <w:tr w:rsidR="00425286" w:rsidRPr="00FE3AF3" w14:paraId="7DF269D7" w14:textId="77777777">
        <w:trPr>
          <w:cantSplit/>
        </w:trPr>
        <w:tc>
          <w:tcPr>
            <w:tcW w:w="3150" w:type="dxa"/>
            <w:gridSpan w:val="3"/>
          </w:tcPr>
          <w:p w14:paraId="012C59CD" w14:textId="77777777" w:rsidR="00425286" w:rsidRPr="00FE3AF3" w:rsidRDefault="00425286" w:rsidP="0075376C">
            <w:pPr>
              <w:pStyle w:val="DFARS"/>
              <w:spacing w:before="60" w:after="60"/>
              <w:rPr>
                <w:rFonts w:ascii="Arial" w:hAnsi="Arial"/>
                <w:sz w:val="20"/>
              </w:rPr>
            </w:pPr>
          </w:p>
        </w:tc>
        <w:tc>
          <w:tcPr>
            <w:tcW w:w="6930" w:type="dxa"/>
            <w:gridSpan w:val="14"/>
          </w:tcPr>
          <w:p w14:paraId="1D7DCB71" w14:textId="77777777" w:rsidR="00425286" w:rsidRPr="00FE3AF3" w:rsidRDefault="00425286" w:rsidP="00920968">
            <w:r w:rsidRPr="00FE3AF3">
              <w:rPr>
                <w:sz w:val="20"/>
              </w:rPr>
              <w:t>Signature(s) _______________________________________________</w:t>
            </w:r>
          </w:p>
        </w:tc>
      </w:tr>
      <w:tr w:rsidR="00425286" w:rsidRPr="00FE3AF3" w14:paraId="641DF0FE" w14:textId="77777777">
        <w:trPr>
          <w:cantSplit/>
        </w:trPr>
        <w:tc>
          <w:tcPr>
            <w:tcW w:w="10080" w:type="dxa"/>
            <w:gridSpan w:val="17"/>
            <w:tcBorders>
              <w:top w:val="single" w:sz="6" w:space="0" w:color="auto"/>
              <w:bottom w:val="single" w:sz="6" w:space="0" w:color="auto"/>
            </w:tcBorders>
          </w:tcPr>
          <w:p w14:paraId="57D366DC" w14:textId="77777777" w:rsidR="00425286" w:rsidRPr="00FE3AF3" w:rsidRDefault="00425286" w:rsidP="00920968">
            <w:r w:rsidRPr="00FE3AF3">
              <w:rPr>
                <w:sz w:val="20"/>
              </w:rPr>
              <w:t>NOTE:  Provide supporting data and/or justification for below average or outstanding item ratings.</w:t>
            </w:r>
          </w:p>
        </w:tc>
      </w:tr>
      <w:bookmarkEnd w:id="21"/>
    </w:tbl>
    <w:p w14:paraId="6BB32FC4" w14:textId="77777777" w:rsidR="00425286" w:rsidRDefault="00425286" w:rsidP="00920968"/>
    <w:p w14:paraId="543C56D5" w14:textId="77777777" w:rsidR="00425286" w:rsidRDefault="00425286">
      <w:pPr>
        <w:sectPr w:rsidR="00425286" w:rsidSect="00941BAF">
          <w:headerReference w:type="default" r:id="rId25"/>
          <w:footerReference w:type="default" r:id="rId26"/>
          <w:footnotePr>
            <w:numStart w:val="0"/>
          </w:footnotePr>
          <w:pgSz w:w="12240" w:h="15840" w:code="1"/>
          <w:pgMar w:top="720" w:right="1440" w:bottom="720" w:left="1440" w:header="634" w:footer="634" w:gutter="0"/>
          <w:cols w:space="720"/>
        </w:sectPr>
      </w:pPr>
    </w:p>
    <w:p w14:paraId="29DC011F" w14:textId="77777777" w:rsidR="00425286" w:rsidRDefault="00425286" w:rsidP="00AB2F4F">
      <w:pPr>
        <w:jc w:val="center"/>
      </w:pPr>
      <w:r w:rsidRPr="00C047AC">
        <w:rPr>
          <w:i/>
          <w:szCs w:val="24"/>
        </w:rPr>
        <w:lastRenderedPageBreak/>
        <w:t>(</w:t>
      </w:r>
      <w:r>
        <w:rPr>
          <w:i/>
          <w:szCs w:val="24"/>
        </w:rPr>
        <w:t>Revised September 13, 2019</w:t>
      </w:r>
      <w:r w:rsidRPr="00C047AC">
        <w:rPr>
          <w:i/>
          <w:szCs w:val="24"/>
        </w:rPr>
        <w:t>)</w:t>
      </w:r>
    </w:p>
    <w:p w14:paraId="7823D0A2" w14:textId="77777777" w:rsidR="00425286" w:rsidRDefault="00425286" w:rsidP="00AB2F4F">
      <w:pPr>
        <w:pStyle w:val="Heading3"/>
      </w:pPr>
      <w:r>
        <w:rPr>
          <w:i/>
          <w:szCs w:val="24"/>
        </w:rPr>
        <w:br/>
      </w:r>
      <w:bookmarkStart w:id="49" w:name="_Toc37415679"/>
      <w:bookmarkStart w:id="50" w:name="_Toc37677426"/>
      <w:bookmarkStart w:id="51" w:name="_Toc37755762"/>
      <w:r w:rsidRPr="007C3C25">
        <w:rPr>
          <w:b/>
          <w:szCs w:val="24"/>
        </w:rPr>
        <w:t xml:space="preserve">PGI </w:t>
      </w:r>
      <w:proofErr w:type="gramStart"/>
      <w:r w:rsidRPr="007C3C25">
        <w:rPr>
          <w:b/>
          <w:szCs w:val="24"/>
        </w:rPr>
        <w:t>216.5</w:t>
      </w:r>
      <w:r>
        <w:rPr>
          <w:b/>
          <w:szCs w:val="24"/>
        </w:rPr>
        <w:t xml:space="preserve"> </w:t>
      </w:r>
      <w:r w:rsidRPr="007C3C25">
        <w:rPr>
          <w:b/>
          <w:szCs w:val="24"/>
        </w:rPr>
        <w:t xml:space="preserve"> </w:t>
      </w:r>
      <w:bookmarkStart w:id="52" w:name="BM216_5"/>
      <w:r w:rsidRPr="007C3C25">
        <w:rPr>
          <w:b/>
          <w:szCs w:val="24"/>
        </w:rPr>
        <w:t>INDEFINITE</w:t>
      </w:r>
      <w:proofErr w:type="gramEnd"/>
      <w:r w:rsidRPr="007C3C25">
        <w:rPr>
          <w:b/>
          <w:szCs w:val="24"/>
        </w:rPr>
        <w:t>-DELIVERY CONTRACTS</w:t>
      </w:r>
      <w:bookmarkEnd w:id="49"/>
      <w:bookmarkEnd w:id="50"/>
      <w:bookmarkEnd w:id="51"/>
      <w:bookmarkEnd w:id="52"/>
    </w:p>
    <w:p w14:paraId="1107D6E8" w14:textId="77777777" w:rsidR="00425286" w:rsidRDefault="00425286" w:rsidP="00AB2F4F">
      <w:r>
        <w:rPr>
          <w:b/>
          <w:szCs w:val="24"/>
        </w:rPr>
        <w:br/>
      </w:r>
      <w:proofErr w:type="gramStart"/>
      <w:r>
        <w:rPr>
          <w:b/>
          <w:szCs w:val="24"/>
        </w:rPr>
        <w:t>PGI  216.505</w:t>
      </w:r>
      <w:proofErr w:type="gramEnd"/>
      <w:r>
        <w:rPr>
          <w:b/>
          <w:szCs w:val="24"/>
        </w:rPr>
        <w:t xml:space="preserve"> Ordering.</w:t>
      </w:r>
    </w:p>
    <w:p w14:paraId="74CC4617" w14:textId="77777777" w:rsidR="00425286" w:rsidRDefault="00425286" w:rsidP="00AB2F4F">
      <w:pPr>
        <w:pStyle w:val="List1"/>
      </w:pPr>
      <w:r>
        <w:rPr>
          <w:b/>
        </w:rPr>
        <w:br/>
      </w:r>
      <w:r w:rsidRPr="007C3C25">
        <w:t xml:space="preserve">(b)(2) </w:t>
      </w:r>
      <w:r w:rsidRPr="007C3C25">
        <w:rPr>
          <w:i/>
        </w:rPr>
        <w:t xml:space="preserve">Exceptions to the fair opportunity process. </w:t>
      </w:r>
      <w:r w:rsidRPr="007C3C25">
        <w:t>For an order exceeding the simplified acquisition threshold, that is a follow-on to an order previously issued for the same supply or service based on a justification for an exception to fair opportunity citing the authority at FAR 16.505(b)(2)(</w:t>
      </w:r>
      <w:proofErr w:type="spellStart"/>
      <w:r w:rsidRPr="007C3C25">
        <w:t>i</w:t>
      </w:r>
      <w:proofErr w:type="spellEnd"/>
      <w:r w:rsidRPr="007C3C25">
        <w:t>)(B) or (C)</w:t>
      </w:r>
      <w:r>
        <w:t>—</w:t>
      </w:r>
    </w:p>
    <w:p w14:paraId="5BA9C8F4" w14:textId="77777777" w:rsidR="00425286" w:rsidRDefault="00425286" w:rsidP="00AB2F4F">
      <w:pPr>
        <w:pStyle w:val="List4"/>
      </w:pPr>
      <w:r>
        <w:rPr>
          <w:i/>
        </w:rPr>
        <w:br/>
      </w:r>
      <w:r w:rsidRPr="007C3C25">
        <w:t>(A) The justification shall include a copy of the previous justification to assist the approval authority in determining whether the actions to remove or overcome any barriers that led to the exception to fair opportunity cited on the previous justification were completed</w:t>
      </w:r>
      <w:r>
        <w:t>; and</w:t>
      </w:r>
    </w:p>
    <w:p w14:paraId="1B8F285C" w14:textId="77777777" w:rsidR="00425286" w:rsidRDefault="00425286" w:rsidP="00AB2F4F">
      <w:pPr>
        <w:pStyle w:val="List4"/>
      </w:pPr>
      <w:r>
        <w:rPr>
          <w:szCs w:val="24"/>
        </w:rPr>
        <w:br/>
      </w:r>
      <w:r w:rsidRPr="007C3C25">
        <w:rPr>
          <w:szCs w:val="24"/>
        </w:rPr>
        <w:t>(B) The approval authority shall determine whether the planned actions were completed.  If the actions were not completed, the justification for the follow-on action must be approved by the approval authority one-level above the approval authority for the previous justification (see FAR 16.505(b)(2)(ii)(C)).  If the previous justification was approved by the Senior Procurement Executive (SPE), the approval remains at the SPE level.</w:t>
      </w:r>
    </w:p>
    <w:p w14:paraId="5E0C2497" w14:textId="77777777" w:rsidR="00425286" w:rsidRDefault="00425286" w:rsidP="00AB2F4F">
      <w:pPr>
        <w:pStyle w:val="Heading4"/>
        <w:rPr>
          <w:lang w:val="en"/>
        </w:rPr>
      </w:pPr>
      <w:r>
        <w:br/>
      </w:r>
      <w:bookmarkStart w:id="53" w:name="_Toc37677427"/>
      <w:bookmarkStart w:id="54" w:name="_Toc37755763"/>
      <w:r w:rsidRPr="00035BE1">
        <w:rPr>
          <w:b/>
          <w:lang w:val="en"/>
        </w:rPr>
        <w:t>PGI 216.505-</w:t>
      </w:r>
      <w:proofErr w:type="gramStart"/>
      <w:r w:rsidRPr="00035BE1">
        <w:rPr>
          <w:b/>
          <w:lang w:val="en"/>
        </w:rPr>
        <w:t>70  Orders</w:t>
      </w:r>
      <w:proofErr w:type="gramEnd"/>
      <w:r w:rsidRPr="00035BE1">
        <w:rPr>
          <w:b/>
          <w:lang w:val="en"/>
        </w:rPr>
        <w:t xml:space="preserve"> under multiple</w:t>
      </w:r>
      <w:r w:rsidRPr="00035BE1">
        <w:rPr>
          <w:b/>
          <w:bCs/>
        </w:rPr>
        <w:t>-</w:t>
      </w:r>
      <w:r w:rsidRPr="00035BE1">
        <w:rPr>
          <w:b/>
          <w:lang w:val="en"/>
        </w:rPr>
        <w:t>award contracts.</w:t>
      </w:r>
      <w:bookmarkEnd w:id="53"/>
      <w:bookmarkEnd w:id="54"/>
    </w:p>
    <w:p w14:paraId="12E4A686" w14:textId="77777777" w:rsidR="00425286" w:rsidRDefault="00425286" w:rsidP="00AB2F4F">
      <w:pPr>
        <w:pStyle w:val="List1"/>
      </w:pPr>
      <w:r>
        <w:rPr>
          <w:b/>
          <w:lang w:val="en"/>
        </w:rPr>
        <w:br/>
      </w:r>
      <w:r w:rsidRPr="00035BE1">
        <w:rPr>
          <w:lang w:val="en"/>
        </w:rPr>
        <w:t xml:space="preserve">(b)  For task orders issued under </w:t>
      </w:r>
      <w:r w:rsidRPr="00035BE1">
        <w:t>multiple-award indefinite-delivery indefinite-quantity services contracts</w:t>
      </w:r>
      <w:r w:rsidRPr="00035BE1">
        <w:rPr>
          <w:lang w:val="en"/>
        </w:rPr>
        <w:t xml:space="preserve">, </w:t>
      </w:r>
      <w:r w:rsidRPr="00035BE1">
        <w:t>contracting officers shall, when minimum labor category qualifications exist in the underlying contract–</w:t>
      </w:r>
    </w:p>
    <w:p w14:paraId="68D52B35" w14:textId="77777777" w:rsidR="00425286" w:rsidRPr="00035BE1" w:rsidRDefault="00425286" w:rsidP="00AB2F4F">
      <w:pPr>
        <w:pStyle w:val="List2"/>
      </w:pPr>
      <w:r>
        <w:rPr>
          <w:szCs w:val="24"/>
        </w:rPr>
        <w:br/>
      </w:r>
      <w:r w:rsidRPr="00035BE1">
        <w:rPr>
          <w:szCs w:val="24"/>
        </w:rPr>
        <w:t>(1)  Ensure solicitations contain minimum labor category qualifications deemed necessary for successful task order performance, such as education and years of work experience, that are consistent with the contract’s requirements;</w:t>
      </w:r>
      <w:r w:rsidRPr="00035BE1" w:rsidDel="00CB35E3">
        <w:rPr>
          <w:szCs w:val="24"/>
        </w:rPr>
        <w:t xml:space="preserve"> </w:t>
      </w:r>
      <w:r w:rsidRPr="00035BE1">
        <w:rPr>
          <w:szCs w:val="24"/>
        </w:rPr>
        <w:br/>
      </w:r>
    </w:p>
    <w:p w14:paraId="54E789DD" w14:textId="77777777" w:rsidR="00425286" w:rsidRPr="00035BE1" w:rsidRDefault="00425286" w:rsidP="00AB2F4F">
      <w:pPr>
        <w:pStyle w:val="List3"/>
      </w:pPr>
      <w:r w:rsidRPr="00035BE1">
        <w:rPr>
          <w:szCs w:val="24"/>
        </w:rPr>
        <w:lastRenderedPageBreak/>
        <w:t xml:space="preserve">(2)  When allowed under the terms of the contract, identify any exceptions from labor category qualifications, such as education and years of work experience, proposed by the contractor as an alternative.  When exceptions exist, contracting officers shall – </w:t>
      </w:r>
      <w:r w:rsidRPr="00035BE1">
        <w:rPr>
          <w:szCs w:val="24"/>
        </w:rPr>
        <w:br/>
      </w:r>
    </w:p>
    <w:p w14:paraId="51A0B58E" w14:textId="77777777" w:rsidR="00425286" w:rsidRPr="00035BE1" w:rsidRDefault="00425286" w:rsidP="00AB2F4F">
      <w:pPr>
        <w:pStyle w:val="List3"/>
      </w:pPr>
      <w:r w:rsidRPr="00035BE1">
        <w:t>(</w:t>
      </w:r>
      <w:proofErr w:type="spellStart"/>
      <w:r w:rsidRPr="00035BE1">
        <w:t>i</w:t>
      </w:r>
      <w:proofErr w:type="spellEnd"/>
      <w:r w:rsidRPr="00035BE1">
        <w:t>)  Identify any proposed exception from the labor category qualifications in the contract file, considering any potential performance and price impacts on the agency’s requirements, and</w:t>
      </w:r>
      <w:r w:rsidRPr="00035BE1">
        <w:br/>
      </w:r>
    </w:p>
    <w:p w14:paraId="1D61F35C" w14:textId="77777777" w:rsidR="00425286" w:rsidRPr="00035BE1" w:rsidRDefault="00425286" w:rsidP="00AB2F4F">
      <w:pPr>
        <w:pStyle w:val="List3"/>
      </w:pPr>
      <w:r w:rsidRPr="00035BE1">
        <w:rPr>
          <w:szCs w:val="24"/>
        </w:rPr>
        <w:t>(ii)  Document the reasons for accepting any proposed alternatives to the contract requirements; and</w:t>
      </w:r>
      <w:r w:rsidRPr="00035BE1">
        <w:rPr>
          <w:szCs w:val="24"/>
        </w:rPr>
        <w:br/>
      </w:r>
    </w:p>
    <w:p w14:paraId="51C1E40B" w14:textId="77777777" w:rsidR="00425286" w:rsidRDefault="00425286" w:rsidP="00AB2F4F">
      <w:pPr>
        <w:pStyle w:val="List2"/>
      </w:pPr>
      <w:r w:rsidRPr="00035BE1">
        <w:t>(3)  Include verification procedures within the quality assurance surveillance plan to ensure contractor personnel providing the service meet qualification requirements identified for the labor categories specified in the task order and contract.  Verification, such as validation of contractor personnel education and years of relevant work experience, ensures the Government receives adequate services, as identified in task order and contract performance requirements (see FAR 46.104 and 46.407).</w:t>
      </w:r>
    </w:p>
    <w:p w14:paraId="165648C0" w14:textId="77777777" w:rsidR="00425286" w:rsidRPr="007C3C25" w:rsidRDefault="00425286" w:rsidP="00AB2F4F">
      <w:r>
        <w:rPr>
          <w:szCs w:val="24"/>
        </w:rPr>
        <w:br/>
      </w:r>
    </w:p>
    <w:p w14:paraId="07319D8F" w14:textId="77777777" w:rsidR="00425286" w:rsidRDefault="00425286">
      <w:pPr>
        <w:sectPr w:rsidR="00425286">
          <w:headerReference w:type="default" r:id="rId27"/>
          <w:footerReference w:type="default" r:id="rId28"/>
          <w:footnotePr>
            <w:numStart w:val="0"/>
          </w:footnotePr>
          <w:pgSz w:w="12240" w:h="15840" w:code="1"/>
          <w:pgMar w:top="720" w:right="1440" w:bottom="720" w:left="1440" w:header="634" w:footer="634" w:gutter="0"/>
          <w:cols w:space="720"/>
        </w:sectPr>
      </w:pPr>
    </w:p>
    <w:p w14:paraId="15762615" w14:textId="77777777" w:rsidR="00425286" w:rsidRDefault="00425286" w:rsidP="00B263C5">
      <w:pPr>
        <w:jc w:val="center"/>
      </w:pPr>
      <w:r w:rsidRPr="007733D5">
        <w:rPr>
          <w:i/>
          <w:szCs w:val="24"/>
        </w:rPr>
        <w:lastRenderedPageBreak/>
        <w:t>(Added July 11, 2006)</w:t>
      </w:r>
    </w:p>
    <w:p w14:paraId="709FB0C5" w14:textId="77777777" w:rsidR="00425286" w:rsidRDefault="00425286" w:rsidP="00B263C5">
      <w:pPr>
        <w:pStyle w:val="Heading2"/>
      </w:pPr>
      <w:r>
        <w:rPr>
          <w:i/>
          <w:szCs w:val="24"/>
        </w:rPr>
        <w:br/>
      </w:r>
      <w:bookmarkStart w:id="55" w:name="_Toc37415680"/>
      <w:bookmarkStart w:id="56" w:name="_Toc37677428"/>
      <w:bookmarkStart w:id="57" w:name="_Toc37755764"/>
      <w:r w:rsidRPr="007733D5">
        <w:rPr>
          <w:caps/>
        </w:rPr>
        <w:t>PGI 216.7</w:t>
      </w:r>
      <w:r>
        <w:rPr>
          <w:caps/>
        </w:rPr>
        <w:t>—</w:t>
      </w:r>
      <w:r w:rsidRPr="007733D5">
        <w:rPr>
          <w:caps/>
        </w:rPr>
        <w:t>agreements</w:t>
      </w:r>
      <w:bookmarkEnd w:id="55"/>
      <w:bookmarkEnd w:id="56"/>
      <w:bookmarkEnd w:id="57"/>
    </w:p>
    <w:p w14:paraId="394D57CC" w14:textId="77777777" w:rsidR="00425286" w:rsidRDefault="00425286" w:rsidP="00B263C5">
      <w:pPr>
        <w:pStyle w:val="Heading3"/>
      </w:pPr>
      <w:r>
        <w:rPr>
          <w:b/>
          <w:caps/>
        </w:rPr>
        <w:br/>
      </w:r>
      <w:bookmarkStart w:id="58" w:name="_Toc37415681"/>
      <w:bookmarkStart w:id="59" w:name="_Toc37677429"/>
      <w:bookmarkStart w:id="60" w:name="_Toc37755765"/>
      <w:r w:rsidRPr="007733D5">
        <w:rPr>
          <w:b/>
        </w:rPr>
        <w:t xml:space="preserve">PGI </w:t>
      </w:r>
      <w:proofErr w:type="gramStart"/>
      <w:r w:rsidRPr="007733D5">
        <w:rPr>
          <w:b/>
        </w:rPr>
        <w:t>216.703  Basic</w:t>
      </w:r>
      <w:proofErr w:type="gramEnd"/>
      <w:r w:rsidRPr="007733D5">
        <w:rPr>
          <w:b/>
        </w:rPr>
        <w:t xml:space="preserve"> ordering agreements.</w:t>
      </w:r>
      <w:bookmarkEnd w:id="58"/>
      <w:bookmarkEnd w:id="59"/>
      <w:bookmarkEnd w:id="60"/>
    </w:p>
    <w:p w14:paraId="672E0C0B" w14:textId="77777777" w:rsidR="00425286" w:rsidRDefault="00425286" w:rsidP="00B263C5">
      <w:pPr>
        <w:pStyle w:val="List1"/>
      </w:pPr>
      <w:r>
        <w:rPr>
          <w:b/>
        </w:rPr>
        <w:br/>
      </w:r>
      <w:r w:rsidRPr="007733D5">
        <w:t>(d)(</w:t>
      </w:r>
      <w:proofErr w:type="spellStart"/>
      <w:r w:rsidRPr="007733D5">
        <w:t>i</w:t>
      </w:r>
      <w:proofErr w:type="spellEnd"/>
      <w:proofErr w:type="gramStart"/>
      <w:r w:rsidRPr="007733D5">
        <w:t>)  Individual</w:t>
      </w:r>
      <w:proofErr w:type="gramEnd"/>
      <w:r w:rsidRPr="007733D5">
        <w:t xml:space="preserve"> orders under a basic ordering agreement shall be individually closed following completion of the orders (see FAR 4.804).</w:t>
      </w:r>
    </w:p>
    <w:p w14:paraId="6C90E127" w14:textId="77777777" w:rsidR="00425286" w:rsidRDefault="00425286" w:rsidP="00B263C5">
      <w:pPr>
        <w:pStyle w:val="List3"/>
      </w:pPr>
      <w:r>
        <w:br/>
      </w:r>
      <w:r w:rsidRPr="007733D5">
        <w:t xml:space="preserve">(ii)  The office issuing the agreement shall furnish all authorized ordering offices </w:t>
      </w:r>
      <w:proofErr w:type="gramStart"/>
      <w:r w:rsidRPr="007733D5">
        <w:t>sufficient</w:t>
      </w:r>
      <w:proofErr w:type="gramEnd"/>
      <w:r w:rsidRPr="007733D5">
        <w:t xml:space="preserve"> information for the ordering office to complete its contract reporting responsibilities under DFARS 204.670-2 or, in the case of civilian agencies, the Federal Procurement Data System reporting requirement.  Data furnished to civilian agencies must contain </w:t>
      </w:r>
      <w:proofErr w:type="spellStart"/>
      <w:r w:rsidRPr="007733D5">
        <w:t>uncoded</w:t>
      </w:r>
      <w:proofErr w:type="spellEnd"/>
      <w:r w:rsidRPr="007733D5">
        <w:t xml:space="preserve"> information about the data elements and the meanings of the codes to permit these users to translate the data into the federal format.  This data must be furnished to the ordering activity in </w:t>
      </w:r>
      <w:proofErr w:type="gramStart"/>
      <w:r w:rsidRPr="007733D5">
        <w:t>sufficient</w:t>
      </w:r>
      <w:proofErr w:type="gramEnd"/>
      <w:r w:rsidRPr="007733D5">
        <w:t xml:space="preserve"> time for the activity to prepare its report for the action within 3 working days of the order.</w:t>
      </w:r>
    </w:p>
    <w:p w14:paraId="0D1A893C" w14:textId="77777777" w:rsidR="00425286" w:rsidRDefault="00425286" w:rsidP="00B263C5">
      <w:pPr>
        <w:pStyle w:val="List3"/>
      </w:pPr>
      <w:r>
        <w:br/>
      </w:r>
      <w:r w:rsidRPr="007733D5">
        <w:t>(iii)  Any activity listed in the agreement may issue orders on DD Form 1155, Order for Supplies or Services, or Standard Form 26, Award/Contract.</w:t>
      </w:r>
    </w:p>
    <w:p w14:paraId="4E0F8435" w14:textId="77777777" w:rsidR="00425286" w:rsidRPr="007733D5" w:rsidRDefault="00425286" w:rsidP="00B263C5">
      <w:r>
        <w:br/>
      </w:r>
    </w:p>
    <w:p w14:paraId="444FD50C" w14:textId="77777777" w:rsidR="00850595" w:rsidRDefault="00850595"/>
    <w:sectPr w:rsidR="00850595">
      <w:headerReference w:type="default" r:id="rId29"/>
      <w:footerReference w:type="default" r:id="rId30"/>
      <w:footnotePr>
        <w:numStart w:val="0"/>
      </w:footnotePr>
      <w:pgSz w:w="12240" w:h="15840" w:code="1"/>
      <w:pgMar w:top="720" w:right="1440" w:bottom="720" w:left="1440" w:header="634" w:footer="6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D96D4D" w14:textId="77777777" w:rsidR="00D776A1" w:rsidRDefault="00D776A1">
      <w:pPr>
        <w:spacing w:after="0" w:line="240" w:lineRule="auto"/>
      </w:pPr>
      <w:r>
        <w:separator/>
      </w:r>
    </w:p>
  </w:endnote>
  <w:endnote w:type="continuationSeparator" w:id="0">
    <w:p w14:paraId="68DC5A73" w14:textId="77777777" w:rsidR="00D776A1" w:rsidRDefault="00D77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eneva">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EFA15C" w14:textId="77777777" w:rsidR="00B653C1" w:rsidRDefault="00D776A1">
    <w:pPr>
      <w:pStyle w:val="Footer"/>
      <w:rPr>
        <w:rFonts w:ascii="Century Schoolbook" w:hAnsi="Century Schoolbook"/>
        <w:sz w:val="20"/>
      </w:rPr>
    </w:pPr>
  </w:p>
  <w:p w14:paraId="440E0A88" w14:textId="77777777" w:rsidR="00B653C1" w:rsidRDefault="00D776A1">
    <w:pPr>
      <w:pStyle w:val="Footer"/>
      <w:tabs>
        <w:tab w:val="clear" w:pos="8640"/>
      </w:tabs>
      <w:rPr>
        <w:rFonts w:ascii="Century Schoolbook" w:hAnsi="Century Schoolbook"/>
        <w:b/>
        <w:sz w:val="20"/>
      </w:rPr>
    </w:pPr>
  </w:p>
  <w:p w14:paraId="69B6E184" w14:textId="77777777" w:rsidR="00B653C1" w:rsidRPr="00BC71C0" w:rsidRDefault="0042528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16</w:t>
    </w:r>
    <w:r w:rsidRPr="00BC71C0">
      <w:rPr>
        <w:szCs w:val="22"/>
      </w:rPr>
      <w:t>.</w:t>
    </w:r>
    <w:r>
      <w:rPr>
        <w:szCs w:val="22"/>
      </w:rPr>
      <w:t>1</w:t>
    </w:r>
    <w:r w:rsidRPr="00BC71C0">
      <w:rPr>
        <w:szCs w:val="22"/>
      </w:rPr>
      <w:t>-</w:t>
    </w:r>
    <w:r w:rsidRPr="00BC71C0">
      <w:rPr>
        <w:szCs w:val="22"/>
      </w:rPr>
      <w:pgNum/>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B4B89" w14:textId="77777777" w:rsidR="00BC0340" w:rsidRDefault="00D776A1">
    <w:pPr>
      <w:pStyle w:val="Footer"/>
      <w:rPr>
        <w:rFonts w:ascii="Century Schoolbook" w:hAnsi="Century Schoolbook"/>
        <w:sz w:val="20"/>
      </w:rPr>
    </w:pPr>
  </w:p>
  <w:p w14:paraId="6D7DA806" w14:textId="77777777" w:rsidR="00BC0340" w:rsidRDefault="00D776A1">
    <w:pPr>
      <w:pStyle w:val="Footer"/>
      <w:tabs>
        <w:tab w:val="clear" w:pos="8640"/>
      </w:tabs>
      <w:rPr>
        <w:rFonts w:ascii="Century Schoolbook" w:hAnsi="Century Schoolbook"/>
        <w:b/>
        <w:sz w:val="20"/>
      </w:rPr>
    </w:pPr>
  </w:p>
  <w:p w14:paraId="08A3E58B" w14:textId="77777777" w:rsidR="00BC0340" w:rsidRPr="00BC71C0" w:rsidRDefault="0042528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16</w:t>
    </w:r>
    <w:r w:rsidRPr="00BC71C0">
      <w:rPr>
        <w:szCs w:val="22"/>
      </w:rPr>
      <w:t>.</w:t>
    </w:r>
    <w:r>
      <w:rPr>
        <w:szCs w:val="22"/>
      </w:rPr>
      <w:t>2</w:t>
    </w:r>
    <w:r w:rsidRPr="00BC71C0">
      <w:rPr>
        <w:szCs w:val="22"/>
      </w:rPr>
      <w:t>-</w:t>
    </w:r>
    <w:r w:rsidRPr="00BC71C0">
      <w:rPr>
        <w:szCs w:val="22"/>
      </w:rPr>
      <w:pgNum/>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2A" w14:textId="77777777" w:rsidR="00425286" w:rsidRDefault="00425286" w:rsidP="005475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142B53" w14:textId="77777777" w:rsidR="00425286" w:rsidRDefault="00425286">
    <w:pPr>
      <w:pStyle w:val="Footer"/>
      <w:rPr>
        <w:rFonts w:ascii="Century Schoolbook" w:hAnsi="Century Schoolbook"/>
        <w:b/>
        <w:sz w:val="16"/>
      </w:rPr>
    </w:pPr>
  </w:p>
  <w:p w14:paraId="0CCF0697" w14:textId="77777777" w:rsidR="00425286" w:rsidRDefault="00425286">
    <w:pPr>
      <w:rPr>
        <w:rFonts w:ascii="Century Schoolbook" w:hAnsi="Century Schoolbook"/>
        <w:b/>
        <w:sz w:val="16"/>
      </w:rPr>
    </w:pPr>
  </w:p>
  <w:p w14:paraId="7D3C96DC" w14:textId="77777777" w:rsidR="00425286" w:rsidRDefault="00425286">
    <w:pPr>
      <w:pStyle w:val="Footer"/>
      <w:pBdr>
        <w:top w:val="single" w:sz="6" w:space="1" w:color="auto"/>
      </w:pBdr>
      <w:tabs>
        <w:tab w:val="clear" w:pos="8640"/>
        <w:tab w:val="right" w:pos="9180"/>
      </w:tabs>
      <w:rPr>
        <w:rFonts w:ascii="Century Schoolbook" w:hAnsi="Century Schoolbook"/>
        <w:sz w:val="20"/>
      </w:rPr>
    </w:pPr>
    <w:r>
      <w:rPr>
        <w:rFonts w:ascii="Century Schoolbook" w:hAnsi="Century Schoolbook"/>
        <w:sz w:val="20"/>
      </w:rPr>
      <w:t>216.4-</w:t>
    </w:r>
    <w:r>
      <w:rPr>
        <w:rFonts w:ascii="Century Schoolbook" w:hAnsi="Century Schoolbook"/>
        <w:sz w:val="20"/>
      </w:rPr>
      <w:tab/>
    </w:r>
    <w:r>
      <w:rPr>
        <w:rFonts w:ascii="Century Schoolbook" w:hAnsi="Century Schoolbook"/>
        <w:sz w:val="20"/>
      </w:rPr>
      <w:tab/>
    </w:r>
    <w:r>
      <w:rPr>
        <w:rFonts w:ascii="Century Schoolbook" w:hAnsi="Century Schoolbook"/>
        <w:sz w:val="20"/>
      </w:rPr>
      <w:tab/>
      <w:t>1998 EDITION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57F8A7" w14:textId="77777777" w:rsidR="00425286" w:rsidRDefault="00425286" w:rsidP="00A717CB">
    <w:pPr>
      <w:pStyle w:val="Footer"/>
      <w:rPr>
        <w:rFonts w:ascii="Century Schoolbook" w:hAnsi="Century Schoolbook"/>
        <w:sz w:val="20"/>
      </w:rPr>
    </w:pPr>
  </w:p>
  <w:p w14:paraId="7DEB06D1" w14:textId="77777777" w:rsidR="00425286" w:rsidRDefault="00425286" w:rsidP="00A717CB">
    <w:pPr>
      <w:pStyle w:val="Footer"/>
      <w:tabs>
        <w:tab w:val="clear" w:pos="8640"/>
      </w:tabs>
      <w:rPr>
        <w:rFonts w:ascii="Century Schoolbook" w:hAnsi="Century Schoolbook"/>
        <w:b/>
        <w:sz w:val="20"/>
      </w:rPr>
    </w:pPr>
  </w:p>
  <w:p w14:paraId="3C716C33" w14:textId="77777777" w:rsidR="00425286" w:rsidRPr="00BC71C0" w:rsidRDefault="00425286" w:rsidP="00A717CB">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16</w:t>
    </w:r>
    <w:r w:rsidRPr="00BC71C0">
      <w:rPr>
        <w:szCs w:val="22"/>
      </w:rPr>
      <w:t>.</w:t>
    </w:r>
    <w:r>
      <w:rPr>
        <w:szCs w:val="22"/>
      </w:rPr>
      <w:t>4</w:t>
    </w:r>
    <w:r w:rsidRPr="00BC71C0">
      <w:rPr>
        <w:szCs w:val="22"/>
      </w:rPr>
      <w:t>-</w:t>
    </w:r>
    <w:r w:rsidRPr="00BC71C0">
      <w:rPr>
        <w:szCs w:val="22"/>
      </w:rPr>
      <w:pgNum/>
    </w:r>
  </w:p>
  <w:p w14:paraId="6650A622" w14:textId="77777777" w:rsidR="00425286" w:rsidRDefault="00425286">
    <w:pPr>
      <w:pStyle w:val="Footer"/>
      <w:tabs>
        <w:tab w:val="right" w:pos="10170"/>
      </w:tabs>
      <w:rPr>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D6A3CA" w14:textId="77777777" w:rsidR="0005593A" w:rsidRDefault="00D776A1">
    <w:pPr>
      <w:pStyle w:val="Footer"/>
      <w:rPr>
        <w:rFonts w:ascii="Century Schoolbook" w:hAnsi="Century Schoolbook"/>
        <w:sz w:val="20"/>
      </w:rPr>
    </w:pPr>
  </w:p>
  <w:p w14:paraId="45563002" w14:textId="77777777" w:rsidR="0005593A" w:rsidRDefault="00D776A1">
    <w:pPr>
      <w:pStyle w:val="Footer"/>
      <w:tabs>
        <w:tab w:val="clear" w:pos="8640"/>
      </w:tabs>
      <w:rPr>
        <w:rFonts w:ascii="Century Schoolbook" w:hAnsi="Century Schoolbook"/>
        <w:b/>
        <w:sz w:val="20"/>
      </w:rPr>
    </w:pPr>
  </w:p>
  <w:p w14:paraId="167C9C57" w14:textId="77777777" w:rsidR="0005593A" w:rsidRPr="00BC71C0" w:rsidRDefault="0042528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16</w:t>
    </w:r>
    <w:r w:rsidRPr="00BC71C0">
      <w:rPr>
        <w:szCs w:val="22"/>
      </w:rPr>
      <w:t>.</w:t>
    </w:r>
    <w:r>
      <w:rPr>
        <w:szCs w:val="22"/>
      </w:rPr>
      <w:t>4</w:t>
    </w:r>
    <w:r w:rsidRPr="00BC71C0">
      <w:rPr>
        <w:szCs w:val="22"/>
      </w:rPr>
      <w:t>-</w:t>
    </w:r>
    <w:r w:rsidRPr="00BC71C0">
      <w:rPr>
        <w:szCs w:val="22"/>
      </w:rPr>
      <w:pgNum/>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6C927" w14:textId="77777777" w:rsidR="00B653C1" w:rsidRDefault="00D776A1">
    <w:pPr>
      <w:pStyle w:val="Footer"/>
      <w:rPr>
        <w:rFonts w:ascii="Century Schoolbook" w:hAnsi="Century Schoolbook"/>
        <w:sz w:val="20"/>
      </w:rPr>
    </w:pPr>
  </w:p>
  <w:p w14:paraId="1E8FA986" w14:textId="77777777" w:rsidR="00B653C1" w:rsidRDefault="00D776A1">
    <w:pPr>
      <w:pStyle w:val="Footer"/>
      <w:tabs>
        <w:tab w:val="clear" w:pos="8640"/>
      </w:tabs>
      <w:rPr>
        <w:rFonts w:ascii="Century Schoolbook" w:hAnsi="Century Schoolbook"/>
        <w:b/>
        <w:sz w:val="20"/>
      </w:rPr>
    </w:pPr>
  </w:p>
  <w:p w14:paraId="086730AE" w14:textId="77777777" w:rsidR="00B653C1" w:rsidRPr="00BC71C0" w:rsidRDefault="0042528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16</w:t>
    </w:r>
    <w:r w:rsidRPr="00BC71C0">
      <w:rPr>
        <w:szCs w:val="22"/>
      </w:rPr>
      <w:t>.</w:t>
    </w:r>
    <w:r>
      <w:rPr>
        <w:szCs w:val="22"/>
      </w:rPr>
      <w:t>5</w:t>
    </w:r>
    <w:r w:rsidRPr="00BC71C0">
      <w:rPr>
        <w:szCs w:val="22"/>
      </w:rPr>
      <w:t>-</w:t>
    </w:r>
    <w:r w:rsidRPr="00BC71C0">
      <w:rPr>
        <w:szCs w:val="22"/>
      </w:rPr>
      <w:pgNum/>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1AB8D" w14:textId="77777777" w:rsidR="00414D99" w:rsidRDefault="00D776A1">
    <w:pPr>
      <w:pStyle w:val="Footer"/>
      <w:rPr>
        <w:rFonts w:ascii="Century Schoolbook" w:hAnsi="Century Schoolbook"/>
        <w:sz w:val="20"/>
      </w:rPr>
    </w:pPr>
  </w:p>
  <w:p w14:paraId="58FF1F88" w14:textId="77777777" w:rsidR="00414D99" w:rsidRDefault="00D776A1">
    <w:pPr>
      <w:pStyle w:val="Footer"/>
      <w:tabs>
        <w:tab w:val="clear" w:pos="8640"/>
      </w:tabs>
      <w:rPr>
        <w:rFonts w:ascii="Century Schoolbook" w:hAnsi="Century Schoolbook"/>
        <w:b/>
        <w:sz w:val="20"/>
      </w:rPr>
    </w:pPr>
  </w:p>
  <w:p w14:paraId="4E69800B" w14:textId="77777777" w:rsidR="00414D99" w:rsidRPr="00BC71C0" w:rsidRDefault="00425286">
    <w:pPr>
      <w:pStyle w:val="Footer"/>
      <w:pBdr>
        <w:top w:val="single" w:sz="6" w:space="1" w:color="auto"/>
      </w:pBdr>
      <w:tabs>
        <w:tab w:val="clear" w:pos="8640"/>
        <w:tab w:val="right" w:pos="9260"/>
      </w:tabs>
      <w:rPr>
        <w:szCs w:val="22"/>
      </w:rPr>
    </w:pPr>
    <w:r w:rsidRPr="00BC71C0">
      <w:rPr>
        <w:szCs w:val="22"/>
      </w:rPr>
      <w:t>2004 EDITION</w:t>
    </w:r>
    <w:r w:rsidRPr="00BC71C0">
      <w:rPr>
        <w:szCs w:val="22"/>
      </w:rPr>
      <w:tab/>
    </w:r>
    <w:r w:rsidRPr="00BC71C0">
      <w:rPr>
        <w:szCs w:val="22"/>
      </w:rPr>
      <w:tab/>
      <w:t>2</w:t>
    </w:r>
    <w:r>
      <w:rPr>
        <w:szCs w:val="22"/>
      </w:rPr>
      <w:t>16</w:t>
    </w:r>
    <w:r w:rsidRPr="00BC71C0">
      <w:rPr>
        <w:szCs w:val="22"/>
      </w:rPr>
      <w:t>.</w:t>
    </w:r>
    <w:r>
      <w:rPr>
        <w:szCs w:val="22"/>
      </w:rPr>
      <w:t>7</w:t>
    </w:r>
    <w:r w:rsidRPr="00BC71C0">
      <w:rPr>
        <w:szCs w:val="22"/>
      </w:rPr>
      <w:t>-</w:t>
    </w:r>
    <w:r w:rsidRPr="00BC71C0">
      <w:rPr>
        <w:szCs w:val="22"/>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9736B9" w14:textId="77777777" w:rsidR="00D776A1" w:rsidRDefault="00D776A1">
      <w:pPr>
        <w:spacing w:after="0" w:line="240" w:lineRule="auto"/>
      </w:pPr>
      <w:r>
        <w:separator/>
      </w:r>
    </w:p>
  </w:footnote>
  <w:footnote w:type="continuationSeparator" w:id="0">
    <w:p w14:paraId="3554300F" w14:textId="77777777" w:rsidR="00D776A1" w:rsidRDefault="00D776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062FC" w14:textId="77777777" w:rsidR="00B653C1" w:rsidRDefault="00425286" w:rsidP="003E6AA4">
    <w:pPr>
      <w:pStyle w:val="Header"/>
      <w:tabs>
        <w:tab w:val="clear" w:pos="8640"/>
        <w:tab w:val="left" w:pos="4590"/>
      </w:tabs>
      <w:jc w:val="center"/>
      <w:rPr>
        <w:sz w:val="28"/>
        <w:szCs w:val="28"/>
      </w:rPr>
    </w:pPr>
    <w:r w:rsidRPr="002B1BC7">
      <w:rPr>
        <w:sz w:val="28"/>
        <w:szCs w:val="28"/>
      </w:rPr>
      <w:t>DFARS Procedures, Guidance, and Information</w:t>
    </w:r>
  </w:p>
  <w:p w14:paraId="4E324EEA" w14:textId="77777777" w:rsidR="00B653C1" w:rsidRPr="002B1BC7" w:rsidRDefault="00D776A1" w:rsidP="003E6AA4">
    <w:pPr>
      <w:pStyle w:val="Header"/>
      <w:tabs>
        <w:tab w:val="clear" w:pos="8640"/>
        <w:tab w:val="left" w:pos="4590"/>
      </w:tabs>
      <w:jc w:val="center"/>
      <w:rPr>
        <w:sz w:val="28"/>
        <w:szCs w:val="28"/>
      </w:rPr>
    </w:pPr>
  </w:p>
  <w:p w14:paraId="7B0A3A06" w14:textId="77777777" w:rsidR="00B653C1" w:rsidRPr="00BC71C0" w:rsidRDefault="0042528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16</w:t>
    </w:r>
    <w:r w:rsidRPr="00BC71C0">
      <w:rPr>
        <w:szCs w:val="24"/>
      </w:rPr>
      <w:t>—</w:t>
    </w:r>
    <w:r>
      <w:rPr>
        <w:szCs w:val="24"/>
      </w:rPr>
      <w:t>Types of Contracts</w:t>
    </w:r>
  </w:p>
  <w:p w14:paraId="52610246" w14:textId="77777777" w:rsidR="00B653C1" w:rsidRDefault="00D776A1">
    <w:pPr>
      <w:pStyle w:val="Header"/>
      <w:tabs>
        <w:tab w:val="clear" w:pos="8640"/>
        <w:tab w:val="right" w:pos="9260"/>
      </w:tabs>
      <w:spacing w:before="20" w:line="20" w:lineRule="exact"/>
      <w:rPr>
        <w:rFonts w:ascii="Geneva" w:hAnsi="Geneva"/>
        <w:b/>
        <w:position w:val="6"/>
        <w:sz w:val="18"/>
      </w:rPr>
    </w:pPr>
  </w:p>
  <w:p w14:paraId="6EA10846" w14:textId="77777777" w:rsidR="00B653C1" w:rsidRDefault="00D776A1">
    <w:pPr>
      <w:pStyle w:val="Header"/>
      <w:tabs>
        <w:tab w:val="clear" w:pos="8640"/>
        <w:tab w:val="right" w:pos="9260"/>
      </w:tabs>
      <w:rPr>
        <w:rFonts w:ascii="Century Schoolbook" w:hAnsi="Century Schoolbook"/>
        <w:b/>
        <w:sz w:val="20"/>
      </w:rPr>
    </w:pPr>
  </w:p>
  <w:p w14:paraId="32C76542" w14:textId="77777777" w:rsidR="00B653C1" w:rsidRDefault="00D776A1">
    <w:pPr>
      <w:pStyle w:val="Header"/>
      <w:rPr>
        <w:rFonts w:ascii="Century Schoolbook" w:hAnsi="Century Schoolbook"/>
        <w:b/>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6E5A1C" w14:textId="77777777" w:rsidR="00BC0340" w:rsidRDefault="00425286" w:rsidP="003E6AA4">
    <w:pPr>
      <w:pStyle w:val="Header"/>
      <w:tabs>
        <w:tab w:val="clear" w:pos="8640"/>
        <w:tab w:val="left" w:pos="4590"/>
      </w:tabs>
      <w:jc w:val="center"/>
      <w:rPr>
        <w:sz w:val="28"/>
        <w:szCs w:val="28"/>
      </w:rPr>
    </w:pPr>
    <w:r w:rsidRPr="002B1BC7">
      <w:rPr>
        <w:sz w:val="28"/>
        <w:szCs w:val="28"/>
      </w:rPr>
      <w:t>DFARS Procedures, Guidance, and Information</w:t>
    </w:r>
  </w:p>
  <w:p w14:paraId="4E83A163" w14:textId="77777777" w:rsidR="00BC0340" w:rsidRPr="002B1BC7" w:rsidRDefault="00D776A1" w:rsidP="003E6AA4">
    <w:pPr>
      <w:pStyle w:val="Header"/>
      <w:tabs>
        <w:tab w:val="clear" w:pos="8640"/>
        <w:tab w:val="left" w:pos="4590"/>
      </w:tabs>
      <w:jc w:val="center"/>
      <w:rPr>
        <w:sz w:val="28"/>
        <w:szCs w:val="28"/>
      </w:rPr>
    </w:pPr>
  </w:p>
  <w:p w14:paraId="2AD33C2A" w14:textId="77777777" w:rsidR="00BC0340" w:rsidRPr="00BC71C0" w:rsidRDefault="0042528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16</w:t>
    </w:r>
    <w:r w:rsidRPr="00BC71C0">
      <w:rPr>
        <w:szCs w:val="24"/>
      </w:rPr>
      <w:t>—</w:t>
    </w:r>
    <w:r>
      <w:rPr>
        <w:szCs w:val="24"/>
      </w:rPr>
      <w:t>Types of Contracts</w:t>
    </w:r>
  </w:p>
  <w:p w14:paraId="04B7F200" w14:textId="77777777" w:rsidR="00BC0340" w:rsidRDefault="00D776A1">
    <w:pPr>
      <w:pStyle w:val="Header"/>
      <w:tabs>
        <w:tab w:val="clear" w:pos="8640"/>
        <w:tab w:val="right" w:pos="9260"/>
      </w:tabs>
      <w:spacing w:before="20" w:line="20" w:lineRule="exact"/>
      <w:rPr>
        <w:rFonts w:ascii="Geneva" w:hAnsi="Geneva"/>
        <w:b/>
        <w:position w:val="6"/>
        <w:sz w:val="18"/>
      </w:rPr>
    </w:pPr>
  </w:p>
  <w:p w14:paraId="1FCB9C34" w14:textId="77777777" w:rsidR="00BC0340" w:rsidRDefault="00D776A1">
    <w:pPr>
      <w:pStyle w:val="Header"/>
      <w:tabs>
        <w:tab w:val="clear" w:pos="8640"/>
        <w:tab w:val="right" w:pos="9260"/>
      </w:tabs>
      <w:rPr>
        <w:rFonts w:ascii="Century Schoolbook" w:hAnsi="Century Schoolbook"/>
        <w:b/>
        <w:sz w:val="20"/>
      </w:rPr>
    </w:pPr>
  </w:p>
  <w:p w14:paraId="61344530" w14:textId="77777777" w:rsidR="00BC0340" w:rsidRDefault="00D776A1">
    <w:pPr>
      <w:pStyle w:val="Header"/>
      <w:rPr>
        <w:rFonts w:ascii="Century Schoolbook" w:hAnsi="Century Schoolbook"/>
        <w:b/>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52298" w14:textId="77777777" w:rsidR="00425286" w:rsidRDefault="00425286">
    <w:pPr>
      <w:pStyle w:val="Header"/>
      <w:jc w:val="center"/>
      <w:rPr>
        <w:rFonts w:ascii="Century Schoolbook" w:hAnsi="Century Schoolbook"/>
      </w:rPr>
    </w:pPr>
    <w:r>
      <w:rPr>
        <w:rFonts w:ascii="Century Schoolbook" w:hAnsi="Century Schoolbook"/>
      </w:rPr>
      <w:t>Defense Federal Acquisition Regulation Supplement</w:t>
    </w:r>
  </w:p>
  <w:p w14:paraId="0F7CE57B" w14:textId="77777777" w:rsidR="00425286" w:rsidRDefault="00425286">
    <w:pPr>
      <w:pStyle w:val="Header"/>
      <w:rPr>
        <w:rFonts w:ascii="Century Schoolbook" w:hAnsi="Century Schoolbook"/>
        <w:b/>
        <w:sz w:val="20"/>
      </w:rPr>
    </w:pPr>
  </w:p>
  <w:p w14:paraId="457C655E" w14:textId="77777777" w:rsidR="00425286" w:rsidRDefault="00425286">
    <w:pPr>
      <w:pStyle w:val="Header"/>
      <w:pBdr>
        <w:bottom w:val="single" w:sz="6" w:space="1" w:color="auto"/>
      </w:pBdr>
      <w:rPr>
        <w:rFonts w:ascii="Century Schoolbook" w:hAnsi="Century Schoolbook"/>
        <w:sz w:val="20"/>
      </w:rPr>
    </w:pPr>
    <w:r>
      <w:rPr>
        <w:rFonts w:ascii="Century Schoolbook" w:hAnsi="Century Schoolbook"/>
        <w:sz w:val="20"/>
      </w:rPr>
      <w:t xml:space="preserve">Part 216—Types </w:t>
    </w:r>
    <w:proofErr w:type="gramStart"/>
    <w:r>
      <w:rPr>
        <w:rFonts w:ascii="Century Schoolbook" w:hAnsi="Century Schoolbook"/>
        <w:sz w:val="20"/>
      </w:rPr>
      <w:t>Of</w:t>
    </w:r>
    <w:proofErr w:type="gramEnd"/>
    <w:r>
      <w:rPr>
        <w:rFonts w:ascii="Century Schoolbook" w:hAnsi="Century Schoolbook"/>
        <w:sz w:val="20"/>
      </w:rPr>
      <w:t xml:space="preserve"> Contracts</w:t>
    </w:r>
  </w:p>
  <w:p w14:paraId="50499E24" w14:textId="77777777" w:rsidR="00425286" w:rsidRDefault="00425286">
    <w:pPr>
      <w:pStyle w:val="Header"/>
      <w:rPr>
        <w:rFonts w:ascii="Century Schoolbook" w:hAnsi="Century Schoolbook"/>
        <w:b/>
        <w:sz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E04AC" w14:textId="77777777" w:rsidR="00425286" w:rsidRDefault="00425286" w:rsidP="00B016FA">
    <w:pPr>
      <w:pStyle w:val="Header"/>
      <w:tabs>
        <w:tab w:val="clear" w:pos="8640"/>
        <w:tab w:val="left" w:pos="4590"/>
      </w:tabs>
      <w:jc w:val="center"/>
      <w:rPr>
        <w:sz w:val="28"/>
        <w:szCs w:val="28"/>
      </w:rPr>
    </w:pPr>
    <w:r w:rsidRPr="002B1BC7">
      <w:rPr>
        <w:sz w:val="28"/>
        <w:szCs w:val="28"/>
      </w:rPr>
      <w:t>DFARS Procedures, Guidance, and Information</w:t>
    </w:r>
  </w:p>
  <w:p w14:paraId="7C9620D5" w14:textId="77777777" w:rsidR="00425286" w:rsidRPr="002B1BC7" w:rsidRDefault="00425286" w:rsidP="00B016FA">
    <w:pPr>
      <w:pStyle w:val="Header"/>
      <w:tabs>
        <w:tab w:val="clear" w:pos="8640"/>
        <w:tab w:val="left" w:pos="4590"/>
      </w:tabs>
      <w:jc w:val="center"/>
      <w:rPr>
        <w:sz w:val="28"/>
        <w:szCs w:val="28"/>
      </w:rPr>
    </w:pPr>
  </w:p>
  <w:p w14:paraId="26769061" w14:textId="77777777" w:rsidR="00425286" w:rsidRPr="00BC71C0" w:rsidRDefault="00425286" w:rsidP="00B016FA">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16</w:t>
    </w:r>
    <w:r w:rsidRPr="00BC71C0">
      <w:rPr>
        <w:szCs w:val="24"/>
      </w:rPr>
      <w:t>—</w:t>
    </w:r>
    <w:r>
      <w:rPr>
        <w:szCs w:val="24"/>
      </w:rPr>
      <w:t>Types of Contracts</w:t>
    </w:r>
  </w:p>
  <w:p w14:paraId="2D8D9C9A" w14:textId="77777777" w:rsidR="00425286" w:rsidRDefault="00425286"/>
  <w:p w14:paraId="2CBD7EBD" w14:textId="77777777" w:rsidR="00425286" w:rsidRDefault="00425286"/>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AC9833" w14:textId="77777777" w:rsidR="0005593A" w:rsidRDefault="00425286" w:rsidP="003E6AA4">
    <w:pPr>
      <w:pStyle w:val="Header"/>
      <w:tabs>
        <w:tab w:val="clear" w:pos="8640"/>
        <w:tab w:val="left" w:pos="4590"/>
      </w:tabs>
      <w:jc w:val="center"/>
      <w:rPr>
        <w:sz w:val="28"/>
        <w:szCs w:val="28"/>
      </w:rPr>
    </w:pPr>
    <w:r w:rsidRPr="002B1BC7">
      <w:rPr>
        <w:sz w:val="28"/>
        <w:szCs w:val="28"/>
      </w:rPr>
      <w:t>DFARS Procedures, Guidance, and Information</w:t>
    </w:r>
  </w:p>
  <w:p w14:paraId="7057B8B0" w14:textId="77777777" w:rsidR="0005593A" w:rsidRPr="002B1BC7" w:rsidRDefault="00D776A1" w:rsidP="003E6AA4">
    <w:pPr>
      <w:pStyle w:val="Header"/>
      <w:tabs>
        <w:tab w:val="clear" w:pos="8640"/>
        <w:tab w:val="left" w:pos="4590"/>
      </w:tabs>
      <w:jc w:val="center"/>
      <w:rPr>
        <w:sz w:val="28"/>
        <w:szCs w:val="28"/>
      </w:rPr>
    </w:pPr>
  </w:p>
  <w:p w14:paraId="705521CF" w14:textId="77777777" w:rsidR="0005593A" w:rsidRPr="00BC71C0" w:rsidRDefault="0042528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16</w:t>
    </w:r>
    <w:r w:rsidRPr="00BC71C0">
      <w:rPr>
        <w:szCs w:val="24"/>
      </w:rPr>
      <w:t>—</w:t>
    </w:r>
    <w:r>
      <w:rPr>
        <w:szCs w:val="24"/>
      </w:rPr>
      <w:t>Types of Contracts</w:t>
    </w:r>
  </w:p>
  <w:p w14:paraId="0CFEF55E" w14:textId="77777777" w:rsidR="0005593A" w:rsidRDefault="00D776A1">
    <w:pPr>
      <w:pStyle w:val="Header"/>
      <w:tabs>
        <w:tab w:val="clear" w:pos="8640"/>
        <w:tab w:val="right" w:pos="9260"/>
      </w:tabs>
      <w:spacing w:before="20" w:line="20" w:lineRule="exact"/>
      <w:rPr>
        <w:rFonts w:ascii="Geneva" w:hAnsi="Geneva"/>
        <w:b/>
        <w:position w:val="6"/>
        <w:sz w:val="18"/>
      </w:rPr>
    </w:pPr>
  </w:p>
  <w:p w14:paraId="2C17D1AB" w14:textId="77777777" w:rsidR="0005593A" w:rsidRDefault="00D776A1">
    <w:pPr>
      <w:pStyle w:val="Header"/>
      <w:tabs>
        <w:tab w:val="clear" w:pos="8640"/>
        <w:tab w:val="right" w:pos="9260"/>
      </w:tabs>
      <w:rPr>
        <w:rFonts w:ascii="Century Schoolbook" w:hAnsi="Century Schoolbook"/>
        <w:b/>
        <w:sz w:val="20"/>
      </w:rPr>
    </w:pPr>
  </w:p>
  <w:p w14:paraId="28D361A4" w14:textId="77777777" w:rsidR="0005593A" w:rsidRDefault="00D776A1">
    <w:pPr>
      <w:pStyle w:val="Header"/>
      <w:rPr>
        <w:rFonts w:ascii="Century Schoolbook" w:hAnsi="Century Schoolbook"/>
        <w:b/>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E47784" w14:textId="77777777" w:rsidR="00B653C1" w:rsidRDefault="00425286" w:rsidP="003E6AA4">
    <w:pPr>
      <w:pStyle w:val="Header"/>
      <w:tabs>
        <w:tab w:val="clear" w:pos="8640"/>
        <w:tab w:val="left" w:pos="4590"/>
      </w:tabs>
      <w:jc w:val="center"/>
      <w:rPr>
        <w:sz w:val="28"/>
        <w:szCs w:val="28"/>
      </w:rPr>
    </w:pPr>
    <w:r w:rsidRPr="002B1BC7">
      <w:rPr>
        <w:sz w:val="28"/>
        <w:szCs w:val="28"/>
      </w:rPr>
      <w:t>DFARS Procedures, Guidance, and Information</w:t>
    </w:r>
  </w:p>
  <w:p w14:paraId="67C9DD51" w14:textId="77777777" w:rsidR="00B653C1" w:rsidRPr="002B1BC7" w:rsidRDefault="00D776A1" w:rsidP="003E6AA4">
    <w:pPr>
      <w:pStyle w:val="Header"/>
      <w:tabs>
        <w:tab w:val="clear" w:pos="8640"/>
        <w:tab w:val="left" w:pos="4590"/>
      </w:tabs>
      <w:jc w:val="center"/>
      <w:rPr>
        <w:sz w:val="28"/>
        <w:szCs w:val="28"/>
      </w:rPr>
    </w:pPr>
  </w:p>
  <w:p w14:paraId="463C4883" w14:textId="77777777" w:rsidR="00B653C1" w:rsidRPr="00BC71C0" w:rsidRDefault="0042528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16</w:t>
    </w:r>
    <w:r w:rsidRPr="00BC71C0">
      <w:rPr>
        <w:szCs w:val="24"/>
      </w:rPr>
      <w:t>—</w:t>
    </w:r>
    <w:r>
      <w:rPr>
        <w:szCs w:val="24"/>
      </w:rPr>
      <w:t>Types of Contracts</w:t>
    </w:r>
  </w:p>
  <w:p w14:paraId="11B6AC80" w14:textId="77777777" w:rsidR="00B653C1" w:rsidRDefault="00D776A1">
    <w:pPr>
      <w:pStyle w:val="Header"/>
      <w:tabs>
        <w:tab w:val="clear" w:pos="8640"/>
        <w:tab w:val="right" w:pos="9260"/>
      </w:tabs>
      <w:spacing w:before="20" w:line="20" w:lineRule="exact"/>
      <w:rPr>
        <w:rFonts w:ascii="Geneva" w:hAnsi="Geneva"/>
        <w:b/>
        <w:position w:val="6"/>
        <w:sz w:val="18"/>
      </w:rPr>
    </w:pPr>
  </w:p>
  <w:p w14:paraId="280454FC" w14:textId="77777777" w:rsidR="00B653C1" w:rsidRDefault="00D776A1">
    <w:pPr>
      <w:pStyle w:val="Header"/>
      <w:tabs>
        <w:tab w:val="clear" w:pos="8640"/>
        <w:tab w:val="right" w:pos="9260"/>
      </w:tabs>
      <w:rPr>
        <w:rFonts w:ascii="Century Schoolbook" w:hAnsi="Century Schoolbook"/>
        <w:b/>
        <w:sz w:val="20"/>
      </w:rPr>
    </w:pPr>
  </w:p>
  <w:p w14:paraId="493D2103" w14:textId="77777777" w:rsidR="00B653C1" w:rsidRDefault="00D776A1">
    <w:pPr>
      <w:pStyle w:val="Header"/>
      <w:rPr>
        <w:rFonts w:ascii="Century Schoolbook" w:hAnsi="Century Schoolbook"/>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2FA24" w14:textId="77777777" w:rsidR="00414D99" w:rsidRDefault="00425286" w:rsidP="003E6AA4">
    <w:pPr>
      <w:pStyle w:val="Header"/>
      <w:tabs>
        <w:tab w:val="clear" w:pos="8640"/>
        <w:tab w:val="left" w:pos="4590"/>
      </w:tabs>
      <w:jc w:val="center"/>
      <w:rPr>
        <w:sz w:val="28"/>
        <w:szCs w:val="28"/>
      </w:rPr>
    </w:pPr>
    <w:r w:rsidRPr="002B1BC7">
      <w:rPr>
        <w:sz w:val="28"/>
        <w:szCs w:val="28"/>
      </w:rPr>
      <w:t>DFARS Procedures, Guidance, and Information</w:t>
    </w:r>
  </w:p>
  <w:p w14:paraId="4E7316E9" w14:textId="77777777" w:rsidR="00414D99" w:rsidRPr="002B1BC7" w:rsidRDefault="00D776A1" w:rsidP="003E6AA4">
    <w:pPr>
      <w:pStyle w:val="Header"/>
      <w:tabs>
        <w:tab w:val="clear" w:pos="8640"/>
        <w:tab w:val="left" w:pos="4590"/>
      </w:tabs>
      <w:jc w:val="center"/>
      <w:rPr>
        <w:sz w:val="28"/>
        <w:szCs w:val="28"/>
      </w:rPr>
    </w:pPr>
  </w:p>
  <w:p w14:paraId="3042CEB3" w14:textId="77777777" w:rsidR="00414D99" w:rsidRPr="00BC71C0" w:rsidRDefault="00425286">
    <w:pPr>
      <w:pStyle w:val="Header"/>
      <w:pBdr>
        <w:bottom w:val="single" w:sz="6" w:space="1" w:color="auto"/>
      </w:pBdr>
      <w:tabs>
        <w:tab w:val="clear" w:pos="8640"/>
        <w:tab w:val="right" w:pos="9260"/>
      </w:tabs>
      <w:spacing w:after="20"/>
      <w:rPr>
        <w:szCs w:val="24"/>
      </w:rPr>
    </w:pPr>
    <w:r w:rsidRPr="00BC71C0">
      <w:rPr>
        <w:szCs w:val="24"/>
      </w:rPr>
      <w:t>P</w:t>
    </w:r>
    <w:r>
      <w:rPr>
        <w:szCs w:val="24"/>
      </w:rPr>
      <w:t>GI</w:t>
    </w:r>
    <w:r w:rsidRPr="00BC71C0">
      <w:rPr>
        <w:szCs w:val="24"/>
      </w:rPr>
      <w:t xml:space="preserve"> 2</w:t>
    </w:r>
    <w:r>
      <w:rPr>
        <w:szCs w:val="24"/>
      </w:rPr>
      <w:t>16</w:t>
    </w:r>
    <w:r w:rsidRPr="00BC71C0">
      <w:rPr>
        <w:szCs w:val="24"/>
      </w:rPr>
      <w:t>—</w:t>
    </w:r>
    <w:r>
      <w:rPr>
        <w:szCs w:val="24"/>
      </w:rPr>
      <w:t>Types of Contracts</w:t>
    </w:r>
  </w:p>
  <w:p w14:paraId="0E006BA4" w14:textId="77777777" w:rsidR="00414D99" w:rsidRDefault="00D776A1">
    <w:pPr>
      <w:pStyle w:val="Header"/>
      <w:tabs>
        <w:tab w:val="clear" w:pos="8640"/>
        <w:tab w:val="right" w:pos="9260"/>
      </w:tabs>
      <w:spacing w:before="20" w:line="20" w:lineRule="exact"/>
      <w:rPr>
        <w:rFonts w:ascii="Geneva" w:hAnsi="Geneva"/>
        <w:b/>
        <w:position w:val="6"/>
        <w:sz w:val="18"/>
      </w:rPr>
    </w:pPr>
  </w:p>
  <w:p w14:paraId="412E3869" w14:textId="77777777" w:rsidR="00414D99" w:rsidRDefault="00D776A1">
    <w:pPr>
      <w:pStyle w:val="Header"/>
      <w:tabs>
        <w:tab w:val="clear" w:pos="8640"/>
        <w:tab w:val="right" w:pos="9260"/>
      </w:tabs>
      <w:rPr>
        <w:rFonts w:ascii="Century Schoolbook" w:hAnsi="Century Schoolbook"/>
        <w:b/>
        <w:sz w:val="20"/>
      </w:rPr>
    </w:pPr>
  </w:p>
  <w:p w14:paraId="2536F913" w14:textId="77777777" w:rsidR="00414D99" w:rsidRDefault="00D776A1">
    <w:pPr>
      <w:pStyle w:val="Header"/>
      <w:rPr>
        <w:rFonts w:ascii="Century Schoolbook" w:hAnsi="Century Schoolbook"/>
        <w:b/>
        <w:sz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86"/>
    <w:rsid w:val="00021AEC"/>
    <w:rsid w:val="00425286"/>
    <w:rsid w:val="00505901"/>
    <w:rsid w:val="007D6208"/>
    <w:rsid w:val="00850595"/>
    <w:rsid w:val="0093600A"/>
    <w:rsid w:val="00B06A06"/>
    <w:rsid w:val="00B46DD1"/>
    <w:rsid w:val="00B8095C"/>
    <w:rsid w:val="00BF48DE"/>
    <w:rsid w:val="00D776A1"/>
    <w:rsid w:val="00EE23E5"/>
    <w:rsid w:val="00F2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E9FE"/>
  <w15:chartTrackingRefBased/>
  <w15:docId w15:val="{8E6445AB-566D-4782-9FC6-847CA7E2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cs="Arial"/>
    </w:rPr>
  </w:style>
  <w:style w:type="paragraph" w:styleId="Heading1">
    <w:name w:val="heading 1"/>
    <w:basedOn w:val="Normal"/>
    <w:next w:val="Normal"/>
    <w:link w:val="Heading1Char"/>
    <w:uiPriority w:val="9"/>
    <w:qFormat/>
    <w:rsid w:val="00425286"/>
    <w:pPr>
      <w:keepNext/>
      <w:keepLines/>
      <w:spacing w:before="240" w:after="0" w:afterAutospacing="1" w:line="240" w:lineRule="auto"/>
      <w:jc w:val="center"/>
      <w:outlineLvl w:val="0"/>
    </w:pPr>
    <w:rPr>
      <w:rFonts w:eastAsiaTheme="majorEastAsia"/>
      <w:b/>
      <w:color w:val="000000" w:themeColor="text1"/>
      <w:sz w:val="28"/>
      <w:szCs w:val="32"/>
    </w:rPr>
  </w:style>
  <w:style w:type="paragraph" w:styleId="Heading2">
    <w:name w:val="heading 2"/>
    <w:link w:val="Heading2Char"/>
    <w:uiPriority w:val="9"/>
    <w:semiHidden/>
    <w:unhideWhenUsed/>
    <w:qFormat/>
    <w:rsid w:val="00425286"/>
    <w:pPr>
      <w:keepNext/>
      <w:keepLines/>
      <w:spacing w:before="40" w:after="0" w:line="240" w:lineRule="auto"/>
      <w:outlineLvl w:val="1"/>
    </w:pPr>
    <w:rPr>
      <w:rFonts w:ascii="Arial" w:eastAsiaTheme="majorEastAsia" w:hAnsi="Arial" w:cs="Arial"/>
      <w:b/>
      <w:sz w:val="28"/>
      <w:szCs w:val="26"/>
    </w:rPr>
  </w:style>
  <w:style w:type="paragraph" w:styleId="Heading3">
    <w:name w:val="heading 3"/>
    <w:basedOn w:val="Normal"/>
    <w:next w:val="Normal"/>
    <w:link w:val="Heading3Char"/>
    <w:qFormat/>
    <w:rsid w:val="00425286"/>
    <w:pPr>
      <w:keepNext/>
      <w:tabs>
        <w:tab w:val="left" w:pos="1000"/>
      </w:tabs>
      <w:spacing w:before="120" w:after="120" w:afterAutospacing="1" w:line="240" w:lineRule="auto"/>
      <w:outlineLvl w:val="2"/>
    </w:pPr>
    <w:rPr>
      <w:rFonts w:eastAsia="Times New Roman"/>
      <w:szCs w:val="20"/>
    </w:rPr>
  </w:style>
  <w:style w:type="paragraph" w:styleId="Heading4">
    <w:name w:val="heading 4"/>
    <w:basedOn w:val="Normal"/>
    <w:next w:val="Normal"/>
    <w:link w:val="Heading4Char"/>
    <w:qFormat/>
    <w:rsid w:val="00425286"/>
    <w:pPr>
      <w:spacing w:before="120" w:after="100" w:afterAutospacing="1" w:line="240" w:lineRule="auto"/>
      <w:outlineLvl w:val="3"/>
    </w:pPr>
    <w:rPr>
      <w:rFonts w:eastAsia="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286"/>
    <w:rPr>
      <w:rFonts w:ascii="Arial" w:eastAsiaTheme="majorEastAsia" w:hAnsi="Arial" w:cs="Arial"/>
      <w:b/>
      <w:color w:val="000000" w:themeColor="text1"/>
      <w:sz w:val="28"/>
      <w:szCs w:val="32"/>
    </w:rPr>
  </w:style>
  <w:style w:type="character" w:customStyle="1" w:styleId="Heading2Char">
    <w:name w:val="Heading 2 Char"/>
    <w:basedOn w:val="DefaultParagraphFont"/>
    <w:link w:val="Heading2"/>
    <w:uiPriority w:val="9"/>
    <w:semiHidden/>
    <w:rsid w:val="00425286"/>
    <w:rPr>
      <w:rFonts w:ascii="Arial" w:eastAsiaTheme="majorEastAsia" w:hAnsi="Arial" w:cs="Arial"/>
      <w:b/>
      <w:sz w:val="28"/>
      <w:szCs w:val="26"/>
    </w:rPr>
  </w:style>
  <w:style w:type="character" w:customStyle="1" w:styleId="Heading3Char">
    <w:name w:val="Heading 3 Char"/>
    <w:basedOn w:val="DefaultParagraphFont"/>
    <w:link w:val="Heading3"/>
    <w:rsid w:val="00425286"/>
    <w:rPr>
      <w:rFonts w:ascii="Arial" w:eastAsia="Times New Roman" w:hAnsi="Arial" w:cs="Arial"/>
      <w:szCs w:val="20"/>
    </w:rPr>
  </w:style>
  <w:style w:type="character" w:customStyle="1" w:styleId="Heading4Char">
    <w:name w:val="Heading 4 Char"/>
    <w:basedOn w:val="DefaultParagraphFont"/>
    <w:link w:val="Heading4"/>
    <w:rsid w:val="00425286"/>
    <w:rPr>
      <w:rFonts w:ascii="Arial" w:eastAsia="Times New Roman" w:hAnsi="Arial" w:cs="Arial"/>
      <w:szCs w:val="20"/>
    </w:rPr>
  </w:style>
  <w:style w:type="paragraph" w:styleId="Footer">
    <w:name w:val="footer"/>
    <w:basedOn w:val="Normal"/>
    <w:link w:val="FooterChar"/>
    <w:rsid w:val="00425286"/>
    <w:pPr>
      <w:tabs>
        <w:tab w:val="left" w:pos="1000"/>
        <w:tab w:val="center" w:pos="4320"/>
        <w:tab w:val="right" w:pos="8640"/>
      </w:tabs>
      <w:spacing w:before="120" w:after="100" w:afterAutospacing="1" w:line="240" w:lineRule="auto"/>
    </w:pPr>
    <w:rPr>
      <w:rFonts w:eastAsia="Times New Roman"/>
      <w:szCs w:val="20"/>
    </w:rPr>
  </w:style>
  <w:style w:type="character" w:customStyle="1" w:styleId="FooterChar">
    <w:name w:val="Footer Char"/>
    <w:basedOn w:val="DefaultParagraphFont"/>
    <w:link w:val="Footer"/>
    <w:rsid w:val="00425286"/>
    <w:rPr>
      <w:rFonts w:ascii="Arial" w:eastAsia="Times New Roman" w:hAnsi="Arial" w:cs="Arial"/>
      <w:szCs w:val="20"/>
    </w:rPr>
  </w:style>
  <w:style w:type="paragraph" w:styleId="Header">
    <w:name w:val="header"/>
    <w:basedOn w:val="Normal"/>
    <w:link w:val="HeaderChar"/>
    <w:rsid w:val="00425286"/>
    <w:pPr>
      <w:tabs>
        <w:tab w:val="left" w:pos="1000"/>
        <w:tab w:val="center" w:pos="4320"/>
        <w:tab w:val="right" w:pos="8640"/>
      </w:tabs>
      <w:spacing w:before="120" w:after="100" w:afterAutospacing="1" w:line="240" w:lineRule="auto"/>
    </w:pPr>
    <w:rPr>
      <w:rFonts w:eastAsia="Times New Roman"/>
      <w:szCs w:val="20"/>
    </w:rPr>
  </w:style>
  <w:style w:type="character" w:customStyle="1" w:styleId="HeaderChar">
    <w:name w:val="Header Char"/>
    <w:basedOn w:val="DefaultParagraphFont"/>
    <w:link w:val="Header"/>
    <w:rsid w:val="00425286"/>
    <w:rPr>
      <w:rFonts w:ascii="Arial" w:eastAsia="Times New Roman" w:hAnsi="Arial" w:cs="Arial"/>
      <w:szCs w:val="20"/>
    </w:rPr>
  </w:style>
  <w:style w:type="character" w:styleId="Hyperlink">
    <w:name w:val="Hyperlink"/>
    <w:basedOn w:val="DefaultParagraphFont"/>
    <w:uiPriority w:val="99"/>
    <w:rsid w:val="00425286"/>
    <w:rPr>
      <w:color w:val="0000FF"/>
      <w:u w:val="single"/>
    </w:rPr>
  </w:style>
  <w:style w:type="paragraph" w:styleId="List2">
    <w:name w:val="List 2"/>
    <w:uiPriority w:val="99"/>
    <w:unhideWhenUsed/>
    <w:rsid w:val="00425286"/>
    <w:pPr>
      <w:spacing w:after="0" w:line="240" w:lineRule="auto"/>
      <w:ind w:left="720" w:hanging="360"/>
      <w:contextualSpacing/>
    </w:pPr>
    <w:rPr>
      <w:rFonts w:ascii="Arial" w:eastAsia="Times New Roman" w:hAnsi="Arial" w:cs="Arial"/>
      <w:szCs w:val="20"/>
    </w:rPr>
  </w:style>
  <w:style w:type="paragraph" w:styleId="List3">
    <w:name w:val="List 3"/>
    <w:link w:val="List3Char"/>
    <w:uiPriority w:val="99"/>
    <w:unhideWhenUsed/>
    <w:rsid w:val="00425286"/>
    <w:pPr>
      <w:spacing w:after="0" w:line="240" w:lineRule="auto"/>
      <w:ind w:left="1080" w:hanging="360"/>
      <w:contextualSpacing/>
    </w:pPr>
    <w:rPr>
      <w:rFonts w:ascii="Arial" w:eastAsia="Times New Roman" w:hAnsi="Arial" w:cs="Arial"/>
      <w:szCs w:val="20"/>
    </w:rPr>
  </w:style>
  <w:style w:type="paragraph" w:styleId="List4">
    <w:name w:val="List 4"/>
    <w:link w:val="List4Char"/>
    <w:uiPriority w:val="99"/>
    <w:unhideWhenUsed/>
    <w:rsid w:val="00425286"/>
    <w:pPr>
      <w:spacing w:after="0" w:line="240" w:lineRule="auto"/>
      <w:ind w:left="1440" w:hanging="360"/>
      <w:contextualSpacing/>
    </w:pPr>
    <w:rPr>
      <w:rFonts w:ascii="Arial" w:eastAsia="Times New Roman" w:hAnsi="Arial" w:cs="Arial"/>
      <w:szCs w:val="20"/>
    </w:rPr>
  </w:style>
  <w:style w:type="character" w:customStyle="1" w:styleId="List4Char">
    <w:name w:val="List 4 Char"/>
    <w:basedOn w:val="DefaultParagraphFont"/>
    <w:link w:val="List4"/>
    <w:uiPriority w:val="99"/>
    <w:rsid w:val="00425286"/>
    <w:rPr>
      <w:rFonts w:ascii="Arial" w:eastAsia="Times New Roman" w:hAnsi="Arial" w:cs="Arial"/>
      <w:szCs w:val="20"/>
    </w:rPr>
  </w:style>
  <w:style w:type="character" w:styleId="PageNumber">
    <w:name w:val="page number"/>
    <w:basedOn w:val="DefaultParagraphFont"/>
    <w:rsid w:val="00425286"/>
  </w:style>
  <w:style w:type="paragraph" w:customStyle="1" w:styleId="DFARS">
    <w:name w:val="DFARS"/>
    <w:basedOn w:val="Normal"/>
    <w:link w:val="DFARSChar"/>
    <w:rsid w:val="00425286"/>
    <w:pPr>
      <w:tabs>
        <w:tab w:val="left" w:pos="360"/>
        <w:tab w:val="left" w:pos="810"/>
        <w:tab w:val="left" w:pos="1210"/>
        <w:tab w:val="left" w:pos="1656"/>
        <w:tab w:val="left" w:pos="2131"/>
        <w:tab w:val="left" w:pos="2520"/>
      </w:tabs>
      <w:spacing w:before="120" w:after="100" w:afterAutospacing="1" w:line="240" w:lineRule="exact"/>
    </w:pPr>
    <w:rPr>
      <w:rFonts w:ascii="Century Schoolbook" w:eastAsia="Times New Roman" w:hAnsi="Century Schoolbook"/>
      <w:b/>
      <w:spacing w:val="-5"/>
      <w:kern w:val="20"/>
      <w:szCs w:val="20"/>
    </w:rPr>
  </w:style>
  <w:style w:type="character" w:customStyle="1" w:styleId="DFARSChar">
    <w:name w:val="DFARS Char"/>
    <w:link w:val="DFARS"/>
    <w:rsid w:val="00425286"/>
    <w:rPr>
      <w:rFonts w:ascii="Century Schoolbook" w:eastAsia="Times New Roman" w:hAnsi="Century Schoolbook" w:cs="Arial"/>
      <w:b/>
      <w:spacing w:val="-5"/>
      <w:kern w:val="20"/>
      <w:szCs w:val="20"/>
    </w:rPr>
  </w:style>
  <w:style w:type="paragraph" w:customStyle="1" w:styleId="List1">
    <w:name w:val="List 1"/>
    <w:link w:val="List1Char"/>
    <w:rsid w:val="00425286"/>
    <w:pPr>
      <w:spacing w:after="0" w:line="240" w:lineRule="auto"/>
      <w:ind w:hanging="360"/>
      <w:contextualSpacing/>
    </w:pPr>
    <w:rPr>
      <w:rFonts w:ascii="Arial" w:eastAsia="Times New Roman" w:hAnsi="Arial" w:cs="Arial"/>
      <w:szCs w:val="24"/>
    </w:rPr>
  </w:style>
  <w:style w:type="character" w:customStyle="1" w:styleId="List1Char">
    <w:name w:val="List 1 Char"/>
    <w:basedOn w:val="Heading4Char"/>
    <w:link w:val="List1"/>
    <w:rsid w:val="00425286"/>
    <w:rPr>
      <w:rFonts w:ascii="Arial" w:eastAsia="Times New Roman" w:hAnsi="Arial" w:cs="Arial"/>
      <w:szCs w:val="24"/>
    </w:rPr>
  </w:style>
  <w:style w:type="paragraph" w:customStyle="1" w:styleId="List6">
    <w:name w:val="List 6"/>
    <w:basedOn w:val="List2"/>
    <w:link w:val="List6Char"/>
    <w:rsid w:val="00425286"/>
    <w:pPr>
      <w:spacing w:after="160" w:line="259" w:lineRule="auto"/>
      <w:ind w:left="1800" w:firstLine="0"/>
    </w:pPr>
    <w:rPr>
      <w:szCs w:val="24"/>
    </w:rPr>
  </w:style>
  <w:style w:type="character" w:customStyle="1" w:styleId="List6Char">
    <w:name w:val="List 6 Char"/>
    <w:basedOn w:val="List4Char"/>
    <w:link w:val="List6"/>
    <w:rsid w:val="00425286"/>
    <w:rPr>
      <w:rFonts w:ascii="Arial" w:eastAsia="Times New Roman" w:hAnsi="Arial" w:cs="Arial"/>
      <w:szCs w:val="24"/>
    </w:rPr>
  </w:style>
  <w:style w:type="character" w:customStyle="1" w:styleId="List3Char">
    <w:name w:val="List 3 Char"/>
    <w:basedOn w:val="DefaultParagraphFont"/>
    <w:link w:val="List3"/>
    <w:uiPriority w:val="99"/>
    <w:rsid w:val="00425286"/>
    <w:rPr>
      <w:rFonts w:ascii="Arial" w:eastAsia="Times New Roman" w:hAnsi="Arial" w:cs="Arial"/>
      <w:szCs w:val="20"/>
    </w:rPr>
  </w:style>
  <w:style w:type="paragraph" w:styleId="TOC1">
    <w:name w:val="toc 1"/>
    <w:basedOn w:val="Normal"/>
    <w:next w:val="Normal"/>
    <w:autoRedefine/>
    <w:uiPriority w:val="39"/>
    <w:unhideWhenUsed/>
    <w:rsid w:val="00425286"/>
    <w:pPr>
      <w:spacing w:after="100"/>
    </w:pPr>
  </w:style>
  <w:style w:type="paragraph" w:styleId="TOC2">
    <w:name w:val="toc 2"/>
    <w:basedOn w:val="Normal"/>
    <w:next w:val="Normal"/>
    <w:autoRedefine/>
    <w:uiPriority w:val="39"/>
    <w:unhideWhenUsed/>
    <w:rsid w:val="00425286"/>
    <w:pPr>
      <w:spacing w:after="100"/>
      <w:ind w:left="220"/>
    </w:pPr>
  </w:style>
  <w:style w:type="paragraph" w:styleId="TOC3">
    <w:name w:val="toc 3"/>
    <w:basedOn w:val="Normal"/>
    <w:next w:val="Normal"/>
    <w:autoRedefine/>
    <w:uiPriority w:val="39"/>
    <w:unhideWhenUsed/>
    <w:rsid w:val="00425286"/>
    <w:pPr>
      <w:spacing w:after="100"/>
      <w:ind w:left="440"/>
    </w:pPr>
  </w:style>
  <w:style w:type="paragraph" w:styleId="TOC4">
    <w:name w:val="toc 4"/>
    <w:basedOn w:val="Normal"/>
    <w:next w:val="Normal"/>
    <w:autoRedefine/>
    <w:uiPriority w:val="39"/>
    <w:unhideWhenUsed/>
    <w:rsid w:val="00425286"/>
    <w:pPr>
      <w:spacing w:after="100"/>
      <w:ind w:left="660"/>
    </w:pPr>
  </w:style>
  <w:style w:type="paragraph" w:styleId="TOC5">
    <w:name w:val="toc 5"/>
    <w:basedOn w:val="Normal"/>
    <w:next w:val="Normal"/>
    <w:autoRedefine/>
    <w:uiPriority w:val="39"/>
    <w:semiHidden/>
    <w:unhideWhenUsed/>
    <w:rsid w:val="00425286"/>
    <w:pPr>
      <w:spacing w:after="100"/>
      <w:ind w:left="880"/>
    </w:pPr>
  </w:style>
  <w:style w:type="paragraph" w:styleId="TOC6">
    <w:name w:val="toc 6"/>
    <w:basedOn w:val="Normal"/>
    <w:next w:val="Normal"/>
    <w:autoRedefine/>
    <w:uiPriority w:val="39"/>
    <w:semiHidden/>
    <w:unhideWhenUsed/>
    <w:rsid w:val="00425286"/>
    <w:pPr>
      <w:spacing w:after="100"/>
      <w:ind w:left="1100"/>
    </w:pPr>
  </w:style>
  <w:style w:type="paragraph" w:styleId="TOC7">
    <w:name w:val="toc 7"/>
    <w:basedOn w:val="Normal"/>
    <w:next w:val="Normal"/>
    <w:autoRedefine/>
    <w:uiPriority w:val="39"/>
    <w:semiHidden/>
    <w:unhideWhenUsed/>
    <w:rsid w:val="00425286"/>
    <w:pPr>
      <w:spacing w:after="100"/>
      <w:ind w:left="1320"/>
    </w:pPr>
  </w:style>
  <w:style w:type="paragraph" w:styleId="TOC8">
    <w:name w:val="toc 8"/>
    <w:basedOn w:val="Normal"/>
    <w:next w:val="Normal"/>
    <w:autoRedefine/>
    <w:uiPriority w:val="39"/>
    <w:semiHidden/>
    <w:unhideWhenUsed/>
    <w:rsid w:val="00425286"/>
    <w:pPr>
      <w:spacing w:after="100"/>
      <w:ind w:left="1540"/>
    </w:pPr>
  </w:style>
  <w:style w:type="paragraph" w:styleId="TOC9">
    <w:name w:val="toc 9"/>
    <w:basedOn w:val="Normal"/>
    <w:next w:val="Normal"/>
    <w:autoRedefine/>
    <w:uiPriority w:val="39"/>
    <w:semiHidden/>
    <w:unhideWhenUsed/>
    <w:rsid w:val="00425286"/>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cq.osd.mil/dpap/dars/dfars/html/current/235_0.htm" TargetMode="External"/><Relationship Id="rId13" Type="http://schemas.openxmlformats.org/officeDocument/2006/relationships/footer" Target="footer2.xml"/><Relationship Id="rId18" Type="http://schemas.openxmlformats.org/officeDocument/2006/relationships/hyperlink" Target="https://www.acq.osd.mil/dpap/dars/dfars/html/current/216_4.htm" TargetMode="External"/><Relationship Id="rId26" Type="http://schemas.openxmlformats.org/officeDocument/2006/relationships/footer" Target="footer5.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www.acq.osd.mil/dpap/dars/dfars/html/current/235_0.htm" TargetMode="External"/><Relationship Id="rId12" Type="http://schemas.openxmlformats.org/officeDocument/2006/relationships/header" Target="header2.xml"/><Relationship Id="rId17" Type="http://schemas.openxmlformats.org/officeDocument/2006/relationships/hyperlink" Target="https://www.acq.osd.mil/dpap/dars/pgi/pgi_htm/current/PGI217_2.htm" TargetMode="External"/><Relationship Id="rId25" Type="http://schemas.openxmlformats.org/officeDocument/2006/relationships/header" Target="header5.xml"/><Relationship Id="rId2" Type="http://schemas.openxmlformats.org/officeDocument/2006/relationships/settings" Target="settings.xml"/><Relationship Id="rId16" Type="http://schemas.openxmlformats.org/officeDocument/2006/relationships/hyperlink" Target="https://www.acq.osd.mil/dpap/dars/dfars/html/current/216_4.htm" TargetMode="External"/><Relationship Id="rId20" Type="http://schemas.openxmlformats.org/officeDocument/2006/relationships/hyperlink" Target="https://www.acq.osd.mil/dpap/dars/dfars/html/current/217_74.htm" TargetMode="External"/><Relationship Id="rId29" Type="http://schemas.openxmlformats.org/officeDocument/2006/relationships/header" Target="header7.xml"/><Relationship Id="rId1" Type="http://schemas.openxmlformats.org/officeDocument/2006/relationships/styles" Target="styles.xml"/><Relationship Id="rId6" Type="http://schemas.openxmlformats.org/officeDocument/2006/relationships/hyperlink" Target="http://www.acq.osd.mil/dpap/policy/policyvault/USA001270-16-DPAP.pdf" TargetMode="External"/><Relationship Id="rId11" Type="http://schemas.openxmlformats.org/officeDocument/2006/relationships/footer" Target="footer1.xml"/><Relationship Id="rId24" Type="http://schemas.openxmlformats.org/officeDocument/2006/relationships/footer" Target="footer4.xm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max.omb.gov" TargetMode="External"/><Relationship Id="rId23" Type="http://schemas.openxmlformats.org/officeDocument/2006/relationships/footer" Target="footer3.xml"/><Relationship Id="rId28" Type="http://schemas.openxmlformats.org/officeDocument/2006/relationships/footer" Target="footer6.xml"/><Relationship Id="rId10" Type="http://schemas.openxmlformats.org/officeDocument/2006/relationships/header" Target="header1.xml"/><Relationship Id="rId19" Type="http://schemas.openxmlformats.org/officeDocument/2006/relationships/hyperlink" Target="https://www.acq.osd.mil/dpap/dars/dfars/html/current/216_4.htm"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acq.osd.mil/dpap/dars/dfars/html/current/235_0.htm" TargetMode="External"/><Relationship Id="rId14" Type="http://schemas.openxmlformats.org/officeDocument/2006/relationships/hyperlink" Target="https://acc.dau.mil/awardandincentivefees" TargetMode="External"/><Relationship Id="rId22" Type="http://schemas.openxmlformats.org/officeDocument/2006/relationships/header" Target="header4.xml"/><Relationship Id="rId27" Type="http://schemas.openxmlformats.org/officeDocument/2006/relationships/header" Target="header6.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31</Pages>
  <Words>6572</Words>
  <Characters>37464</Characters>
  <Application>Microsoft Office Word</Application>
  <DocSecurity>0</DocSecurity>
  <Lines>312</Lines>
  <Paragraphs>87</Paragraphs>
  <ScaleCrop>false</ScaleCrop>
  <Company/>
  <LinksUpToDate>false</LinksUpToDate>
  <CharactersWithSpaces>43949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Pangborn</dc:creator>
  <cp:keywords/>
  <dc:description/>
  <cp:lastModifiedBy>Gregory Pangborn</cp:lastModifiedBy>
  <cp:revision>4</cp:revision>
  <dcterms:created xsi:type="dcterms:W3CDTF">2020-04-10T16:53:00Z</dcterms:created>
  <dcterms:modified xsi:type="dcterms:W3CDTF">2020-04-14T15:22:00Z</dcterms:modified>
</cp:coreProperties>
</file>