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BA391" w14:textId="77777777" w:rsidR="00AA24D5" w:rsidRDefault="00AA24D5">
      <w:pPr>
        <w:sectPr w:rsidR="00AA24D5">
          <w:pgSz w:w="12240" w:h="15840"/>
          <w:pgMar w:top="1440" w:right="1440" w:bottom="1440" w:left="1440" w:header="720" w:footer="720" w:gutter="0"/>
          <w:cols w:space="720"/>
          <w:docGrid w:linePitch="360"/>
        </w:sectPr>
      </w:pPr>
    </w:p>
    <w:p w14:paraId="52AEBB08" w14:textId="77777777" w:rsidR="00AA24D5" w:rsidRDefault="00AA24D5" w:rsidP="00C67DD9">
      <w:pPr>
        <w:pStyle w:val="Heading1"/>
      </w:pPr>
      <w:bookmarkStart w:id="0" w:name="_Toc37677513"/>
      <w:bookmarkStart w:id="1" w:name="_Toc37755603"/>
      <w:r>
        <w:lastRenderedPageBreak/>
        <w:t xml:space="preserve">PGI </w:t>
      </w:r>
      <w:r w:rsidRPr="007B495C">
        <w:t>PART 2</w:t>
      </w:r>
      <w:r>
        <w:t>18</w:t>
      </w:r>
      <w:r w:rsidRPr="007B495C">
        <w:t xml:space="preserve"> - </w:t>
      </w:r>
      <w:r>
        <w:br/>
      </w:r>
      <w:r w:rsidRPr="009A0AEF">
        <w:t>EMERGENCY ACQUISITIONS</w:t>
      </w:r>
      <w:bookmarkEnd w:id="0"/>
      <w:bookmarkEnd w:id="1"/>
    </w:p>
    <w:p w14:paraId="1449F514" w14:textId="77777777" w:rsidR="00AA24D5" w:rsidRDefault="00AA24D5">
      <w:r>
        <w:br w:type="page"/>
      </w:r>
      <w:r>
        <w:lastRenderedPageBreak/>
        <w:br/>
      </w:r>
    </w:p>
    <w:p w14:paraId="744BCB91" w14:textId="77777777" w:rsidR="002F2C8F" w:rsidRPr="004C24A8" w:rsidRDefault="002F2C8F" w:rsidP="004C24A8">
      <w:pPr>
        <w:jc w:val="center"/>
        <w:rPr>
          <w:b/>
        </w:rPr>
      </w:pPr>
      <w:r w:rsidRPr="004C24A8">
        <w:rPr>
          <w:b/>
        </w:rPr>
        <w:t>Table of Contents</w:t>
      </w:r>
    </w:p>
    <w:p w14:paraId="1E68EFA6" w14:textId="4833420E" w:rsidR="00647D57" w:rsidRDefault="00647D57" w:rsidP="00647D57">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5603" w:history="1">
        <w:r w:rsidRPr="001306D7">
          <w:rPr>
            <w:rStyle w:val="Hyperlink"/>
            <w:noProof/>
          </w:rPr>
          <w:t>PGI PART 218 -  EMERGENCY ACQUISITIONS</w:t>
        </w:r>
      </w:hyperlink>
    </w:p>
    <w:p w14:paraId="3ABE62BC" w14:textId="6B75096F" w:rsidR="00647D57" w:rsidRDefault="00647D57" w:rsidP="00647D57">
      <w:pPr>
        <w:pStyle w:val="TOC2"/>
        <w:tabs>
          <w:tab w:val="right" w:leader="dot" w:pos="9350"/>
        </w:tabs>
        <w:rPr>
          <w:rFonts w:asciiTheme="minorHAnsi" w:eastAsiaTheme="minorEastAsia" w:hAnsiTheme="minorHAnsi" w:cstheme="minorBidi"/>
          <w:noProof/>
        </w:rPr>
      </w:pPr>
      <w:hyperlink w:anchor="_Toc37755604" w:history="1">
        <w:r w:rsidRPr="001306D7">
          <w:rPr>
            <w:rStyle w:val="Hyperlink"/>
            <w:noProof/>
          </w:rPr>
          <w:t>PGI 218.2—EMERGENCY ACQUISITION FLEXIBILITIES</w:t>
        </w:r>
      </w:hyperlink>
    </w:p>
    <w:p w14:paraId="34DE9F50" w14:textId="56748F11" w:rsidR="00647D57" w:rsidRDefault="00647D57" w:rsidP="00647D57">
      <w:pPr>
        <w:pStyle w:val="TOC3"/>
        <w:tabs>
          <w:tab w:val="right" w:leader="dot" w:pos="9350"/>
        </w:tabs>
        <w:rPr>
          <w:rFonts w:asciiTheme="minorHAnsi" w:eastAsiaTheme="minorEastAsia" w:hAnsiTheme="minorHAnsi" w:cstheme="minorBidi"/>
          <w:noProof/>
        </w:rPr>
      </w:pPr>
      <w:hyperlink w:anchor="_Toc37755605" w:history="1">
        <w:r w:rsidRPr="001306D7">
          <w:rPr>
            <w:rStyle w:val="Hyperlink"/>
            <w:b/>
            <w:noProof/>
          </w:rPr>
          <w:t>PGI 218.271  Use of electronic business tools.</w:t>
        </w:r>
      </w:hyperlink>
    </w:p>
    <w:p w14:paraId="69FF0627" w14:textId="5B9291CF" w:rsidR="00AA24D5" w:rsidRPr="00AA24D5" w:rsidRDefault="00647D57" w:rsidP="00AA24D5">
      <w:r>
        <w:rPr>
          <w:rStyle w:val="Hyperlink"/>
          <w:noProof/>
        </w:rPr>
        <w:fldChar w:fldCharType="end"/>
      </w:r>
    </w:p>
    <w:p w14:paraId="779C0026" w14:textId="77777777" w:rsidR="00AA24D5" w:rsidRDefault="00AA24D5" w:rsidP="001A735E">
      <w:pPr>
        <w:jc w:val="center"/>
      </w:pPr>
      <w:bookmarkStart w:id="2" w:name="BM206_2"/>
      <w:r w:rsidRPr="001209E5">
        <w:rPr>
          <w:i/>
          <w:szCs w:val="24"/>
        </w:rPr>
        <w:t>(</w:t>
      </w:r>
      <w:r>
        <w:rPr>
          <w:i/>
          <w:szCs w:val="24"/>
        </w:rPr>
        <w:t>Revised May 30, 2018</w:t>
      </w:r>
      <w:r w:rsidRPr="001209E5">
        <w:rPr>
          <w:i/>
          <w:szCs w:val="24"/>
        </w:rPr>
        <w:t>)</w:t>
      </w:r>
    </w:p>
    <w:p w14:paraId="36BEA6EB" w14:textId="77777777" w:rsidR="00AA24D5" w:rsidRDefault="00AA24D5" w:rsidP="001A735E">
      <w:pPr>
        <w:pStyle w:val="Heading2"/>
      </w:pPr>
      <w:r>
        <w:rPr>
          <w:i/>
          <w:szCs w:val="24"/>
        </w:rPr>
        <w:br/>
      </w:r>
      <w:bookmarkStart w:id="3" w:name="_Toc37415748"/>
      <w:bookmarkStart w:id="4" w:name="_Toc37677514"/>
      <w:bookmarkStart w:id="5" w:name="_Toc37755604"/>
      <w:bookmarkEnd w:id="2"/>
      <w:r w:rsidRPr="001209E5">
        <w:rPr>
          <w:szCs w:val="24"/>
        </w:rPr>
        <w:t>PGI 21</w:t>
      </w:r>
      <w:r>
        <w:rPr>
          <w:szCs w:val="24"/>
        </w:rPr>
        <w:t>8</w:t>
      </w:r>
      <w:r w:rsidRPr="001209E5">
        <w:rPr>
          <w:szCs w:val="24"/>
        </w:rPr>
        <w:t>.2</w:t>
      </w:r>
      <w:r>
        <w:rPr>
          <w:szCs w:val="24"/>
        </w:rPr>
        <w:t>—EMERGENCY ACQUISITION FLEXIBILITIES</w:t>
      </w:r>
      <w:bookmarkEnd w:id="3"/>
      <w:bookmarkEnd w:id="4"/>
      <w:bookmarkEnd w:id="5"/>
    </w:p>
    <w:p w14:paraId="4B165B9D" w14:textId="77777777" w:rsidR="00AA24D5" w:rsidRDefault="00AA24D5" w:rsidP="001A735E">
      <w:pPr>
        <w:pStyle w:val="Heading3"/>
      </w:pPr>
      <w:r>
        <w:rPr>
          <w:b/>
          <w:szCs w:val="24"/>
        </w:rPr>
        <w:br/>
      </w:r>
      <w:bookmarkStart w:id="6" w:name="_Toc37415749"/>
      <w:bookmarkStart w:id="7" w:name="_Toc37677515"/>
      <w:bookmarkStart w:id="8" w:name="_Toc37755605"/>
      <w:r w:rsidRPr="00623723">
        <w:rPr>
          <w:b/>
        </w:rPr>
        <w:t xml:space="preserve">PGI </w:t>
      </w:r>
      <w:proofErr w:type="gramStart"/>
      <w:r w:rsidRPr="00623723">
        <w:rPr>
          <w:b/>
        </w:rPr>
        <w:t>218.27</w:t>
      </w:r>
      <w:r>
        <w:rPr>
          <w:b/>
        </w:rPr>
        <w:t>1</w:t>
      </w:r>
      <w:r w:rsidRPr="00623723">
        <w:rPr>
          <w:b/>
        </w:rPr>
        <w:t xml:space="preserve">  Use</w:t>
      </w:r>
      <w:proofErr w:type="gramEnd"/>
      <w:r w:rsidRPr="00623723">
        <w:rPr>
          <w:b/>
        </w:rPr>
        <w:t xml:space="preserve"> of electronic business tools.</w:t>
      </w:r>
      <w:bookmarkEnd w:id="6"/>
      <w:bookmarkEnd w:id="7"/>
      <w:bookmarkEnd w:id="8"/>
    </w:p>
    <w:p w14:paraId="33C5727F" w14:textId="77777777" w:rsidR="00AA24D5" w:rsidRPr="00623723" w:rsidRDefault="00AA24D5" w:rsidP="001A735E">
      <w:r>
        <w:rPr>
          <w:b/>
        </w:rPr>
        <w:br/>
      </w:r>
      <w:r w:rsidRPr="00623723">
        <w:t xml:space="preserve">(a)  Use of electronic business (e-business) acquisition tools greatly enhances the efficacy of the contracting process in a contingency business environment (CBE).  The CBE involves specific tools, policies, roles and responsibilities, and processes necessary to streamline delivery of goods and services to the end user and to implement an e-business program with the capabilities necessary to support an end-to-end electronic acquisition process in order to quickly obtain goods and services for the warfighter in an operational area.  For information and procedures to effectively utilize CBE e-business tools, and additional policy references supporting use of the e-business tools, see the DoD CBE Guidebook at </w:t>
      </w:r>
      <w:r w:rsidRPr="00623723">
        <w:fldChar w:fldCharType="begin"/>
      </w:r>
      <w:r w:rsidRPr="00623723">
        <w:instrText xml:space="preserve"> HYPERLINK "http://www.acq.osd.mil/dpap/pacc/cc/docs/CBE_Guidebook.docx</w:instrText>
      </w:r>
    </w:p>
    <w:p w14:paraId="38C65185" w14:textId="77777777" w:rsidR="00AA24D5" w:rsidRDefault="00AA24D5" w:rsidP="001A735E">
      <w:r w:rsidRPr="00623723">
        <w:instrText xml:space="preserve">" </w:instrText>
      </w:r>
      <w:r w:rsidRPr="00623723">
        <w:fldChar w:fldCharType="separate"/>
      </w:r>
      <w:r w:rsidRPr="00623723">
        <w:rPr>
          <w:rStyle w:val="Hyperlink"/>
        </w:rPr>
        <w:t>http://www.acq.osd.mil/dpap/pacc/cc/docs/CBE_Guidebook.docx</w:t>
      </w:r>
      <w:r w:rsidRPr="00623723">
        <w:fldChar w:fldCharType="end"/>
      </w:r>
      <w:r w:rsidRPr="00623723">
        <w:t>.</w:t>
      </w:r>
    </w:p>
    <w:p w14:paraId="2B323DEC" w14:textId="77777777" w:rsidR="00AA24D5" w:rsidRDefault="00AA24D5" w:rsidP="001A735E">
      <w:pPr>
        <w:pStyle w:val="List1"/>
      </w:pPr>
      <w:r>
        <w:br/>
      </w:r>
      <w:r w:rsidRPr="00623723">
        <w:t>(b)  Use of the following CBE e-business tools is mandatory when supporting a contingency or humanitarian or peacekeeping operation as defined in FAR 2.101:</w:t>
      </w:r>
    </w:p>
    <w:p w14:paraId="417E6212" w14:textId="77777777" w:rsidR="00AA24D5" w:rsidRDefault="00AA24D5" w:rsidP="001A735E">
      <w:pPr>
        <w:pStyle w:val="List2"/>
      </w:pPr>
      <w:r>
        <w:br/>
      </w:r>
      <w:r w:rsidRPr="00623723">
        <w:t xml:space="preserve">(1)  The 3in1 Tool.  The 3in1 Tool automates the field order, receipt, and purchase processes previously executed manually using the paper Standard Form (SF) 44.  The 3in1 handheld device records and transmits cash and carry type purchases and </w:t>
      </w:r>
      <w:r w:rsidRPr="00623723">
        <w:lastRenderedPageBreak/>
        <w:t xml:space="preserve">payment data to the prime database for remote reconciliation and review, when conducting on-the-spot, over-the-counter field purchases where use of the Government Purchase Card is appropriate, but not feasible.  The 3in1 database may be accessed on the Joint Contingency Contracting Systems (JCCS) website at </w:t>
      </w:r>
      <w:hyperlink r:id="rId6" w:history="1">
        <w:r w:rsidRPr="00623723">
          <w:rPr>
            <w:rStyle w:val="Hyperlink"/>
          </w:rPr>
          <w:t>https://www.jccs.gov/olvr/</w:t>
        </w:r>
      </w:hyperlink>
      <w:r w:rsidRPr="00623723">
        <w:t>.</w:t>
      </w:r>
    </w:p>
    <w:p w14:paraId="2885367D" w14:textId="77777777" w:rsidR="00AA24D5" w:rsidRDefault="00AA24D5" w:rsidP="001A735E">
      <w:pPr>
        <w:pStyle w:val="List2"/>
      </w:pPr>
      <w:r>
        <w:br/>
      </w:r>
      <w:r w:rsidRPr="00623723">
        <w:t>(2)  The Acquisition Cross-Servicing Agreements (ACSA) Global Automated Tracking and Reporting System (AGATRS).  AGATRS is an automated tool that tracks and provides visibility into worldwide ACSAs that may satisfy a requirement through support from the host nation or other nations supporting the contingency.  ACSA transactions that are used in support of contingency or humanitarian or peacekeeping operations are required to be documented and tracked in AGATRS as required by the Chairman of the Joint Chiefs of Staff Instruction 2120.01C, Acquisition Cross Servicing Agreements (</w:t>
      </w:r>
      <w:hyperlink r:id="rId7" w:history="1">
        <w:r w:rsidRPr="00623723">
          <w:rPr>
            <w:rStyle w:val="Hyperlink"/>
          </w:rPr>
          <w:t>http://dtic.mil/cjcs_directives/cdata/unlimit/2120_01.pdf</w:t>
        </w:r>
      </w:hyperlink>
      <w:r w:rsidRPr="00623723">
        <w:t xml:space="preserve">). AGATRS is accessible on the JCCS website at </w:t>
      </w:r>
      <w:hyperlink r:id="rId8" w:history="1">
        <w:r w:rsidRPr="00623723">
          <w:rPr>
            <w:rStyle w:val="Hyperlink"/>
          </w:rPr>
          <w:t>https://www.jccs.gov/olvr</w:t>
        </w:r>
      </w:hyperlink>
      <w:r w:rsidRPr="00623723">
        <w:t>.</w:t>
      </w:r>
    </w:p>
    <w:p w14:paraId="19882D1C" w14:textId="77777777" w:rsidR="00AA24D5" w:rsidRDefault="00AA24D5" w:rsidP="001A735E">
      <w:pPr>
        <w:pStyle w:val="List1"/>
      </w:pPr>
      <w:r>
        <w:br/>
      </w:r>
      <w:r w:rsidRPr="00623723">
        <w:t>(c)  No other electronic tools may be used to fulfill the same capabilities as 3in1 and AGATRS.</w:t>
      </w:r>
    </w:p>
    <w:p w14:paraId="18373A88" w14:textId="77777777" w:rsidR="00AA24D5" w:rsidRDefault="00AA24D5" w:rsidP="001A735E">
      <w:pPr>
        <w:pStyle w:val="List1"/>
      </w:pPr>
      <w:r>
        <w:br/>
        <w:t xml:space="preserve">(d)  See </w:t>
      </w:r>
      <w:hyperlink r:id="rId9" w:anchor="225.370" w:history="1">
        <w:r w:rsidRPr="00C7334B">
          <w:rPr>
            <w:rStyle w:val="Hyperlink"/>
          </w:rPr>
          <w:t>PGI 225.370</w:t>
        </w:r>
      </w:hyperlink>
      <w:r w:rsidRPr="00623723">
        <w:t xml:space="preserve">(a)(ii) regarding use of the Theater Business Clearance CBE e-business tool. </w:t>
      </w:r>
    </w:p>
    <w:p w14:paraId="19CD1F18" w14:textId="77777777" w:rsidR="00AA24D5" w:rsidRPr="001209E5" w:rsidRDefault="00AA24D5" w:rsidP="001A735E">
      <w:r>
        <w:br/>
      </w:r>
    </w:p>
    <w:p w14:paraId="6D2E8B39" w14:textId="77777777" w:rsidR="00850595" w:rsidRDefault="00850595"/>
    <w:sectPr w:rsidR="00850595" w:rsidSect="00DA578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E1558" w14:textId="77777777" w:rsidR="001F494F" w:rsidRDefault="001F494F">
      <w:pPr>
        <w:spacing w:after="0" w:line="240" w:lineRule="auto"/>
      </w:pPr>
      <w:r>
        <w:separator/>
      </w:r>
    </w:p>
  </w:endnote>
  <w:endnote w:type="continuationSeparator" w:id="0">
    <w:p w14:paraId="6F9A3755" w14:textId="77777777" w:rsidR="001F494F" w:rsidRDefault="001F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DDD5F" w14:textId="77777777" w:rsidR="00E3448C" w:rsidRDefault="001F494F">
    <w:pPr>
      <w:pStyle w:val="Footer"/>
      <w:rPr>
        <w:rFonts w:ascii="Century Schoolbook" w:hAnsi="Century Schoolbook"/>
        <w:sz w:val="20"/>
      </w:rPr>
    </w:pPr>
  </w:p>
  <w:p w14:paraId="6422577B" w14:textId="77777777" w:rsidR="00E3448C" w:rsidRDefault="001F494F">
    <w:pPr>
      <w:pStyle w:val="Footer"/>
      <w:tabs>
        <w:tab w:val="clear" w:pos="8640"/>
      </w:tabs>
      <w:rPr>
        <w:rFonts w:ascii="Century Schoolbook" w:hAnsi="Century Schoolbook"/>
        <w:b/>
        <w:sz w:val="20"/>
      </w:rPr>
    </w:pPr>
  </w:p>
  <w:p w14:paraId="1482FEF3" w14:textId="77777777" w:rsidR="00E3448C" w:rsidRPr="00BC71C0" w:rsidRDefault="00AA24D5">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18</w:t>
    </w:r>
    <w:r w:rsidRPr="00BC71C0">
      <w:rPr>
        <w:szCs w:val="22"/>
      </w:rPr>
      <w:t>.</w:t>
    </w:r>
    <w:r>
      <w:rPr>
        <w:szCs w:val="22"/>
      </w:rPr>
      <w:t>2</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14C54" w14:textId="77777777" w:rsidR="001F494F" w:rsidRDefault="001F494F">
      <w:pPr>
        <w:spacing w:after="0" w:line="240" w:lineRule="auto"/>
      </w:pPr>
      <w:r>
        <w:separator/>
      </w:r>
    </w:p>
  </w:footnote>
  <w:footnote w:type="continuationSeparator" w:id="0">
    <w:p w14:paraId="0422E13B" w14:textId="77777777" w:rsidR="001F494F" w:rsidRDefault="001F4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447D1" w14:textId="77777777" w:rsidR="00E3448C" w:rsidRDefault="00AA24D5" w:rsidP="003E6AA4">
    <w:pPr>
      <w:pStyle w:val="Header"/>
      <w:tabs>
        <w:tab w:val="clear" w:pos="8640"/>
        <w:tab w:val="left" w:pos="4590"/>
      </w:tabs>
      <w:jc w:val="center"/>
      <w:rPr>
        <w:sz w:val="28"/>
        <w:szCs w:val="28"/>
      </w:rPr>
    </w:pPr>
    <w:r w:rsidRPr="002B1BC7">
      <w:rPr>
        <w:sz w:val="28"/>
        <w:szCs w:val="28"/>
      </w:rPr>
      <w:t>DFARS Procedures, Guidance, and Information</w:t>
    </w:r>
  </w:p>
  <w:p w14:paraId="1513F4D2" w14:textId="77777777" w:rsidR="00E3448C" w:rsidRPr="002B1BC7" w:rsidRDefault="001F494F" w:rsidP="003E6AA4">
    <w:pPr>
      <w:pStyle w:val="Header"/>
      <w:tabs>
        <w:tab w:val="clear" w:pos="8640"/>
        <w:tab w:val="left" w:pos="4590"/>
      </w:tabs>
      <w:jc w:val="center"/>
      <w:rPr>
        <w:sz w:val="28"/>
        <w:szCs w:val="28"/>
      </w:rPr>
    </w:pPr>
  </w:p>
  <w:p w14:paraId="39A3D23D" w14:textId="77777777" w:rsidR="00E3448C" w:rsidRPr="00BC71C0" w:rsidRDefault="00AA24D5">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18</w:t>
    </w:r>
    <w:r w:rsidRPr="00BC71C0">
      <w:rPr>
        <w:szCs w:val="24"/>
      </w:rPr>
      <w:t>—</w:t>
    </w:r>
    <w:r>
      <w:rPr>
        <w:szCs w:val="24"/>
      </w:rPr>
      <w:t>Emergency Acquisitions</w:t>
    </w:r>
  </w:p>
  <w:p w14:paraId="5CC53F9B" w14:textId="77777777" w:rsidR="00E3448C" w:rsidRDefault="001F494F">
    <w:pPr>
      <w:pStyle w:val="Header"/>
      <w:tabs>
        <w:tab w:val="clear" w:pos="8640"/>
        <w:tab w:val="right" w:pos="9260"/>
      </w:tabs>
      <w:spacing w:before="20" w:line="20" w:lineRule="exact"/>
      <w:rPr>
        <w:rFonts w:ascii="Geneva" w:hAnsi="Geneva"/>
        <w:b/>
        <w:position w:val="6"/>
        <w:sz w:val="18"/>
      </w:rPr>
    </w:pPr>
  </w:p>
  <w:p w14:paraId="16260829" w14:textId="77777777" w:rsidR="00E3448C" w:rsidRDefault="001F494F">
    <w:pPr>
      <w:pStyle w:val="Header"/>
      <w:tabs>
        <w:tab w:val="clear" w:pos="8640"/>
        <w:tab w:val="right" w:pos="9260"/>
      </w:tabs>
      <w:rPr>
        <w:rFonts w:ascii="Century Schoolbook" w:hAnsi="Century Schoolbook"/>
        <w:b/>
        <w:sz w:val="20"/>
      </w:rPr>
    </w:pPr>
  </w:p>
  <w:p w14:paraId="4C13C11F" w14:textId="77777777" w:rsidR="00E3448C" w:rsidRDefault="001F494F">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D5"/>
    <w:rsid w:val="001F494F"/>
    <w:rsid w:val="002F2C8F"/>
    <w:rsid w:val="004C24A8"/>
    <w:rsid w:val="00505901"/>
    <w:rsid w:val="00647D57"/>
    <w:rsid w:val="007D6208"/>
    <w:rsid w:val="00850595"/>
    <w:rsid w:val="00AA24D5"/>
    <w:rsid w:val="00B8095C"/>
    <w:rsid w:val="00BE60C6"/>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EDA6"/>
  <w15:chartTrackingRefBased/>
  <w15:docId w15:val="{9AEE42E5-F61D-4DB9-A4E2-5B947C94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AA24D5"/>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AA24D5"/>
    <w:pPr>
      <w:keepNext/>
      <w:keepLines/>
      <w:spacing w:before="40" w:after="0" w:line="240" w:lineRule="auto"/>
      <w:outlineLvl w:val="1"/>
    </w:pPr>
    <w:rPr>
      <w:rFonts w:ascii="Arial" w:eastAsiaTheme="majorEastAsia" w:hAnsi="Arial" w:cs="Arial"/>
      <w:b/>
      <w:sz w:val="28"/>
      <w:szCs w:val="26"/>
    </w:rPr>
  </w:style>
  <w:style w:type="paragraph" w:styleId="Heading3">
    <w:name w:val="heading 3"/>
    <w:basedOn w:val="Normal"/>
    <w:next w:val="Normal"/>
    <w:link w:val="Heading3Char"/>
    <w:qFormat/>
    <w:rsid w:val="00AA24D5"/>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uiPriority w:val="9"/>
    <w:semiHidden/>
    <w:unhideWhenUsed/>
    <w:qFormat/>
    <w:rsid w:val="002F2C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4D5"/>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AA24D5"/>
    <w:rPr>
      <w:rFonts w:ascii="Arial" w:eastAsiaTheme="majorEastAsia" w:hAnsi="Arial" w:cs="Arial"/>
      <w:b/>
      <w:sz w:val="28"/>
      <w:szCs w:val="26"/>
    </w:rPr>
  </w:style>
  <w:style w:type="character" w:customStyle="1" w:styleId="Heading3Char">
    <w:name w:val="Heading 3 Char"/>
    <w:basedOn w:val="DefaultParagraphFont"/>
    <w:link w:val="Heading3"/>
    <w:rsid w:val="00AA24D5"/>
    <w:rPr>
      <w:rFonts w:ascii="Arial" w:eastAsia="Times New Roman" w:hAnsi="Arial" w:cs="Arial"/>
      <w:szCs w:val="20"/>
    </w:rPr>
  </w:style>
  <w:style w:type="paragraph" w:styleId="Footer">
    <w:name w:val="footer"/>
    <w:basedOn w:val="Normal"/>
    <w:link w:val="FooterChar"/>
    <w:rsid w:val="00AA24D5"/>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AA24D5"/>
    <w:rPr>
      <w:rFonts w:ascii="Arial" w:eastAsia="Times New Roman" w:hAnsi="Arial" w:cs="Arial"/>
      <w:szCs w:val="20"/>
    </w:rPr>
  </w:style>
  <w:style w:type="paragraph" w:styleId="Header">
    <w:name w:val="header"/>
    <w:basedOn w:val="Normal"/>
    <w:link w:val="HeaderChar"/>
    <w:rsid w:val="00AA24D5"/>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AA24D5"/>
    <w:rPr>
      <w:rFonts w:ascii="Arial" w:eastAsia="Times New Roman" w:hAnsi="Arial" w:cs="Arial"/>
      <w:szCs w:val="20"/>
    </w:rPr>
  </w:style>
  <w:style w:type="character" w:styleId="Hyperlink">
    <w:name w:val="Hyperlink"/>
    <w:uiPriority w:val="99"/>
    <w:unhideWhenUsed/>
    <w:rsid w:val="00AA24D5"/>
    <w:rPr>
      <w:color w:val="0000FF"/>
      <w:u w:val="single"/>
    </w:rPr>
  </w:style>
  <w:style w:type="paragraph" w:customStyle="1" w:styleId="List1">
    <w:name w:val="List 1"/>
    <w:link w:val="List1Char"/>
    <w:rsid w:val="00AA24D5"/>
    <w:pPr>
      <w:spacing w:after="0" w:line="240" w:lineRule="auto"/>
      <w:ind w:left="360" w:hanging="360"/>
      <w:contextualSpacing/>
    </w:pPr>
    <w:rPr>
      <w:rFonts w:ascii="Arial" w:eastAsia="Times New Roman" w:hAnsi="Arial" w:cs="Arial"/>
      <w:szCs w:val="20"/>
    </w:rPr>
  </w:style>
  <w:style w:type="character" w:customStyle="1" w:styleId="List1Char">
    <w:name w:val="List 1 Char"/>
    <w:basedOn w:val="Heading3Char"/>
    <w:link w:val="List1"/>
    <w:rsid w:val="00AA24D5"/>
    <w:rPr>
      <w:rFonts w:ascii="Arial" w:eastAsia="Times New Roman" w:hAnsi="Arial" w:cs="Arial"/>
      <w:szCs w:val="20"/>
    </w:rPr>
  </w:style>
  <w:style w:type="paragraph" w:styleId="List2">
    <w:name w:val="List 2"/>
    <w:link w:val="List2Char"/>
    <w:uiPriority w:val="99"/>
    <w:unhideWhenUsed/>
    <w:rsid w:val="00AA24D5"/>
    <w:pPr>
      <w:spacing w:after="0" w:line="240" w:lineRule="auto"/>
      <w:ind w:left="720" w:hanging="360"/>
      <w:contextualSpacing/>
    </w:pPr>
    <w:rPr>
      <w:rFonts w:ascii="Arial" w:eastAsia="Times New Roman" w:hAnsi="Arial" w:cs="Arial"/>
      <w:szCs w:val="20"/>
    </w:rPr>
  </w:style>
  <w:style w:type="character" w:customStyle="1" w:styleId="List2Char">
    <w:name w:val="List 2 Char"/>
    <w:basedOn w:val="DefaultParagraphFont"/>
    <w:link w:val="List2"/>
    <w:uiPriority w:val="99"/>
    <w:rsid w:val="00AA24D5"/>
    <w:rPr>
      <w:rFonts w:ascii="Arial" w:eastAsia="Times New Roman" w:hAnsi="Arial" w:cs="Arial"/>
      <w:szCs w:val="20"/>
    </w:rPr>
  </w:style>
  <w:style w:type="paragraph" w:styleId="TOC1">
    <w:name w:val="toc 1"/>
    <w:basedOn w:val="Normal"/>
    <w:next w:val="Normal"/>
    <w:autoRedefine/>
    <w:uiPriority w:val="39"/>
    <w:unhideWhenUsed/>
    <w:rsid w:val="00AA24D5"/>
    <w:pPr>
      <w:spacing w:after="100"/>
    </w:pPr>
  </w:style>
  <w:style w:type="paragraph" w:styleId="TOC2">
    <w:name w:val="toc 2"/>
    <w:basedOn w:val="Normal"/>
    <w:next w:val="Normal"/>
    <w:autoRedefine/>
    <w:uiPriority w:val="39"/>
    <w:unhideWhenUsed/>
    <w:rsid w:val="00AA24D5"/>
    <w:pPr>
      <w:spacing w:after="100"/>
      <w:ind w:left="220"/>
    </w:pPr>
  </w:style>
  <w:style w:type="paragraph" w:styleId="TOC3">
    <w:name w:val="toc 3"/>
    <w:basedOn w:val="Normal"/>
    <w:next w:val="Normal"/>
    <w:autoRedefine/>
    <w:uiPriority w:val="39"/>
    <w:unhideWhenUsed/>
    <w:rsid w:val="00AA24D5"/>
    <w:pPr>
      <w:spacing w:after="100"/>
      <w:ind w:left="440"/>
    </w:pPr>
  </w:style>
  <w:style w:type="paragraph" w:styleId="TOC4">
    <w:name w:val="toc 4"/>
    <w:basedOn w:val="Normal"/>
    <w:next w:val="Normal"/>
    <w:autoRedefine/>
    <w:uiPriority w:val="39"/>
    <w:semiHidden/>
    <w:unhideWhenUsed/>
    <w:rsid w:val="00AA24D5"/>
    <w:pPr>
      <w:spacing w:after="100"/>
      <w:ind w:left="660"/>
    </w:pPr>
  </w:style>
  <w:style w:type="paragraph" w:styleId="TOC5">
    <w:name w:val="toc 5"/>
    <w:basedOn w:val="Normal"/>
    <w:next w:val="Normal"/>
    <w:autoRedefine/>
    <w:uiPriority w:val="39"/>
    <w:semiHidden/>
    <w:unhideWhenUsed/>
    <w:rsid w:val="00AA24D5"/>
    <w:pPr>
      <w:spacing w:after="100"/>
      <w:ind w:left="880"/>
    </w:pPr>
  </w:style>
  <w:style w:type="paragraph" w:styleId="TOC6">
    <w:name w:val="toc 6"/>
    <w:basedOn w:val="Normal"/>
    <w:next w:val="Normal"/>
    <w:autoRedefine/>
    <w:uiPriority w:val="39"/>
    <w:semiHidden/>
    <w:unhideWhenUsed/>
    <w:rsid w:val="00AA24D5"/>
    <w:pPr>
      <w:spacing w:after="100"/>
      <w:ind w:left="1100"/>
    </w:pPr>
  </w:style>
  <w:style w:type="paragraph" w:styleId="TOC7">
    <w:name w:val="toc 7"/>
    <w:basedOn w:val="Normal"/>
    <w:next w:val="Normal"/>
    <w:autoRedefine/>
    <w:uiPriority w:val="39"/>
    <w:semiHidden/>
    <w:unhideWhenUsed/>
    <w:rsid w:val="00AA24D5"/>
    <w:pPr>
      <w:spacing w:after="100"/>
      <w:ind w:left="1320"/>
    </w:pPr>
  </w:style>
  <w:style w:type="paragraph" w:styleId="TOC8">
    <w:name w:val="toc 8"/>
    <w:basedOn w:val="Normal"/>
    <w:next w:val="Normal"/>
    <w:autoRedefine/>
    <w:uiPriority w:val="39"/>
    <w:semiHidden/>
    <w:unhideWhenUsed/>
    <w:rsid w:val="00AA24D5"/>
    <w:pPr>
      <w:spacing w:after="100"/>
      <w:ind w:left="1540"/>
    </w:pPr>
  </w:style>
  <w:style w:type="paragraph" w:styleId="TOC9">
    <w:name w:val="toc 9"/>
    <w:basedOn w:val="Normal"/>
    <w:next w:val="Normal"/>
    <w:autoRedefine/>
    <w:uiPriority w:val="39"/>
    <w:semiHidden/>
    <w:unhideWhenUsed/>
    <w:rsid w:val="00AA24D5"/>
    <w:pPr>
      <w:spacing w:after="100"/>
      <w:ind w:left="1760"/>
    </w:pPr>
  </w:style>
  <w:style w:type="character" w:customStyle="1" w:styleId="Heading4Char">
    <w:name w:val="Heading 4 Char"/>
    <w:basedOn w:val="DefaultParagraphFont"/>
    <w:link w:val="Heading4"/>
    <w:uiPriority w:val="9"/>
    <w:semiHidden/>
    <w:rsid w:val="002F2C8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ccs.gov/olv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tic.mil/cjcs_directives/cdata/unlimit/2120_01.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ccs.gov/olvr/"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acq.osd.mil/dpap/dars/pgi/pgi_htm/PGI225_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2020-04-10T16:54:00Z</dcterms:created>
  <dcterms:modified xsi:type="dcterms:W3CDTF">2020-04-14T15:19:00Z</dcterms:modified>
</cp:coreProperties>
</file>