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8735D" w14:textId="77777777" w:rsidR="00CD2854" w:rsidRDefault="00CD2854">
      <w:pPr>
        <w:sectPr w:rsidR="00CD2854">
          <w:pgSz w:w="12240" w:h="15840"/>
          <w:pgMar w:top="1440" w:right="1440" w:bottom="1440" w:left="1440" w:header="720" w:footer="720" w:gutter="0"/>
          <w:cols w:space="720"/>
          <w:docGrid w:linePitch="360"/>
        </w:sectPr>
      </w:pPr>
    </w:p>
    <w:p w14:paraId="5A3E8190" w14:textId="77777777" w:rsidR="00CD2854" w:rsidRDefault="00CD2854" w:rsidP="00526159">
      <w:pPr>
        <w:pStyle w:val="Heading1"/>
      </w:pPr>
      <w:bookmarkStart w:id="0" w:name="_Toc37677630"/>
      <w:bookmarkStart w:id="1" w:name="_Toc37756439"/>
      <w:r>
        <w:lastRenderedPageBreak/>
        <w:t xml:space="preserve">PGI </w:t>
      </w:r>
      <w:r w:rsidRPr="007B495C">
        <w:t xml:space="preserve">PART </w:t>
      </w:r>
      <w:r>
        <w:t>228</w:t>
      </w:r>
      <w:r w:rsidRPr="007B495C">
        <w:t xml:space="preserve"> - </w:t>
      </w:r>
      <w:r>
        <w:br/>
      </w:r>
      <w:r w:rsidRPr="007B51EB">
        <w:t>Bonds and Insurance</w:t>
      </w:r>
      <w:bookmarkEnd w:id="0"/>
      <w:bookmarkEnd w:id="1"/>
    </w:p>
    <w:p w14:paraId="2AFD55CB" w14:textId="77777777" w:rsidR="00CD2854" w:rsidRDefault="00CD2854">
      <w:r>
        <w:br w:type="page"/>
      </w:r>
      <w:r>
        <w:lastRenderedPageBreak/>
        <w:br/>
      </w:r>
    </w:p>
    <w:p w14:paraId="53D1167A" w14:textId="77777777" w:rsidR="00884E31" w:rsidRPr="004A58DF" w:rsidRDefault="00884E31" w:rsidP="004A58DF">
      <w:pPr>
        <w:jc w:val="center"/>
        <w:rPr>
          <w:b/>
        </w:rPr>
      </w:pPr>
      <w:r w:rsidRPr="004A58DF">
        <w:rPr>
          <w:b/>
        </w:rPr>
        <w:t>Table of Contents</w:t>
      </w:r>
    </w:p>
    <w:p w14:paraId="69C92BB1" w14:textId="4186AF20" w:rsidR="00C726EA" w:rsidRDefault="00C726EA" w:rsidP="00C726EA">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439" w:history="1">
        <w:r w:rsidRPr="004A604B">
          <w:rPr>
            <w:rStyle w:val="Hyperlink"/>
            <w:noProof/>
          </w:rPr>
          <w:t>PGI PART 228 -  Bonds and Insurance</w:t>
        </w:r>
      </w:hyperlink>
    </w:p>
    <w:p w14:paraId="659E0CB3" w14:textId="7FAD9948" w:rsidR="00C726EA" w:rsidRDefault="00C726EA" w:rsidP="00C726EA">
      <w:pPr>
        <w:pStyle w:val="TOC2"/>
        <w:tabs>
          <w:tab w:val="right" w:leader="dot" w:pos="9350"/>
        </w:tabs>
        <w:rPr>
          <w:rFonts w:asciiTheme="minorHAnsi" w:eastAsiaTheme="minorEastAsia" w:hAnsiTheme="minorHAnsi" w:cstheme="minorBidi"/>
          <w:noProof/>
        </w:rPr>
      </w:pPr>
      <w:hyperlink w:anchor="_Toc37756440" w:history="1">
        <w:r w:rsidRPr="004A604B">
          <w:rPr>
            <w:rStyle w:val="Hyperlink"/>
            <w:caps/>
            <w:noProof/>
          </w:rPr>
          <w:t>PGI 228.3--insurance</w:t>
        </w:r>
      </w:hyperlink>
    </w:p>
    <w:p w14:paraId="7B5A2257" w14:textId="0A6D64A3" w:rsidR="00C726EA" w:rsidRDefault="00C726EA" w:rsidP="00C726EA">
      <w:pPr>
        <w:pStyle w:val="TOC3"/>
        <w:tabs>
          <w:tab w:val="right" w:leader="dot" w:pos="9350"/>
        </w:tabs>
        <w:rPr>
          <w:rFonts w:asciiTheme="minorHAnsi" w:eastAsiaTheme="minorEastAsia" w:hAnsiTheme="minorHAnsi" w:cstheme="minorBidi"/>
          <w:noProof/>
        </w:rPr>
      </w:pPr>
      <w:hyperlink w:anchor="_Toc37756441" w:history="1">
        <w:r w:rsidRPr="004A604B">
          <w:rPr>
            <w:rStyle w:val="Hyperlink"/>
            <w:noProof/>
          </w:rPr>
          <w:t>PGI 228.304  Risk-pooling arrangements.</w:t>
        </w:r>
      </w:hyperlink>
    </w:p>
    <w:p w14:paraId="4BE45259" w14:textId="0C37B827" w:rsidR="00C726EA" w:rsidRDefault="00C726EA" w:rsidP="00C726EA">
      <w:pPr>
        <w:pStyle w:val="TOC3"/>
        <w:tabs>
          <w:tab w:val="right" w:leader="dot" w:pos="9350"/>
        </w:tabs>
        <w:rPr>
          <w:rFonts w:asciiTheme="minorHAnsi" w:eastAsiaTheme="minorEastAsia" w:hAnsiTheme="minorHAnsi" w:cstheme="minorBidi"/>
          <w:noProof/>
        </w:rPr>
      </w:pPr>
      <w:hyperlink w:anchor="_Toc37756442" w:history="1">
        <w:r w:rsidRPr="004A604B">
          <w:rPr>
            <w:rStyle w:val="Hyperlink"/>
            <w:noProof/>
          </w:rPr>
          <w:t>PGI 228.305  Overseas workers' compensation and war-hazard insurance.</w:t>
        </w:r>
      </w:hyperlink>
    </w:p>
    <w:p w14:paraId="11380C28" w14:textId="35719339" w:rsidR="00C726EA" w:rsidRDefault="00C726EA" w:rsidP="00C726EA">
      <w:pPr>
        <w:pStyle w:val="TOC3"/>
        <w:tabs>
          <w:tab w:val="right" w:leader="dot" w:pos="9350"/>
        </w:tabs>
        <w:rPr>
          <w:rFonts w:asciiTheme="minorHAnsi" w:eastAsiaTheme="minorEastAsia" w:hAnsiTheme="minorHAnsi" w:cstheme="minorBidi"/>
          <w:noProof/>
        </w:rPr>
      </w:pPr>
      <w:hyperlink w:anchor="_Toc37756443" w:history="1">
        <w:r w:rsidRPr="004A604B">
          <w:rPr>
            <w:rStyle w:val="Hyperlink"/>
            <w:noProof/>
          </w:rPr>
          <w:t>PGI 228.370  Additional clauses.</w:t>
        </w:r>
      </w:hyperlink>
    </w:p>
    <w:p w14:paraId="001A4BB1" w14:textId="2E371C9F" w:rsidR="00CD2854" w:rsidRPr="00CD2854" w:rsidRDefault="00C726EA" w:rsidP="00CD2854">
      <w:r>
        <w:rPr>
          <w:rStyle w:val="Hyperlink"/>
          <w:noProof/>
        </w:rPr>
        <w:fldChar w:fldCharType="end"/>
      </w:r>
    </w:p>
    <w:p w14:paraId="0BD6673F" w14:textId="77777777" w:rsidR="00CD2854" w:rsidRDefault="00CD2854" w:rsidP="00E93863">
      <w:pPr>
        <w:tabs>
          <w:tab w:val="bar" w:pos="10080"/>
        </w:tabs>
        <w:jc w:val="center"/>
        <w:rPr>
          <w:b/>
          <w:i/>
        </w:rPr>
      </w:pPr>
      <w:r w:rsidRPr="00AF7A67">
        <w:rPr>
          <w:i/>
        </w:rPr>
        <w:t xml:space="preserve">(Revised </w:t>
      </w:r>
      <w:r>
        <w:rPr>
          <w:i/>
        </w:rPr>
        <w:t>March 25, 2016</w:t>
      </w:r>
      <w:r w:rsidRPr="00AF7A67">
        <w:rPr>
          <w:i/>
        </w:rPr>
        <w:t>)</w:t>
      </w:r>
    </w:p>
    <w:p w14:paraId="3B439A3B" w14:textId="77777777" w:rsidR="00CD2854" w:rsidRDefault="00CD2854" w:rsidP="00E93863">
      <w:pPr>
        <w:pStyle w:val="Heading2"/>
      </w:pPr>
      <w:r>
        <w:rPr>
          <w:b w:val="0"/>
          <w:i/>
        </w:rPr>
        <w:br/>
      </w:r>
      <w:bookmarkStart w:id="2" w:name="_Toc37415817"/>
      <w:bookmarkStart w:id="3" w:name="_Toc37677631"/>
      <w:bookmarkStart w:id="4" w:name="_Toc37756440"/>
      <w:r w:rsidRPr="00FB229D">
        <w:rPr>
          <w:caps/>
          <w:szCs w:val="24"/>
        </w:rPr>
        <w:t>PGI 228.3--insurance</w:t>
      </w:r>
      <w:bookmarkEnd w:id="2"/>
      <w:bookmarkEnd w:id="3"/>
      <w:bookmarkEnd w:id="4"/>
    </w:p>
    <w:p w14:paraId="2B809015" w14:textId="77777777" w:rsidR="00CD2854" w:rsidRDefault="00CD2854" w:rsidP="00E93863">
      <w:pPr>
        <w:pStyle w:val="Heading3"/>
      </w:pPr>
      <w:r>
        <w:rPr>
          <w:caps/>
          <w:szCs w:val="24"/>
        </w:rPr>
        <w:br/>
      </w:r>
      <w:bookmarkStart w:id="5" w:name="_Toc37415818"/>
      <w:bookmarkStart w:id="6" w:name="_Toc37677632"/>
      <w:bookmarkStart w:id="7" w:name="_Toc37756441"/>
      <w:r w:rsidRPr="00FB229D">
        <w:rPr>
          <w:szCs w:val="24"/>
        </w:rPr>
        <w:t>PGI 228.304  Risk-pooling arrangements.</w:t>
      </w:r>
      <w:bookmarkEnd w:id="5"/>
      <w:bookmarkEnd w:id="6"/>
      <w:bookmarkEnd w:id="7"/>
    </w:p>
    <w:p w14:paraId="7E244B32" w14:textId="77777777" w:rsidR="00CD2854" w:rsidRDefault="00CD2854" w:rsidP="00E93863">
      <w:pPr>
        <w:pStyle w:val="List2"/>
      </w:pPr>
      <w:r>
        <w:rPr>
          <w:b/>
          <w:szCs w:val="24"/>
        </w:rPr>
        <w:br/>
      </w:r>
      <w:r w:rsidRPr="00FB229D">
        <w:rPr>
          <w:szCs w:val="24"/>
        </w:rPr>
        <w:t>(1)  The plan—</w:t>
      </w:r>
    </w:p>
    <w:p w14:paraId="5165A7A3" w14:textId="77777777" w:rsidR="00CD2854" w:rsidRDefault="00CD2854" w:rsidP="009E09D8">
      <w:pPr>
        <w:pStyle w:val="List3"/>
      </w:pPr>
      <w:r>
        <w:br/>
      </w:r>
      <w:r w:rsidRPr="00FB229D">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14:paraId="43DCF666" w14:textId="77777777" w:rsidR="00CD2854" w:rsidRDefault="00CD2854" w:rsidP="00E93863">
      <w:pPr>
        <w:pStyle w:val="List3"/>
      </w:pPr>
      <w:r>
        <w:rPr>
          <w:szCs w:val="24"/>
        </w:rPr>
        <w:br/>
      </w:r>
      <w:r w:rsidRPr="00FB229D">
        <w:rPr>
          <w:szCs w:val="24"/>
        </w:rPr>
        <w:t>(ii)  Applies to eligible defense projects of one or more departments/agencies.  For purposes of this section, a defense project is any eligible contract or group of contracts with the same contractor.</w:t>
      </w:r>
    </w:p>
    <w:p w14:paraId="0EE58D43" w14:textId="77777777" w:rsidR="00CD2854" w:rsidRDefault="00CD2854" w:rsidP="00E93863">
      <w:pPr>
        <w:pStyle w:val="List4"/>
      </w:pPr>
      <w:r>
        <w:rPr>
          <w:szCs w:val="24"/>
        </w:rPr>
        <w:br/>
      </w:r>
      <w:r w:rsidRPr="00FB229D">
        <w:rPr>
          <w:szCs w:val="24"/>
        </w:rPr>
        <w:t>(A)  A defense project is eligible when—</w:t>
      </w:r>
    </w:p>
    <w:p w14:paraId="1768ED87" w14:textId="77777777" w:rsidR="00CD2854" w:rsidRDefault="00CD2854" w:rsidP="00E93863">
      <w:pPr>
        <w:pStyle w:val="List6"/>
      </w:pPr>
      <w:r>
        <w:br/>
      </w:r>
      <w:r w:rsidRPr="00FB229D">
        <w:rPr>
          <w:i/>
        </w:rPr>
        <w:t>(1)</w:t>
      </w:r>
      <w:r w:rsidRPr="00FB229D">
        <w:t xml:space="preserve">  Eligible contracts represent, at the inception of the plan, at least 90 percent of the payroll for the total operations at project locations; and</w:t>
      </w:r>
    </w:p>
    <w:p w14:paraId="2F6D11A3" w14:textId="77777777" w:rsidR="00CD2854" w:rsidRDefault="00CD2854" w:rsidP="00E93863">
      <w:pPr>
        <w:pStyle w:val="List6"/>
      </w:pPr>
      <w:r>
        <w:lastRenderedPageBreak/>
        <w:br/>
      </w:r>
      <w:r w:rsidRPr="00FB229D">
        <w:rPr>
          <w:i/>
        </w:rPr>
        <w:t>(2)</w:t>
      </w:r>
      <w:r w:rsidRPr="00FB229D">
        <w:t xml:space="preserve">  The annual insurance premium is estimated to be at least $10,000.</w:t>
      </w:r>
    </w:p>
    <w:p w14:paraId="064A5988" w14:textId="77777777" w:rsidR="00CD2854" w:rsidRDefault="00CD2854" w:rsidP="00E93863">
      <w:pPr>
        <w:pStyle w:val="List4"/>
      </w:pPr>
      <w:r>
        <w:rPr>
          <w:szCs w:val="24"/>
        </w:rPr>
        <w:br/>
      </w:r>
      <w:r w:rsidRPr="00FB229D">
        <w:rPr>
          <w:szCs w:val="24"/>
        </w:rPr>
        <w:t>(B)  A contract is eligible when it is—</w:t>
      </w:r>
    </w:p>
    <w:p w14:paraId="6D597C89" w14:textId="77777777" w:rsidR="00CD2854" w:rsidRDefault="00CD2854" w:rsidP="00E93863">
      <w:pPr>
        <w:pStyle w:val="List6"/>
      </w:pPr>
      <w:r>
        <w:br/>
      </w:r>
      <w:r w:rsidRPr="00B645A7">
        <w:rPr>
          <w:i/>
        </w:rPr>
        <w:t>(1)</w:t>
      </w:r>
      <w:r w:rsidRPr="00FB229D">
        <w:t xml:space="preserve">  Either domestic or foreign;</w:t>
      </w:r>
    </w:p>
    <w:p w14:paraId="1D0B9493" w14:textId="77777777" w:rsidR="00CD2854" w:rsidRDefault="00CD2854" w:rsidP="00E93863">
      <w:pPr>
        <w:pStyle w:val="List6"/>
      </w:pPr>
      <w:r>
        <w:br/>
      </w:r>
      <w:r w:rsidRPr="00B645A7">
        <w:rPr>
          <w:i/>
        </w:rPr>
        <w:t>(2)</w:t>
      </w:r>
      <w:r w:rsidRPr="00FB229D">
        <w:t xml:space="preserve">  Cost-reimbursement type; or</w:t>
      </w:r>
    </w:p>
    <w:p w14:paraId="604F882B" w14:textId="77777777" w:rsidR="00CD2854" w:rsidRDefault="00CD2854" w:rsidP="00E93863">
      <w:pPr>
        <w:pStyle w:val="List6"/>
      </w:pPr>
      <w:r>
        <w:br/>
      </w:r>
      <w:r w:rsidRPr="00B645A7">
        <w:rPr>
          <w:i/>
        </w:rPr>
        <w:t>(3)</w:t>
      </w:r>
      <w:r w:rsidRPr="00FB229D">
        <w:t xml:space="preserve">  Fixed price with redetermination provisions.</w:t>
      </w:r>
    </w:p>
    <w:p w14:paraId="6627BF5F" w14:textId="77777777" w:rsidR="00CD2854" w:rsidRDefault="00CD2854" w:rsidP="00E93863">
      <w:pPr>
        <w:pStyle w:val="List2"/>
      </w:pPr>
      <w:r>
        <w:rPr>
          <w:szCs w:val="24"/>
        </w:rPr>
        <w:br/>
      </w:r>
      <w:r w:rsidRPr="00FB229D">
        <w:rPr>
          <w:szCs w:val="24"/>
        </w:rPr>
        <w:t>(2)  Under construction contracts, include construction subcontractors in the prime contractor's plan only when subcontractor operations are at the project site, and the subcontract provides that the prime contractor will furnish insurance.</w:t>
      </w:r>
    </w:p>
    <w:p w14:paraId="1DE592FB" w14:textId="77777777" w:rsidR="00CD2854" w:rsidRDefault="00CD2854" w:rsidP="00E93863">
      <w:pPr>
        <w:pStyle w:val="List2"/>
      </w:pPr>
      <w:r>
        <w:rPr>
          <w:szCs w:val="24"/>
        </w:rPr>
        <w:br/>
      </w:r>
      <w:r w:rsidRPr="00FB229D">
        <w:rPr>
          <w:szCs w:val="24"/>
        </w:rPr>
        <w:t>(3)  Use the agreement in Table 28-1, Insurance Rating Plan Agreement, when the Government assumes contractor premium payments upon contract termination or completion.</w:t>
      </w:r>
    </w:p>
    <w:p w14:paraId="0B445724" w14:textId="77777777" w:rsidR="00CD2854" w:rsidRPr="00FB229D" w:rsidRDefault="00CD2854" w:rsidP="00E93863">
      <w:pPr>
        <w:pStyle w:val="List2"/>
      </w:pPr>
      <w:r>
        <w:rPr>
          <w:szCs w:val="24"/>
        </w:rPr>
        <w:br/>
      </w:r>
      <w:r w:rsidRPr="00FB229D">
        <w:rPr>
          <w:szCs w:val="24"/>
        </w:rP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p w14:paraId="57CFBD25" w14:textId="77777777" w:rsidR="00CD2854" w:rsidRPr="00FB229D" w:rsidRDefault="00CD2854" w:rsidP="00E93863"/>
    <w:tbl>
      <w:tblPr>
        <w:tblW w:w="0" w:type="auto"/>
        <w:tblInd w:w="28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10"/>
        <w:gridCol w:w="360"/>
        <w:gridCol w:w="1350"/>
        <w:gridCol w:w="1350"/>
        <w:gridCol w:w="3538"/>
      </w:tblGrid>
      <w:tr w:rsidR="00CD2854" w:rsidRPr="00FB229D" w14:paraId="7F9F4F5E" w14:textId="77777777">
        <w:tc>
          <w:tcPr>
            <w:tcW w:w="9208" w:type="dxa"/>
            <w:gridSpan w:val="5"/>
            <w:tcBorders>
              <w:top w:val="single" w:sz="6" w:space="0" w:color="auto"/>
              <w:left w:val="single" w:sz="6" w:space="0" w:color="auto"/>
              <w:bottom w:val="nil"/>
              <w:right w:val="single" w:sz="6" w:space="0" w:color="auto"/>
            </w:tcBorders>
          </w:tcPr>
          <w:p w14:paraId="57980FB4" w14:textId="77777777" w:rsidR="00CD2854" w:rsidRPr="00FB229D" w:rsidRDefault="00CD2854" w:rsidP="00E93863">
            <w:r w:rsidRPr="00FB229D">
              <w:rPr>
                <w:szCs w:val="24"/>
                <w:u w:val="single"/>
              </w:rPr>
              <w:t>TABLE 28-1, INSURANCE RATING PLAN RATING AGREEMENT</w:t>
            </w:r>
          </w:p>
        </w:tc>
      </w:tr>
      <w:tr w:rsidR="00CD2854" w:rsidRPr="00FB229D" w14:paraId="3B4FB6DC" w14:textId="77777777">
        <w:tc>
          <w:tcPr>
            <w:tcW w:w="9208" w:type="dxa"/>
            <w:gridSpan w:val="5"/>
            <w:tcBorders>
              <w:top w:val="nil"/>
              <w:left w:val="single" w:sz="6" w:space="0" w:color="auto"/>
              <w:bottom w:val="nil"/>
              <w:right w:val="single" w:sz="6" w:space="0" w:color="auto"/>
            </w:tcBorders>
          </w:tcPr>
          <w:p w14:paraId="1DB4C755" w14:textId="77777777" w:rsidR="00CD2854" w:rsidRPr="00FB229D" w:rsidRDefault="00CD2854" w:rsidP="00E93863"/>
        </w:tc>
      </w:tr>
      <w:tr w:rsidR="00CD2854" w:rsidRPr="00FB229D" w14:paraId="3339304A" w14:textId="77777777">
        <w:tc>
          <w:tcPr>
            <w:tcW w:w="9208" w:type="dxa"/>
            <w:gridSpan w:val="5"/>
            <w:tcBorders>
              <w:top w:val="nil"/>
              <w:left w:val="single" w:sz="6" w:space="0" w:color="auto"/>
              <w:bottom w:val="nil"/>
              <w:right w:val="single" w:sz="6" w:space="0" w:color="auto"/>
            </w:tcBorders>
          </w:tcPr>
          <w:p w14:paraId="7C26EB7D" w14:textId="77777777" w:rsidR="00CD2854" w:rsidRPr="00FB229D" w:rsidRDefault="00CD2854" w:rsidP="00E93863">
            <w:r w:rsidRPr="00FB229D">
              <w:rPr>
                <w:szCs w:val="24"/>
              </w:rPr>
              <w:t>Special Casualty Insurance Rating Plan</w:t>
            </w:r>
          </w:p>
          <w:p w14:paraId="7C2504E1" w14:textId="77777777" w:rsidR="00CD2854" w:rsidRPr="00FB229D" w:rsidRDefault="00CD2854" w:rsidP="00E93863">
            <w:pPr>
              <w:rPr>
                <w:u w:val="single"/>
              </w:rPr>
            </w:pPr>
            <w:r w:rsidRPr="00FB229D">
              <w:t>Assignment-Assumption of Premium Obligations</w:t>
            </w:r>
          </w:p>
        </w:tc>
      </w:tr>
      <w:tr w:rsidR="00CD2854" w:rsidRPr="00FB229D" w14:paraId="3CEED7A0" w14:textId="77777777">
        <w:tc>
          <w:tcPr>
            <w:tcW w:w="9208" w:type="dxa"/>
            <w:gridSpan w:val="5"/>
            <w:tcBorders>
              <w:top w:val="nil"/>
              <w:left w:val="single" w:sz="6" w:space="0" w:color="auto"/>
              <w:bottom w:val="nil"/>
              <w:right w:val="single" w:sz="6" w:space="0" w:color="auto"/>
            </w:tcBorders>
          </w:tcPr>
          <w:p w14:paraId="33FE46CC" w14:textId="77777777" w:rsidR="00CD2854" w:rsidRPr="00FB229D" w:rsidRDefault="00CD2854" w:rsidP="00E93863"/>
        </w:tc>
      </w:tr>
      <w:tr w:rsidR="00CD2854" w:rsidRPr="00FB229D" w14:paraId="050C410F" w14:textId="77777777">
        <w:tc>
          <w:tcPr>
            <w:tcW w:w="9208" w:type="dxa"/>
            <w:gridSpan w:val="5"/>
            <w:tcBorders>
              <w:top w:val="nil"/>
              <w:left w:val="single" w:sz="6" w:space="0" w:color="auto"/>
              <w:bottom w:val="nil"/>
              <w:right w:val="single" w:sz="6" w:space="0" w:color="auto"/>
            </w:tcBorders>
          </w:tcPr>
          <w:p w14:paraId="31D2F4F6" w14:textId="77777777" w:rsidR="00CD2854" w:rsidRPr="00FB229D" w:rsidRDefault="00CD2854" w:rsidP="00E93863">
            <w:r w:rsidRPr="00FB229D">
              <w:rPr>
                <w:szCs w:val="24"/>
              </w:rPr>
              <w:tab/>
              <w:t xml:space="preserve">It is agreed that 100 percent* of the return premiums and premium refunds (and dividends) due or to become due the prime contractor under the policies to which the </w:t>
            </w:r>
            <w:r w:rsidRPr="00FB229D">
              <w:rPr>
                <w:szCs w:val="24"/>
              </w:rPr>
              <w:lastRenderedPageBreak/>
              <w:t>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r>
      <w:tr w:rsidR="00CD2854" w:rsidRPr="00FB229D" w14:paraId="2B6AEEA6" w14:textId="77777777">
        <w:tc>
          <w:tcPr>
            <w:tcW w:w="9208" w:type="dxa"/>
            <w:gridSpan w:val="5"/>
            <w:tcBorders>
              <w:top w:val="nil"/>
              <w:left w:val="single" w:sz="6" w:space="0" w:color="auto"/>
              <w:bottom w:val="nil"/>
              <w:right w:val="single" w:sz="6" w:space="0" w:color="auto"/>
            </w:tcBorders>
          </w:tcPr>
          <w:p w14:paraId="42289F10" w14:textId="77777777" w:rsidR="00CD2854" w:rsidRPr="00FB229D" w:rsidRDefault="00CD2854" w:rsidP="00E93863"/>
        </w:tc>
      </w:tr>
      <w:tr w:rsidR="00CD2854" w:rsidRPr="00FB229D" w14:paraId="27F77C31" w14:textId="77777777">
        <w:tc>
          <w:tcPr>
            <w:tcW w:w="9208" w:type="dxa"/>
            <w:gridSpan w:val="5"/>
            <w:tcBorders>
              <w:top w:val="nil"/>
              <w:left w:val="single" w:sz="6" w:space="0" w:color="auto"/>
              <w:bottom w:val="nil"/>
              <w:right w:val="single" w:sz="6" w:space="0" w:color="auto"/>
            </w:tcBorders>
          </w:tcPr>
          <w:p w14:paraId="405214DF" w14:textId="77777777" w:rsidR="00CD2854" w:rsidRPr="00FB229D" w:rsidRDefault="00CD2854" w:rsidP="00E93863">
            <w:r w:rsidRPr="00FB229D">
              <w:rPr>
                <w:szCs w:val="24"/>
              </w:rPr>
              <w:tab/>
              <w:t>The United States of America hereby assumes and agrees to fulfill all present and future obligations of the prime contractor with respect to the payment of 100 percent* of the premiums under said policies.</w:t>
            </w:r>
          </w:p>
        </w:tc>
      </w:tr>
      <w:tr w:rsidR="00CD2854" w:rsidRPr="00FB229D" w14:paraId="07620A85" w14:textId="77777777">
        <w:tc>
          <w:tcPr>
            <w:tcW w:w="9208" w:type="dxa"/>
            <w:gridSpan w:val="5"/>
            <w:tcBorders>
              <w:top w:val="nil"/>
              <w:left w:val="single" w:sz="6" w:space="0" w:color="auto"/>
              <w:bottom w:val="nil"/>
              <w:right w:val="single" w:sz="6" w:space="0" w:color="auto"/>
            </w:tcBorders>
          </w:tcPr>
          <w:p w14:paraId="5C641AB9" w14:textId="77777777" w:rsidR="00CD2854" w:rsidRPr="00FB229D" w:rsidRDefault="00CD2854" w:rsidP="00E93863"/>
        </w:tc>
      </w:tr>
      <w:tr w:rsidR="00CD2854" w:rsidRPr="00FB229D" w14:paraId="718C9150" w14:textId="77777777">
        <w:tc>
          <w:tcPr>
            <w:tcW w:w="9208" w:type="dxa"/>
            <w:gridSpan w:val="5"/>
            <w:tcBorders>
              <w:top w:val="nil"/>
              <w:left w:val="single" w:sz="6" w:space="0" w:color="auto"/>
              <w:bottom w:val="nil"/>
              <w:right w:val="single" w:sz="6" w:space="0" w:color="auto"/>
            </w:tcBorders>
          </w:tcPr>
          <w:p w14:paraId="573A4597" w14:textId="77777777" w:rsidR="00CD2854" w:rsidRPr="00FB229D" w:rsidRDefault="00CD2854" w:rsidP="00E93863">
            <w:r w:rsidRPr="00FB229D">
              <w:rPr>
                <w:szCs w:val="24"/>
              </w:rPr>
              <w:tab/>
              <w:t xml:space="preserve">This agreement, upon acceptance by the prime contractor, the </w:t>
            </w:r>
            <w:smartTag w:uri="urn:schemas-microsoft-com:office:smarttags" w:element="country-region">
              <w:smartTag w:uri="urn:schemas-microsoft-com:office:smarttags" w:element="place">
                <w:r w:rsidRPr="00FB229D">
                  <w:rPr>
                    <w:szCs w:val="24"/>
                  </w:rPr>
                  <w:t>United States of America</w:t>
                </w:r>
              </w:smartTag>
            </w:smartTag>
            <w:r w:rsidRPr="00FB229D">
              <w:rPr>
                <w:szCs w:val="24"/>
              </w:rPr>
              <w:t>, and the Company shall be effective from _____________________________</w:t>
            </w:r>
          </w:p>
        </w:tc>
      </w:tr>
      <w:tr w:rsidR="00CD2854" w:rsidRPr="00FB229D" w14:paraId="4E236528" w14:textId="77777777">
        <w:tc>
          <w:tcPr>
            <w:tcW w:w="4320" w:type="dxa"/>
            <w:gridSpan w:val="3"/>
            <w:tcBorders>
              <w:top w:val="nil"/>
              <w:left w:val="single" w:sz="6" w:space="0" w:color="auto"/>
              <w:bottom w:val="nil"/>
            </w:tcBorders>
          </w:tcPr>
          <w:p w14:paraId="38AF93A3" w14:textId="77777777" w:rsidR="00CD2854" w:rsidRPr="00FB229D" w:rsidRDefault="00CD2854" w:rsidP="00C964E1">
            <w:pPr>
              <w:pStyle w:val="DFARS"/>
              <w:keepNext/>
              <w:keepLines/>
              <w:spacing w:line="240" w:lineRule="auto"/>
              <w:rPr>
                <w:rFonts w:ascii="Arial" w:hAnsi="Arial"/>
                <w:szCs w:val="24"/>
              </w:rPr>
            </w:pPr>
          </w:p>
        </w:tc>
        <w:tc>
          <w:tcPr>
            <w:tcW w:w="4888" w:type="dxa"/>
            <w:gridSpan w:val="2"/>
            <w:tcBorders>
              <w:top w:val="nil"/>
              <w:bottom w:val="nil"/>
              <w:right w:val="single" w:sz="6" w:space="0" w:color="auto"/>
            </w:tcBorders>
          </w:tcPr>
          <w:p w14:paraId="42BFAB82" w14:textId="77777777" w:rsidR="00CD2854" w:rsidRPr="00FB229D" w:rsidRDefault="00CD2854" w:rsidP="00E93863"/>
        </w:tc>
      </w:tr>
      <w:tr w:rsidR="00CD2854" w:rsidRPr="00FB229D" w14:paraId="753C6F94" w14:textId="77777777">
        <w:tc>
          <w:tcPr>
            <w:tcW w:w="4320" w:type="dxa"/>
            <w:gridSpan w:val="3"/>
            <w:tcBorders>
              <w:top w:val="nil"/>
              <w:left w:val="single" w:sz="6" w:space="0" w:color="auto"/>
              <w:bottom w:val="nil"/>
            </w:tcBorders>
          </w:tcPr>
          <w:p w14:paraId="3EEC7B95" w14:textId="77777777" w:rsidR="00CD2854" w:rsidRPr="00FB229D" w:rsidRDefault="00CD2854" w:rsidP="00C964E1">
            <w:pPr>
              <w:pStyle w:val="DFARS"/>
              <w:keepNext/>
              <w:keepLines/>
              <w:spacing w:line="240" w:lineRule="auto"/>
              <w:rPr>
                <w:rFonts w:ascii="Arial" w:hAnsi="Arial"/>
                <w:szCs w:val="24"/>
              </w:rPr>
            </w:pPr>
          </w:p>
        </w:tc>
        <w:tc>
          <w:tcPr>
            <w:tcW w:w="4888" w:type="dxa"/>
            <w:gridSpan w:val="2"/>
            <w:tcBorders>
              <w:top w:val="nil"/>
              <w:bottom w:val="nil"/>
              <w:right w:val="single" w:sz="6" w:space="0" w:color="auto"/>
            </w:tcBorders>
          </w:tcPr>
          <w:p w14:paraId="114DEAFC" w14:textId="77777777" w:rsidR="00CD2854" w:rsidRPr="00FB229D" w:rsidRDefault="00CD2854" w:rsidP="00E93863">
            <w:r w:rsidRPr="00FB229D">
              <w:rPr>
                <w:szCs w:val="24"/>
              </w:rPr>
              <w:t>Accepted_________</w:t>
            </w:r>
            <w:r>
              <w:rPr>
                <w:szCs w:val="24"/>
              </w:rPr>
              <w:t>__</w:t>
            </w:r>
            <w:r w:rsidRPr="00FB229D">
              <w:rPr>
                <w:szCs w:val="24"/>
              </w:rPr>
              <w:t>_______</w:t>
            </w:r>
            <w:r>
              <w:rPr>
                <w:szCs w:val="24"/>
              </w:rPr>
              <w:t>___</w:t>
            </w:r>
            <w:r w:rsidRPr="00FB229D">
              <w:rPr>
                <w:szCs w:val="24"/>
              </w:rPr>
              <w:t>__ (Date)</w:t>
            </w:r>
          </w:p>
        </w:tc>
      </w:tr>
      <w:tr w:rsidR="00CD2854" w:rsidRPr="00FB229D" w14:paraId="474ACF2B" w14:textId="77777777">
        <w:tc>
          <w:tcPr>
            <w:tcW w:w="2610" w:type="dxa"/>
            <w:tcBorders>
              <w:top w:val="nil"/>
              <w:left w:val="single" w:sz="6" w:space="0" w:color="auto"/>
              <w:bottom w:val="nil"/>
            </w:tcBorders>
          </w:tcPr>
          <w:p w14:paraId="2A917D26" w14:textId="77777777" w:rsidR="00CD2854" w:rsidRPr="00FB229D" w:rsidRDefault="00CD2854" w:rsidP="00C964E1">
            <w:pPr>
              <w:pStyle w:val="DFARS"/>
              <w:keepNext/>
              <w:keepLines/>
              <w:spacing w:line="240" w:lineRule="auto"/>
              <w:rPr>
                <w:rFonts w:ascii="Arial" w:hAnsi="Arial"/>
                <w:szCs w:val="24"/>
              </w:rPr>
            </w:pPr>
          </w:p>
        </w:tc>
        <w:tc>
          <w:tcPr>
            <w:tcW w:w="6598" w:type="dxa"/>
            <w:gridSpan w:val="4"/>
            <w:tcBorders>
              <w:top w:val="nil"/>
              <w:bottom w:val="nil"/>
              <w:right w:val="single" w:sz="6" w:space="0" w:color="auto"/>
            </w:tcBorders>
          </w:tcPr>
          <w:p w14:paraId="2A7AE25D" w14:textId="77777777" w:rsidR="00CD2854" w:rsidRPr="00FB229D" w:rsidRDefault="00CD2854" w:rsidP="00E93863">
            <w:r w:rsidRPr="00FB229D">
              <w:rPr>
                <w:szCs w:val="24"/>
              </w:rPr>
              <w:t>_____________</w:t>
            </w:r>
            <w:r>
              <w:rPr>
                <w:szCs w:val="24"/>
              </w:rPr>
              <w:t>__________</w:t>
            </w:r>
            <w:r w:rsidRPr="00FB229D">
              <w:rPr>
                <w:szCs w:val="24"/>
              </w:rPr>
              <w:t xml:space="preserve"> (Name of Insurance Company)</w:t>
            </w:r>
          </w:p>
        </w:tc>
      </w:tr>
      <w:tr w:rsidR="00CD2854" w:rsidRPr="00FB229D" w14:paraId="54F7265E" w14:textId="77777777">
        <w:tc>
          <w:tcPr>
            <w:tcW w:w="2610" w:type="dxa"/>
            <w:tcBorders>
              <w:top w:val="nil"/>
              <w:left w:val="single" w:sz="6" w:space="0" w:color="auto"/>
              <w:bottom w:val="nil"/>
            </w:tcBorders>
          </w:tcPr>
          <w:p w14:paraId="1BFA861B" w14:textId="77777777" w:rsidR="00CD2854" w:rsidRPr="00FB229D" w:rsidRDefault="00CD2854" w:rsidP="00C964E1">
            <w:pPr>
              <w:pStyle w:val="DFARS"/>
              <w:keepNext/>
              <w:keepLines/>
              <w:spacing w:line="240" w:lineRule="auto"/>
              <w:rPr>
                <w:rFonts w:ascii="Arial" w:hAnsi="Arial"/>
                <w:szCs w:val="24"/>
              </w:rPr>
            </w:pPr>
          </w:p>
        </w:tc>
        <w:tc>
          <w:tcPr>
            <w:tcW w:w="6598" w:type="dxa"/>
            <w:gridSpan w:val="4"/>
            <w:tcBorders>
              <w:top w:val="nil"/>
              <w:bottom w:val="nil"/>
              <w:right w:val="single" w:sz="6" w:space="0" w:color="auto"/>
            </w:tcBorders>
          </w:tcPr>
          <w:p w14:paraId="74F77958" w14:textId="77777777" w:rsidR="00CD2854" w:rsidRPr="00FB229D" w:rsidRDefault="00CD2854" w:rsidP="00E93863">
            <w:r w:rsidRPr="00FB229D">
              <w:rPr>
                <w:szCs w:val="24"/>
              </w:rPr>
              <w:t>By ________</w:t>
            </w:r>
            <w:r>
              <w:rPr>
                <w:szCs w:val="24"/>
              </w:rPr>
              <w:t>_</w:t>
            </w:r>
            <w:r w:rsidRPr="00FB229D">
              <w:rPr>
                <w:szCs w:val="24"/>
              </w:rPr>
              <w:t>__</w:t>
            </w:r>
            <w:r>
              <w:rPr>
                <w:szCs w:val="24"/>
              </w:rPr>
              <w:t>_________</w:t>
            </w:r>
            <w:r w:rsidRPr="00FB229D">
              <w:rPr>
                <w:szCs w:val="24"/>
              </w:rPr>
              <w:t>_(Title of Official Signing)</w:t>
            </w:r>
          </w:p>
        </w:tc>
      </w:tr>
      <w:tr w:rsidR="00CD2854" w:rsidRPr="00FB229D" w14:paraId="6A5AC298" w14:textId="77777777">
        <w:tc>
          <w:tcPr>
            <w:tcW w:w="2610" w:type="dxa"/>
            <w:tcBorders>
              <w:top w:val="nil"/>
              <w:left w:val="single" w:sz="6" w:space="0" w:color="auto"/>
              <w:bottom w:val="nil"/>
            </w:tcBorders>
          </w:tcPr>
          <w:p w14:paraId="2887D8AA" w14:textId="77777777" w:rsidR="00CD2854" w:rsidRPr="00FB229D" w:rsidRDefault="00CD2854" w:rsidP="00C964E1">
            <w:pPr>
              <w:pStyle w:val="DFARS"/>
              <w:keepNext/>
              <w:keepLines/>
              <w:spacing w:line="240" w:lineRule="auto"/>
              <w:rPr>
                <w:rFonts w:ascii="Arial" w:hAnsi="Arial"/>
                <w:szCs w:val="24"/>
              </w:rPr>
            </w:pPr>
          </w:p>
        </w:tc>
        <w:tc>
          <w:tcPr>
            <w:tcW w:w="6598" w:type="dxa"/>
            <w:gridSpan w:val="4"/>
            <w:tcBorders>
              <w:top w:val="nil"/>
              <w:bottom w:val="nil"/>
              <w:right w:val="single" w:sz="6" w:space="0" w:color="auto"/>
            </w:tcBorders>
          </w:tcPr>
          <w:p w14:paraId="7E8FB68A" w14:textId="77777777" w:rsidR="00CD2854" w:rsidRPr="00FB229D" w:rsidRDefault="00CD2854" w:rsidP="00E93863"/>
        </w:tc>
      </w:tr>
      <w:tr w:rsidR="00CD2854" w:rsidRPr="00FB229D" w14:paraId="0DFE18D0" w14:textId="77777777">
        <w:tc>
          <w:tcPr>
            <w:tcW w:w="4320" w:type="dxa"/>
            <w:gridSpan w:val="3"/>
            <w:tcBorders>
              <w:top w:val="nil"/>
              <w:left w:val="single" w:sz="6" w:space="0" w:color="auto"/>
              <w:bottom w:val="nil"/>
            </w:tcBorders>
          </w:tcPr>
          <w:p w14:paraId="36E821CD" w14:textId="77777777" w:rsidR="00CD2854" w:rsidRPr="00FB229D" w:rsidRDefault="00CD2854" w:rsidP="00C964E1">
            <w:pPr>
              <w:pStyle w:val="DFARS"/>
              <w:keepNext/>
              <w:keepLines/>
              <w:spacing w:line="240" w:lineRule="auto"/>
              <w:rPr>
                <w:rFonts w:ascii="Arial" w:hAnsi="Arial"/>
                <w:szCs w:val="24"/>
              </w:rPr>
            </w:pPr>
          </w:p>
        </w:tc>
        <w:tc>
          <w:tcPr>
            <w:tcW w:w="4888" w:type="dxa"/>
            <w:gridSpan w:val="2"/>
            <w:tcBorders>
              <w:top w:val="nil"/>
              <w:bottom w:val="nil"/>
              <w:right w:val="single" w:sz="6" w:space="0" w:color="auto"/>
            </w:tcBorders>
          </w:tcPr>
          <w:p w14:paraId="0265947C" w14:textId="77777777" w:rsidR="00CD2854" w:rsidRPr="00FB229D" w:rsidRDefault="00CD2854" w:rsidP="00E93863">
            <w:r w:rsidRPr="00FB229D">
              <w:rPr>
                <w:szCs w:val="24"/>
              </w:rPr>
              <w:t>Accepted_____________________</w:t>
            </w:r>
            <w:r>
              <w:rPr>
                <w:szCs w:val="24"/>
              </w:rPr>
              <w:t>_</w:t>
            </w:r>
            <w:r w:rsidRPr="00FB229D">
              <w:rPr>
                <w:szCs w:val="24"/>
              </w:rPr>
              <w:t>_ (Date)</w:t>
            </w:r>
          </w:p>
        </w:tc>
      </w:tr>
      <w:tr w:rsidR="00CD2854" w:rsidRPr="00FB229D" w14:paraId="50B403C4" w14:textId="77777777">
        <w:tc>
          <w:tcPr>
            <w:tcW w:w="5670" w:type="dxa"/>
            <w:gridSpan w:val="4"/>
            <w:tcBorders>
              <w:top w:val="nil"/>
              <w:left w:val="single" w:sz="6" w:space="0" w:color="auto"/>
              <w:bottom w:val="nil"/>
            </w:tcBorders>
          </w:tcPr>
          <w:p w14:paraId="680AAD24" w14:textId="77777777" w:rsidR="00CD2854" w:rsidRPr="00FB229D" w:rsidRDefault="00CD2854" w:rsidP="00C964E1">
            <w:pPr>
              <w:pStyle w:val="DFARS"/>
              <w:keepNext/>
              <w:keepLines/>
              <w:spacing w:line="240" w:lineRule="auto"/>
              <w:rPr>
                <w:rFonts w:ascii="Arial" w:hAnsi="Arial"/>
                <w:szCs w:val="24"/>
              </w:rPr>
            </w:pPr>
          </w:p>
        </w:tc>
        <w:tc>
          <w:tcPr>
            <w:tcW w:w="3538" w:type="dxa"/>
            <w:tcBorders>
              <w:top w:val="nil"/>
              <w:bottom w:val="nil"/>
              <w:right w:val="single" w:sz="6" w:space="0" w:color="auto"/>
            </w:tcBorders>
          </w:tcPr>
          <w:p w14:paraId="7CA13D27" w14:textId="77777777" w:rsidR="00CD2854" w:rsidRPr="00FB229D" w:rsidRDefault="00CD2854" w:rsidP="00E93863">
            <w:smartTag w:uri="urn:schemas-microsoft-com:office:smarttags" w:element="country-region">
              <w:smartTag w:uri="urn:schemas-microsoft-com:office:smarttags" w:element="place">
                <w:r w:rsidRPr="00FB229D">
                  <w:rPr>
                    <w:szCs w:val="24"/>
                  </w:rPr>
                  <w:t>United States of America</w:t>
                </w:r>
              </w:smartTag>
            </w:smartTag>
          </w:p>
        </w:tc>
      </w:tr>
      <w:tr w:rsidR="00CD2854" w:rsidRPr="00FB229D" w14:paraId="77E0EAD5" w14:textId="77777777">
        <w:tc>
          <w:tcPr>
            <w:tcW w:w="2610" w:type="dxa"/>
            <w:tcBorders>
              <w:top w:val="nil"/>
              <w:left w:val="single" w:sz="6" w:space="0" w:color="auto"/>
              <w:bottom w:val="nil"/>
            </w:tcBorders>
          </w:tcPr>
          <w:p w14:paraId="2501671F" w14:textId="77777777" w:rsidR="00CD2854" w:rsidRPr="00FB229D" w:rsidRDefault="00CD2854" w:rsidP="00C964E1">
            <w:pPr>
              <w:pStyle w:val="DFARS"/>
              <w:keepNext/>
              <w:keepLines/>
              <w:spacing w:line="240" w:lineRule="auto"/>
              <w:rPr>
                <w:rFonts w:ascii="Arial" w:hAnsi="Arial"/>
                <w:szCs w:val="24"/>
              </w:rPr>
            </w:pPr>
          </w:p>
        </w:tc>
        <w:tc>
          <w:tcPr>
            <w:tcW w:w="6598" w:type="dxa"/>
            <w:gridSpan w:val="4"/>
            <w:tcBorders>
              <w:top w:val="nil"/>
              <w:bottom w:val="nil"/>
              <w:right w:val="single" w:sz="6" w:space="0" w:color="auto"/>
            </w:tcBorders>
          </w:tcPr>
          <w:p w14:paraId="41DDDFD6" w14:textId="77777777" w:rsidR="00CD2854" w:rsidRPr="00FB229D" w:rsidRDefault="00CD2854" w:rsidP="00E93863">
            <w:r w:rsidRPr="00FB229D">
              <w:rPr>
                <w:szCs w:val="24"/>
              </w:rPr>
              <w:t>By _____________</w:t>
            </w:r>
            <w:r>
              <w:rPr>
                <w:szCs w:val="24"/>
              </w:rPr>
              <w:t>______</w:t>
            </w:r>
            <w:r w:rsidRPr="00FB229D">
              <w:rPr>
                <w:szCs w:val="24"/>
              </w:rPr>
              <w:t>_ (Authorized Representative)</w:t>
            </w:r>
          </w:p>
        </w:tc>
      </w:tr>
      <w:tr w:rsidR="00CD2854" w:rsidRPr="00FB229D" w14:paraId="63DDA25F" w14:textId="77777777">
        <w:tc>
          <w:tcPr>
            <w:tcW w:w="2970" w:type="dxa"/>
            <w:gridSpan w:val="2"/>
            <w:tcBorders>
              <w:top w:val="nil"/>
              <w:left w:val="single" w:sz="6" w:space="0" w:color="auto"/>
              <w:bottom w:val="nil"/>
            </w:tcBorders>
          </w:tcPr>
          <w:p w14:paraId="0A9DE245" w14:textId="77777777" w:rsidR="00CD2854" w:rsidRPr="00FB229D" w:rsidRDefault="00CD2854" w:rsidP="00C964E1">
            <w:pPr>
              <w:pStyle w:val="DFARS"/>
              <w:keepNext/>
              <w:keepLines/>
              <w:spacing w:line="240" w:lineRule="auto"/>
              <w:rPr>
                <w:rFonts w:ascii="Arial" w:hAnsi="Arial"/>
                <w:szCs w:val="24"/>
              </w:rPr>
            </w:pPr>
          </w:p>
        </w:tc>
        <w:tc>
          <w:tcPr>
            <w:tcW w:w="6238" w:type="dxa"/>
            <w:gridSpan w:val="3"/>
            <w:tcBorders>
              <w:top w:val="nil"/>
              <w:bottom w:val="nil"/>
              <w:right w:val="single" w:sz="6" w:space="0" w:color="auto"/>
            </w:tcBorders>
          </w:tcPr>
          <w:p w14:paraId="65FE3254" w14:textId="77777777" w:rsidR="00CD2854" w:rsidRPr="00FB229D" w:rsidRDefault="00CD2854" w:rsidP="00E93863"/>
        </w:tc>
      </w:tr>
      <w:tr w:rsidR="00CD2854" w:rsidRPr="00FB229D" w14:paraId="47FEDD13" w14:textId="77777777">
        <w:tc>
          <w:tcPr>
            <w:tcW w:w="4320" w:type="dxa"/>
            <w:gridSpan w:val="3"/>
            <w:tcBorders>
              <w:top w:val="nil"/>
              <w:left w:val="single" w:sz="6" w:space="0" w:color="auto"/>
              <w:bottom w:val="nil"/>
            </w:tcBorders>
          </w:tcPr>
          <w:p w14:paraId="48AAF8E4" w14:textId="77777777" w:rsidR="00CD2854" w:rsidRPr="00FB229D" w:rsidRDefault="00CD2854" w:rsidP="00C964E1">
            <w:pPr>
              <w:pStyle w:val="DFARS"/>
              <w:keepNext/>
              <w:keepLines/>
              <w:spacing w:line="240" w:lineRule="auto"/>
              <w:rPr>
                <w:rFonts w:ascii="Arial" w:hAnsi="Arial"/>
                <w:szCs w:val="24"/>
              </w:rPr>
            </w:pPr>
          </w:p>
        </w:tc>
        <w:tc>
          <w:tcPr>
            <w:tcW w:w="4888" w:type="dxa"/>
            <w:gridSpan w:val="2"/>
            <w:tcBorders>
              <w:top w:val="nil"/>
              <w:bottom w:val="nil"/>
              <w:right w:val="single" w:sz="6" w:space="0" w:color="auto"/>
            </w:tcBorders>
          </w:tcPr>
          <w:p w14:paraId="621B2F9F" w14:textId="77777777" w:rsidR="00CD2854" w:rsidRPr="00FB229D" w:rsidRDefault="00CD2854" w:rsidP="00E93863">
            <w:r w:rsidRPr="00FB229D">
              <w:rPr>
                <w:szCs w:val="24"/>
              </w:rPr>
              <w:t>Accepted_______________________ (Date)</w:t>
            </w:r>
          </w:p>
        </w:tc>
      </w:tr>
      <w:tr w:rsidR="00CD2854" w:rsidRPr="00FB229D" w14:paraId="20D45BA9" w14:textId="77777777">
        <w:tc>
          <w:tcPr>
            <w:tcW w:w="2610" w:type="dxa"/>
            <w:tcBorders>
              <w:top w:val="nil"/>
              <w:left w:val="single" w:sz="6" w:space="0" w:color="auto"/>
              <w:bottom w:val="nil"/>
            </w:tcBorders>
          </w:tcPr>
          <w:p w14:paraId="1773F47A" w14:textId="77777777" w:rsidR="00CD2854" w:rsidRPr="00FB229D" w:rsidRDefault="00CD2854" w:rsidP="00C964E1">
            <w:pPr>
              <w:pStyle w:val="DFARS"/>
              <w:keepNext/>
              <w:keepLines/>
              <w:spacing w:line="240" w:lineRule="auto"/>
              <w:rPr>
                <w:rFonts w:ascii="Arial" w:hAnsi="Arial"/>
                <w:szCs w:val="24"/>
              </w:rPr>
            </w:pPr>
          </w:p>
        </w:tc>
        <w:tc>
          <w:tcPr>
            <w:tcW w:w="6598" w:type="dxa"/>
            <w:gridSpan w:val="4"/>
            <w:tcBorders>
              <w:top w:val="nil"/>
              <w:bottom w:val="nil"/>
              <w:right w:val="single" w:sz="6" w:space="0" w:color="auto"/>
            </w:tcBorders>
          </w:tcPr>
          <w:p w14:paraId="5676A63D" w14:textId="77777777" w:rsidR="00CD2854" w:rsidRPr="00FB229D" w:rsidRDefault="00CD2854" w:rsidP="00E93863">
            <w:r w:rsidRPr="00FB229D">
              <w:rPr>
                <w:szCs w:val="24"/>
              </w:rPr>
              <w:t>______</w:t>
            </w:r>
            <w:r>
              <w:rPr>
                <w:szCs w:val="24"/>
              </w:rPr>
              <w:t>________</w:t>
            </w:r>
            <w:r w:rsidRPr="00FB229D">
              <w:rPr>
                <w:szCs w:val="24"/>
              </w:rPr>
              <w:t>_______</w:t>
            </w:r>
            <w:r>
              <w:rPr>
                <w:szCs w:val="24"/>
              </w:rPr>
              <w:t>_</w:t>
            </w:r>
            <w:r w:rsidRPr="00FB229D">
              <w:rPr>
                <w:szCs w:val="24"/>
              </w:rPr>
              <w:t>_ (Prime Contractor)</w:t>
            </w:r>
          </w:p>
        </w:tc>
      </w:tr>
      <w:tr w:rsidR="00CD2854" w:rsidRPr="00FB229D" w14:paraId="2B0031FB" w14:textId="77777777">
        <w:tc>
          <w:tcPr>
            <w:tcW w:w="2610" w:type="dxa"/>
            <w:tcBorders>
              <w:top w:val="nil"/>
              <w:left w:val="single" w:sz="6" w:space="0" w:color="auto"/>
              <w:bottom w:val="nil"/>
            </w:tcBorders>
          </w:tcPr>
          <w:p w14:paraId="0DCD32A5" w14:textId="77777777" w:rsidR="00CD2854" w:rsidRPr="00FB229D" w:rsidRDefault="00CD2854" w:rsidP="00C964E1">
            <w:pPr>
              <w:pStyle w:val="DFARS"/>
              <w:keepNext/>
              <w:keepLines/>
              <w:spacing w:after="120" w:line="240" w:lineRule="auto"/>
              <w:rPr>
                <w:rFonts w:ascii="Arial" w:hAnsi="Arial"/>
                <w:szCs w:val="24"/>
              </w:rPr>
            </w:pPr>
          </w:p>
        </w:tc>
        <w:tc>
          <w:tcPr>
            <w:tcW w:w="6598" w:type="dxa"/>
            <w:gridSpan w:val="4"/>
            <w:tcBorders>
              <w:top w:val="nil"/>
              <w:bottom w:val="nil"/>
              <w:right w:val="single" w:sz="6" w:space="0" w:color="auto"/>
            </w:tcBorders>
          </w:tcPr>
          <w:p w14:paraId="141CAC07" w14:textId="77777777" w:rsidR="00CD2854" w:rsidRPr="00FB229D" w:rsidRDefault="00CD2854" w:rsidP="00E93863">
            <w:r w:rsidRPr="00FB229D">
              <w:rPr>
                <w:szCs w:val="24"/>
              </w:rPr>
              <w:t>By ____</w:t>
            </w:r>
            <w:r>
              <w:rPr>
                <w:szCs w:val="24"/>
              </w:rPr>
              <w:t>_______</w:t>
            </w:r>
            <w:r w:rsidRPr="00FB229D">
              <w:rPr>
                <w:szCs w:val="24"/>
              </w:rPr>
              <w:t>_________ (Authorized Representative)</w:t>
            </w:r>
          </w:p>
        </w:tc>
      </w:tr>
      <w:tr w:rsidR="00CD2854" w:rsidRPr="00FB229D" w14:paraId="6D32F073" w14:textId="77777777">
        <w:tc>
          <w:tcPr>
            <w:tcW w:w="9208" w:type="dxa"/>
            <w:gridSpan w:val="5"/>
            <w:tcBorders>
              <w:top w:val="nil"/>
              <w:left w:val="single" w:sz="6" w:space="0" w:color="auto"/>
              <w:bottom w:val="single" w:sz="6" w:space="0" w:color="auto"/>
              <w:right w:val="single" w:sz="6" w:space="0" w:color="auto"/>
            </w:tcBorders>
          </w:tcPr>
          <w:p w14:paraId="418A2ED1" w14:textId="77777777" w:rsidR="00CD2854" w:rsidRPr="00FB229D" w:rsidRDefault="00CD2854" w:rsidP="00E93863">
            <w:r w:rsidRPr="00FB229D">
              <w:rPr>
                <w:szCs w:val="24"/>
              </w:rPr>
              <w:t>*In the event the Government has less than a 100 percent interest in premium funds or dividends, modify the assignment to reflect the percentage of interest and extent of the Government's assumption of additional premium obligation.</w:t>
            </w:r>
          </w:p>
        </w:tc>
      </w:tr>
    </w:tbl>
    <w:p w14:paraId="563F5487" w14:textId="77777777" w:rsidR="00CD2854" w:rsidRPr="00FB229D" w:rsidRDefault="00CD2854" w:rsidP="00E93863"/>
    <w:p w14:paraId="569A967C" w14:textId="77777777" w:rsidR="00CD2854" w:rsidRPr="00FB229D" w:rsidRDefault="00CD2854" w:rsidP="00E93863"/>
    <w:tbl>
      <w:tblPr>
        <w:tblW w:w="0" w:type="auto"/>
        <w:tblInd w:w="28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208"/>
      </w:tblGrid>
      <w:tr w:rsidR="00CD2854" w:rsidRPr="00FB229D" w14:paraId="29E633D2" w14:textId="77777777">
        <w:tc>
          <w:tcPr>
            <w:tcW w:w="9208" w:type="dxa"/>
            <w:tcBorders>
              <w:top w:val="single" w:sz="6" w:space="0" w:color="auto"/>
              <w:left w:val="single" w:sz="6" w:space="0" w:color="auto"/>
              <w:bottom w:val="nil"/>
              <w:right w:val="single" w:sz="6" w:space="0" w:color="auto"/>
            </w:tcBorders>
          </w:tcPr>
          <w:p w14:paraId="038BEBEA" w14:textId="77777777" w:rsidR="00CD2854" w:rsidRPr="00FB229D" w:rsidRDefault="00CD2854" w:rsidP="00E93863">
            <w:r w:rsidRPr="00FB229D">
              <w:rPr>
                <w:szCs w:val="24"/>
                <w:u w:val="single"/>
              </w:rPr>
              <w:t>TABLE 28-2, AUTOMOBILE INSURANCE POLICY ENDORSEMENT</w:t>
            </w:r>
          </w:p>
        </w:tc>
      </w:tr>
      <w:tr w:rsidR="00CD2854" w:rsidRPr="00FB229D" w14:paraId="71332165" w14:textId="77777777">
        <w:tc>
          <w:tcPr>
            <w:tcW w:w="9208" w:type="dxa"/>
            <w:tcBorders>
              <w:top w:val="nil"/>
              <w:left w:val="single" w:sz="6" w:space="0" w:color="auto"/>
              <w:bottom w:val="nil"/>
              <w:right w:val="single" w:sz="6" w:space="0" w:color="auto"/>
            </w:tcBorders>
          </w:tcPr>
          <w:p w14:paraId="7F5EC186" w14:textId="77777777" w:rsidR="00CD2854" w:rsidRPr="00FB229D" w:rsidRDefault="00CD2854" w:rsidP="00E93863"/>
        </w:tc>
      </w:tr>
      <w:tr w:rsidR="00CD2854" w:rsidRPr="00FB229D" w14:paraId="5920222A" w14:textId="77777777">
        <w:tc>
          <w:tcPr>
            <w:tcW w:w="9208" w:type="dxa"/>
            <w:tcBorders>
              <w:top w:val="nil"/>
              <w:left w:val="single" w:sz="6" w:space="0" w:color="auto"/>
              <w:bottom w:val="single" w:sz="6" w:space="0" w:color="auto"/>
              <w:right w:val="single" w:sz="6" w:space="0" w:color="auto"/>
            </w:tcBorders>
          </w:tcPr>
          <w:p w14:paraId="5195194D" w14:textId="77777777" w:rsidR="00CD2854" w:rsidRPr="00FB229D" w:rsidRDefault="00CD2854" w:rsidP="00E93863">
            <w:r w:rsidRPr="00FB229D">
              <w:rPr>
                <w:szCs w:val="24"/>
              </w:rPr>
              <w:tab/>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p w14:paraId="5FF87151" w14:textId="77777777" w:rsidR="00CD2854" w:rsidRPr="00FB229D" w:rsidRDefault="00CD2854" w:rsidP="00E93863">
            <w:pPr>
              <w:rPr>
                <w:u w:val="single"/>
              </w:rPr>
            </w:pPr>
          </w:p>
        </w:tc>
      </w:tr>
    </w:tbl>
    <w:p w14:paraId="40CB9B1F" w14:textId="77777777" w:rsidR="00CD2854" w:rsidRPr="00FB229D" w:rsidRDefault="00CD2854" w:rsidP="00E93863"/>
    <w:p w14:paraId="5E0AC362" w14:textId="77777777" w:rsidR="00CD2854" w:rsidRDefault="00CD2854" w:rsidP="00E93863">
      <w:pPr>
        <w:pStyle w:val="Heading3"/>
      </w:pPr>
      <w:bookmarkStart w:id="8" w:name="_Toc37415819"/>
      <w:bookmarkStart w:id="9" w:name="_Toc37677633"/>
      <w:bookmarkStart w:id="10" w:name="_Toc37756442"/>
      <w:r w:rsidRPr="00FB229D">
        <w:rPr>
          <w:szCs w:val="24"/>
        </w:rPr>
        <w:t>PGI 228.305  Overseas workers' compensation and war-hazard insurance.</w:t>
      </w:r>
      <w:bookmarkEnd w:id="8"/>
      <w:bookmarkEnd w:id="9"/>
      <w:bookmarkEnd w:id="10"/>
    </w:p>
    <w:p w14:paraId="5DF67F9C" w14:textId="77777777" w:rsidR="00CD2854" w:rsidRDefault="00CD2854" w:rsidP="00E93863">
      <w:pPr>
        <w:pStyle w:val="List1"/>
      </w:pPr>
      <w:r>
        <w:rPr>
          <w:b/>
        </w:rPr>
        <w:br/>
      </w:r>
      <w:r w:rsidRPr="00FB229D">
        <w:t>(d)  Submit requests for waiver through department/agency channels.  Include the following</w:t>
      </w:r>
      <w:r>
        <w:t xml:space="preserve"> in the request:</w:t>
      </w:r>
    </w:p>
    <w:p w14:paraId="548A6AEC" w14:textId="77777777" w:rsidR="00CD2854" w:rsidRDefault="00CD2854" w:rsidP="009E09D8">
      <w:pPr>
        <w:pStyle w:val="List3"/>
      </w:pPr>
      <w:r>
        <w:br/>
      </w:r>
      <w:r w:rsidRPr="00FB229D">
        <w:t>(i)  Name and address of contractor</w:t>
      </w:r>
      <w:r>
        <w:t>.</w:t>
      </w:r>
    </w:p>
    <w:p w14:paraId="5D34C51C" w14:textId="77777777" w:rsidR="00CD2854" w:rsidRDefault="00CD2854" w:rsidP="00E93863">
      <w:pPr>
        <w:pStyle w:val="List3"/>
      </w:pPr>
      <w:r>
        <w:rPr>
          <w:szCs w:val="24"/>
        </w:rPr>
        <w:br/>
      </w:r>
      <w:r w:rsidRPr="00FB229D">
        <w:rPr>
          <w:szCs w:val="24"/>
        </w:rPr>
        <w:t>(ii)  Contract number</w:t>
      </w:r>
      <w:r>
        <w:rPr>
          <w:szCs w:val="24"/>
        </w:rPr>
        <w:t>.</w:t>
      </w:r>
    </w:p>
    <w:p w14:paraId="4C7ABA28" w14:textId="77777777" w:rsidR="00CD2854" w:rsidRDefault="00CD2854" w:rsidP="00E93863">
      <w:pPr>
        <w:pStyle w:val="List3"/>
      </w:pPr>
      <w:r>
        <w:rPr>
          <w:szCs w:val="24"/>
        </w:rPr>
        <w:br/>
      </w:r>
      <w:r w:rsidRPr="00FB229D">
        <w:rPr>
          <w:szCs w:val="24"/>
        </w:rPr>
        <w:t>(iii)  Date of award</w:t>
      </w:r>
      <w:r>
        <w:rPr>
          <w:szCs w:val="24"/>
        </w:rPr>
        <w:t>.</w:t>
      </w:r>
    </w:p>
    <w:p w14:paraId="1B447B75" w14:textId="77777777" w:rsidR="00CD2854" w:rsidRDefault="00CD2854" w:rsidP="00E93863">
      <w:pPr>
        <w:pStyle w:val="List3"/>
      </w:pPr>
      <w:r>
        <w:rPr>
          <w:szCs w:val="24"/>
        </w:rPr>
        <w:br/>
      </w:r>
      <w:r w:rsidRPr="00FB229D">
        <w:rPr>
          <w:szCs w:val="24"/>
        </w:rPr>
        <w:t>(iv)  Place of performance</w:t>
      </w:r>
      <w:r>
        <w:rPr>
          <w:szCs w:val="24"/>
        </w:rPr>
        <w:t>.</w:t>
      </w:r>
    </w:p>
    <w:p w14:paraId="2D40F2B3" w14:textId="77777777" w:rsidR="00CD2854" w:rsidRDefault="00CD2854" w:rsidP="009E09D8">
      <w:pPr>
        <w:pStyle w:val="List3"/>
      </w:pPr>
      <w:r>
        <w:br/>
      </w:r>
      <w:r w:rsidRPr="00FB229D">
        <w:t>(v)  Name of insurance company providing Defense Base Act coverage</w:t>
      </w:r>
      <w:r>
        <w:t>.</w:t>
      </w:r>
    </w:p>
    <w:p w14:paraId="2FAB8389" w14:textId="77777777" w:rsidR="00CD2854" w:rsidRDefault="00CD2854" w:rsidP="00E93863">
      <w:pPr>
        <w:pStyle w:val="List3"/>
      </w:pPr>
      <w:r>
        <w:rPr>
          <w:szCs w:val="24"/>
        </w:rPr>
        <w:br/>
      </w:r>
      <w:r w:rsidRPr="00FB229D">
        <w:rPr>
          <w:szCs w:val="24"/>
        </w:rPr>
        <w:t>(vi)  Nationality of employees to whom waiver is to apply</w:t>
      </w:r>
      <w:r>
        <w:rPr>
          <w:szCs w:val="24"/>
        </w:rPr>
        <w:t>.</w:t>
      </w:r>
    </w:p>
    <w:p w14:paraId="61E1F5AF" w14:textId="77777777" w:rsidR="00CD2854" w:rsidRDefault="00CD2854" w:rsidP="00E93863">
      <w:pPr>
        <w:pStyle w:val="List3"/>
      </w:pPr>
      <w:r>
        <w:rPr>
          <w:szCs w:val="24"/>
        </w:rPr>
        <w:br/>
      </w:r>
      <w:r w:rsidRPr="00FB229D">
        <w:rPr>
          <w:szCs w:val="24"/>
        </w:rPr>
        <w:t>(vii)  Reason for waiver.</w:t>
      </w:r>
    </w:p>
    <w:p w14:paraId="349B2F63" w14:textId="77777777" w:rsidR="00CD2854" w:rsidRDefault="00CD2854" w:rsidP="00E93863">
      <w:pPr>
        <w:pStyle w:val="Heading3"/>
      </w:pPr>
      <w:r>
        <w:rPr>
          <w:szCs w:val="24"/>
        </w:rPr>
        <w:br/>
      </w:r>
      <w:bookmarkStart w:id="11" w:name="_Toc37415820"/>
      <w:bookmarkStart w:id="12" w:name="_Toc37677634"/>
      <w:bookmarkStart w:id="13" w:name="_Toc37756443"/>
      <w:r w:rsidRPr="00AF7A67">
        <w:t>PGI 228.370</w:t>
      </w:r>
      <w:r>
        <w:t xml:space="preserve"> </w:t>
      </w:r>
      <w:r w:rsidRPr="00AF7A67">
        <w:t xml:space="preserve"> Additional clauses.</w:t>
      </w:r>
      <w:bookmarkEnd w:id="11"/>
      <w:bookmarkEnd w:id="12"/>
      <w:bookmarkEnd w:id="13"/>
    </w:p>
    <w:p w14:paraId="4075C99F" w14:textId="77777777" w:rsidR="00CD2854" w:rsidRDefault="00CD2854" w:rsidP="00E93863">
      <w:pPr>
        <w:pStyle w:val="List1"/>
      </w:pPr>
      <w:r>
        <w:br/>
      </w:r>
      <w:r w:rsidRPr="00AF7A67">
        <w:t>(b)(3) DFARS 252.228-7001, Ground and Flight Risk Clause, requires the assignment</w:t>
      </w:r>
      <w:r>
        <w:t xml:space="preserve"> </w:t>
      </w:r>
      <w:r w:rsidRPr="00AF7A67">
        <w:t xml:space="preserve">of a Government Flight Representative (GFR) to administer the requirements of the combined instruction </w:t>
      </w:r>
      <w:hyperlink r:id="rId6" w:tooltip="http://guidebook.dcma.mil/227/Contractors_Flight_and_Ground_Operations.htm" w:history="1">
        <w:r w:rsidRPr="00AF7A67">
          <w:rPr>
            <w:rStyle w:val="Hyperlink"/>
          </w:rPr>
          <w:t>Contractor’s Flight and Ground Operations</w:t>
        </w:r>
      </w:hyperlink>
      <w:r w:rsidRPr="00AF7A67">
        <w:t>,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14:paraId="01C4BEBE" w14:textId="77777777" w:rsidR="00CD2854" w:rsidRPr="00495751" w:rsidRDefault="00CD2854" w:rsidP="00E93863">
      <w:pPr>
        <w:rPr>
          <w:b/>
        </w:rPr>
      </w:pPr>
      <w:r>
        <w:rPr>
          <w:b/>
        </w:rPr>
        <w:br/>
      </w:r>
      <w:r w:rsidRPr="00495751">
        <w:t>HQ DCMA: DCMA-AO</w:t>
      </w:r>
    </w:p>
    <w:p w14:paraId="73D63AAA" w14:textId="77777777" w:rsidR="00CD2854" w:rsidRDefault="00CD2854" w:rsidP="00C964E1">
      <w:pPr>
        <w:tabs>
          <w:tab w:val="bar" w:pos="10080"/>
        </w:tabs>
        <w:rPr>
          <w:b/>
          <w:color w:val="000000"/>
          <w:szCs w:val="24"/>
        </w:rPr>
      </w:pPr>
      <w:r>
        <w:rPr>
          <w:color w:val="000000"/>
          <w:szCs w:val="24"/>
        </w:rPr>
        <w:t>8000 Jefferson Davis Highway</w:t>
      </w:r>
    </w:p>
    <w:p w14:paraId="7C957C13" w14:textId="77777777" w:rsidR="00CD2854" w:rsidRDefault="00CD2854" w:rsidP="00C964E1">
      <w:pPr>
        <w:tabs>
          <w:tab w:val="bar" w:pos="10080"/>
        </w:tabs>
        <w:rPr>
          <w:b/>
          <w:color w:val="000000"/>
          <w:szCs w:val="24"/>
        </w:rPr>
      </w:pPr>
      <w:r>
        <w:rPr>
          <w:color w:val="000000"/>
          <w:szCs w:val="24"/>
        </w:rPr>
        <w:t>Building 4A</w:t>
      </w:r>
    </w:p>
    <w:p w14:paraId="0DC5E076" w14:textId="77777777" w:rsidR="00CD2854" w:rsidRPr="00495751" w:rsidRDefault="00CD2854" w:rsidP="00C964E1">
      <w:pPr>
        <w:tabs>
          <w:tab w:val="bar" w:pos="10080"/>
        </w:tabs>
        <w:rPr>
          <w:b/>
          <w:color w:val="000000"/>
          <w:szCs w:val="24"/>
        </w:rPr>
      </w:pPr>
      <w:r>
        <w:rPr>
          <w:color w:val="000000"/>
          <w:szCs w:val="24"/>
        </w:rPr>
        <w:lastRenderedPageBreak/>
        <w:t>Richmond, VA 23297</w:t>
      </w:r>
    </w:p>
    <w:p w14:paraId="7B40D692" w14:textId="77777777" w:rsidR="00CD2854" w:rsidRPr="00495751" w:rsidRDefault="00CD2854" w:rsidP="00C964E1">
      <w:pPr>
        <w:tabs>
          <w:tab w:val="bar" w:pos="10080"/>
        </w:tabs>
        <w:rPr>
          <w:b/>
          <w:color w:val="000000"/>
          <w:szCs w:val="24"/>
        </w:rPr>
      </w:pPr>
      <w:r>
        <w:rPr>
          <w:color w:val="000000"/>
          <w:szCs w:val="24"/>
        </w:rPr>
        <w:t>804</w:t>
      </w:r>
      <w:r w:rsidRPr="00495751">
        <w:rPr>
          <w:color w:val="000000"/>
          <w:szCs w:val="24"/>
        </w:rPr>
        <w:t>–</w:t>
      </w:r>
      <w:r>
        <w:rPr>
          <w:color w:val="000000"/>
          <w:szCs w:val="24"/>
        </w:rPr>
        <w:t>279-6322</w:t>
      </w:r>
    </w:p>
    <w:p w14:paraId="017498BA" w14:textId="77777777" w:rsidR="00CD2854" w:rsidRDefault="00CD2854" w:rsidP="00C964E1">
      <w:pPr>
        <w:rPr>
          <w:b/>
          <w:szCs w:val="24"/>
        </w:rPr>
      </w:pPr>
      <w:r w:rsidRPr="00495751">
        <w:rPr>
          <w:szCs w:val="24"/>
        </w:rPr>
        <w:t>Email:</w:t>
      </w:r>
      <w:r>
        <w:rPr>
          <w:szCs w:val="24"/>
        </w:rPr>
        <w:t xml:space="preserve"> </w:t>
      </w:r>
      <w:r w:rsidRPr="00495751">
        <w:rPr>
          <w:szCs w:val="24"/>
        </w:rPr>
        <w:t xml:space="preserve"> </w:t>
      </w:r>
      <w:hyperlink r:id="rId7" w:history="1">
        <w:r w:rsidRPr="00443F6D">
          <w:rPr>
            <w:rStyle w:val="Hyperlink"/>
            <w:szCs w:val="24"/>
          </w:rPr>
          <w:t>AOInbox@dcma.mil</w:t>
        </w:r>
      </w:hyperlink>
      <w:r w:rsidRPr="00495751">
        <w:rPr>
          <w:szCs w:val="24"/>
        </w:rPr>
        <w:t xml:space="preserve"> (include "Ground and Flight Risk Clause" on the subject line)</w:t>
      </w:r>
    </w:p>
    <w:p w14:paraId="7113CA72" w14:textId="77777777" w:rsidR="00CD2854" w:rsidRPr="00495751" w:rsidRDefault="00CD2854" w:rsidP="00C964E1">
      <w:pPr>
        <w:rPr>
          <w:b/>
          <w:color w:val="000000"/>
          <w:szCs w:val="24"/>
        </w:rPr>
      </w:pPr>
      <w:r>
        <w:rPr>
          <w:b/>
          <w:szCs w:val="24"/>
        </w:rPr>
        <w:br/>
      </w:r>
      <w:r w:rsidRPr="00495751">
        <w:rPr>
          <w:color w:val="000000"/>
          <w:szCs w:val="24"/>
        </w:rPr>
        <w:t xml:space="preserve">Army:  </w:t>
      </w:r>
      <w:r>
        <w:rPr>
          <w:color w:val="000000"/>
          <w:szCs w:val="24"/>
        </w:rPr>
        <w:t>HQ, Army Materiel Command</w:t>
      </w:r>
    </w:p>
    <w:p w14:paraId="1F4A5E12" w14:textId="77777777" w:rsidR="00CD2854" w:rsidRDefault="00CD2854" w:rsidP="00C964E1">
      <w:pPr>
        <w:tabs>
          <w:tab w:val="bar" w:pos="10080"/>
        </w:tabs>
        <w:rPr>
          <w:b/>
          <w:color w:val="000000"/>
          <w:szCs w:val="24"/>
        </w:rPr>
      </w:pPr>
      <w:r w:rsidRPr="00495751">
        <w:rPr>
          <w:color w:val="000000"/>
          <w:szCs w:val="24"/>
        </w:rPr>
        <w:t>ATTN: AMCO</w:t>
      </w:r>
      <w:r>
        <w:rPr>
          <w:color w:val="000000"/>
          <w:szCs w:val="24"/>
        </w:rPr>
        <w:t>L</w:t>
      </w:r>
      <w:r w:rsidRPr="00495751">
        <w:rPr>
          <w:color w:val="000000"/>
          <w:szCs w:val="24"/>
        </w:rPr>
        <w:t>-CA</w:t>
      </w:r>
    </w:p>
    <w:p w14:paraId="030791B7" w14:textId="77777777" w:rsidR="00CD2854" w:rsidRPr="00495751" w:rsidRDefault="00CD2854" w:rsidP="00C964E1">
      <w:pPr>
        <w:rPr>
          <w:b/>
          <w:color w:val="000000"/>
          <w:szCs w:val="24"/>
        </w:rPr>
      </w:pPr>
      <w:r>
        <w:rPr>
          <w:color w:val="000000"/>
          <w:szCs w:val="24"/>
        </w:rPr>
        <w:t>4400 Martin Road</w:t>
      </w:r>
    </w:p>
    <w:p w14:paraId="546DBD4C" w14:textId="77777777" w:rsidR="00CD2854" w:rsidRPr="00495751" w:rsidRDefault="00CD2854" w:rsidP="00C964E1">
      <w:pPr>
        <w:rPr>
          <w:b/>
          <w:color w:val="000000"/>
          <w:szCs w:val="24"/>
        </w:rPr>
      </w:pPr>
      <w:r>
        <w:rPr>
          <w:color w:val="000000"/>
          <w:szCs w:val="24"/>
        </w:rPr>
        <w:t>Redstone Arsenal, AL  35898</w:t>
      </w:r>
    </w:p>
    <w:p w14:paraId="1103DFB6" w14:textId="77777777" w:rsidR="00CD2854" w:rsidRDefault="00CD2854" w:rsidP="00C964E1">
      <w:pPr>
        <w:tabs>
          <w:tab w:val="bar" w:pos="10080"/>
        </w:tabs>
        <w:rPr>
          <w:b/>
          <w:color w:val="000000"/>
          <w:szCs w:val="24"/>
        </w:rPr>
      </w:pPr>
      <w:r>
        <w:rPr>
          <w:color w:val="000000"/>
          <w:szCs w:val="24"/>
        </w:rPr>
        <w:t>256</w:t>
      </w:r>
      <w:r w:rsidRPr="00495751">
        <w:rPr>
          <w:color w:val="000000"/>
          <w:szCs w:val="24"/>
        </w:rPr>
        <w:t>–</w:t>
      </w:r>
      <w:r>
        <w:rPr>
          <w:color w:val="000000"/>
          <w:szCs w:val="24"/>
        </w:rPr>
        <w:t>450-7021</w:t>
      </w:r>
    </w:p>
    <w:p w14:paraId="5CA9FE17" w14:textId="77777777" w:rsidR="00CD2854" w:rsidRPr="00495751" w:rsidRDefault="00CD2854" w:rsidP="00C964E1">
      <w:pPr>
        <w:rPr>
          <w:b/>
          <w:color w:val="000000"/>
          <w:szCs w:val="24"/>
        </w:rPr>
      </w:pPr>
      <w:r>
        <w:rPr>
          <w:b/>
          <w:color w:val="000000"/>
          <w:szCs w:val="24"/>
        </w:rPr>
        <w:br/>
      </w:r>
      <w:r w:rsidRPr="00495751">
        <w:rPr>
          <w:color w:val="000000"/>
          <w:szCs w:val="24"/>
        </w:rPr>
        <w:t>Navy:  Commander, Naval Air Systems Command (AIR-09F)</w:t>
      </w:r>
    </w:p>
    <w:p w14:paraId="0085A24F" w14:textId="77777777" w:rsidR="00CD2854" w:rsidRPr="00495751" w:rsidRDefault="00CD2854" w:rsidP="00C964E1">
      <w:pPr>
        <w:rPr>
          <w:b/>
          <w:color w:val="000000"/>
          <w:szCs w:val="24"/>
        </w:rPr>
      </w:pPr>
      <w:r w:rsidRPr="00495751">
        <w:rPr>
          <w:color w:val="000000"/>
          <w:szCs w:val="24"/>
        </w:rPr>
        <w:t>22541 Millstone Road, Unit 10</w:t>
      </w:r>
    </w:p>
    <w:p w14:paraId="21B05E08" w14:textId="77777777" w:rsidR="00CD2854" w:rsidRPr="00495751" w:rsidRDefault="00CD2854" w:rsidP="00C964E1">
      <w:pPr>
        <w:rPr>
          <w:b/>
          <w:color w:val="000000"/>
          <w:szCs w:val="24"/>
        </w:rPr>
      </w:pPr>
      <w:r w:rsidRPr="00495751">
        <w:rPr>
          <w:color w:val="000000"/>
          <w:szCs w:val="24"/>
        </w:rPr>
        <w:t>Patuxent River, MD 20670-1601</w:t>
      </w:r>
    </w:p>
    <w:p w14:paraId="06142EA1" w14:textId="77777777" w:rsidR="00CD2854" w:rsidRDefault="00CD2854" w:rsidP="00C964E1">
      <w:pPr>
        <w:rPr>
          <w:b/>
          <w:color w:val="000000"/>
          <w:szCs w:val="24"/>
        </w:rPr>
      </w:pPr>
      <w:r w:rsidRPr="00495751">
        <w:rPr>
          <w:color w:val="000000"/>
          <w:szCs w:val="24"/>
        </w:rPr>
        <w:t>301– 342–7233</w:t>
      </w:r>
    </w:p>
    <w:p w14:paraId="4F4D8DAC" w14:textId="77777777" w:rsidR="00CD2854" w:rsidRPr="00495751" w:rsidRDefault="00CD2854" w:rsidP="00C964E1">
      <w:pPr>
        <w:rPr>
          <w:b/>
          <w:color w:val="000000"/>
          <w:szCs w:val="24"/>
        </w:rPr>
      </w:pPr>
      <w:r>
        <w:rPr>
          <w:b/>
          <w:color w:val="000000"/>
          <w:szCs w:val="24"/>
        </w:rPr>
        <w:br/>
      </w:r>
      <w:r w:rsidRPr="00495751">
        <w:rPr>
          <w:color w:val="000000"/>
          <w:szCs w:val="24"/>
        </w:rPr>
        <w:t>Air Force:  HQ AFMC/A3V</w:t>
      </w:r>
    </w:p>
    <w:p w14:paraId="6D40E400" w14:textId="77777777" w:rsidR="00CD2854" w:rsidRPr="00495751" w:rsidRDefault="00CD2854" w:rsidP="00C964E1">
      <w:pPr>
        <w:rPr>
          <w:b/>
          <w:color w:val="000000"/>
          <w:szCs w:val="24"/>
        </w:rPr>
      </w:pPr>
      <w:r w:rsidRPr="00495751">
        <w:rPr>
          <w:color w:val="000000"/>
          <w:szCs w:val="24"/>
        </w:rPr>
        <w:t>508 W. Choctawhatchee</w:t>
      </w:r>
    </w:p>
    <w:p w14:paraId="6D77B45B" w14:textId="77777777" w:rsidR="00CD2854" w:rsidRPr="00495751" w:rsidRDefault="00CD2854" w:rsidP="00C964E1">
      <w:pPr>
        <w:rPr>
          <w:b/>
          <w:color w:val="000000"/>
          <w:szCs w:val="24"/>
        </w:rPr>
      </w:pPr>
      <w:r w:rsidRPr="00495751">
        <w:rPr>
          <w:color w:val="000000"/>
          <w:szCs w:val="24"/>
        </w:rPr>
        <w:t>Eglin AFB, FL 32542-5713</w:t>
      </w:r>
    </w:p>
    <w:p w14:paraId="244EF7AE" w14:textId="77777777" w:rsidR="00CD2854" w:rsidRPr="00495751" w:rsidRDefault="00CD2854" w:rsidP="00C964E1">
      <w:pPr>
        <w:rPr>
          <w:b/>
          <w:color w:val="000000"/>
          <w:szCs w:val="24"/>
        </w:rPr>
      </w:pPr>
      <w:r w:rsidRPr="00495751">
        <w:rPr>
          <w:color w:val="000000"/>
          <w:szCs w:val="24"/>
        </w:rPr>
        <w:t>850– 882–7890</w:t>
      </w:r>
    </w:p>
    <w:p w14:paraId="048081FE" w14:textId="77777777" w:rsidR="00CD2854" w:rsidRDefault="00CD2854" w:rsidP="00EF45C3">
      <w:pPr>
        <w:tabs>
          <w:tab w:val="bar" w:pos="10080"/>
        </w:tabs>
        <w:rPr>
          <w:b/>
          <w:color w:val="000000"/>
          <w:szCs w:val="24"/>
        </w:rPr>
      </w:pPr>
      <w:r w:rsidRPr="00EF45C3">
        <w:rPr>
          <w:color w:val="000000"/>
          <w:szCs w:val="24"/>
        </w:rPr>
        <w:t xml:space="preserve">Workflow:  </w:t>
      </w:r>
      <w:hyperlink r:id="rId8" w:history="1">
        <w:r>
          <w:rPr>
            <w:rStyle w:val="Hyperlink"/>
            <w:szCs w:val="24"/>
          </w:rPr>
          <w:t>afmc.a3v@us.af.mil</w:t>
        </w:r>
      </w:hyperlink>
    </w:p>
    <w:p w14:paraId="51078E17" w14:textId="77777777" w:rsidR="00CD2854" w:rsidRPr="00495751" w:rsidRDefault="00CD2854" w:rsidP="00C964E1">
      <w:pPr>
        <w:tabs>
          <w:tab w:val="bar" w:pos="10080"/>
        </w:tabs>
        <w:rPr>
          <w:b/>
          <w:color w:val="000000"/>
          <w:szCs w:val="24"/>
        </w:rPr>
      </w:pPr>
      <w:r>
        <w:rPr>
          <w:b/>
          <w:color w:val="000000"/>
          <w:szCs w:val="24"/>
        </w:rPr>
        <w:br/>
      </w:r>
      <w:r w:rsidRPr="00495751">
        <w:rPr>
          <w:color w:val="000000"/>
          <w:szCs w:val="24"/>
        </w:rPr>
        <w:t xml:space="preserve">Coast Guard:  </w:t>
      </w:r>
      <w:r>
        <w:rPr>
          <w:color w:val="000000"/>
          <w:szCs w:val="24"/>
        </w:rPr>
        <w:t>Commanding Officer</w:t>
      </w:r>
    </w:p>
    <w:p w14:paraId="29E2F7A0" w14:textId="77777777" w:rsidR="00CD2854" w:rsidRDefault="00CD2854" w:rsidP="00C964E1">
      <w:pPr>
        <w:tabs>
          <w:tab w:val="bar" w:pos="10080"/>
        </w:tabs>
        <w:rPr>
          <w:b/>
          <w:color w:val="000000"/>
          <w:szCs w:val="24"/>
        </w:rPr>
      </w:pPr>
      <w:r>
        <w:rPr>
          <w:color w:val="000000"/>
          <w:szCs w:val="24"/>
        </w:rPr>
        <w:t>Aviation Logistics Center</w:t>
      </w:r>
    </w:p>
    <w:p w14:paraId="034284DA" w14:textId="77777777" w:rsidR="00CD2854" w:rsidRDefault="00CD2854" w:rsidP="00C964E1">
      <w:pPr>
        <w:tabs>
          <w:tab w:val="bar" w:pos="10080"/>
        </w:tabs>
        <w:rPr>
          <w:b/>
          <w:color w:val="000000"/>
          <w:szCs w:val="24"/>
        </w:rPr>
      </w:pPr>
      <w:r>
        <w:rPr>
          <w:color w:val="000000"/>
          <w:szCs w:val="24"/>
        </w:rPr>
        <w:t>U.S. Coast Guard</w:t>
      </w:r>
    </w:p>
    <w:p w14:paraId="29EF5CDD" w14:textId="77777777" w:rsidR="00CD2854" w:rsidRDefault="00CD2854" w:rsidP="00C964E1">
      <w:pPr>
        <w:tabs>
          <w:tab w:val="bar" w:pos="10080"/>
        </w:tabs>
        <w:rPr>
          <w:b/>
          <w:color w:val="000000"/>
          <w:szCs w:val="24"/>
        </w:rPr>
      </w:pPr>
      <w:r>
        <w:rPr>
          <w:color w:val="000000"/>
          <w:szCs w:val="24"/>
        </w:rPr>
        <w:lastRenderedPageBreak/>
        <w:t>1664 Weeksville Road, Building 63</w:t>
      </w:r>
    </w:p>
    <w:p w14:paraId="5ECA5092" w14:textId="77777777" w:rsidR="00CD2854" w:rsidRDefault="00CD2854" w:rsidP="00C964E1">
      <w:pPr>
        <w:tabs>
          <w:tab w:val="bar" w:pos="10080"/>
        </w:tabs>
        <w:rPr>
          <w:b/>
          <w:color w:val="000000"/>
          <w:szCs w:val="24"/>
        </w:rPr>
      </w:pPr>
      <w:r>
        <w:rPr>
          <w:color w:val="000000"/>
          <w:szCs w:val="24"/>
        </w:rPr>
        <w:t>Elizabeth City, NC 27909-6725</w:t>
      </w:r>
    </w:p>
    <w:p w14:paraId="1281CA0F" w14:textId="77777777" w:rsidR="00CD2854" w:rsidRPr="00495751" w:rsidRDefault="00CD2854" w:rsidP="00C964E1">
      <w:pPr>
        <w:rPr>
          <w:b/>
          <w:szCs w:val="24"/>
        </w:rPr>
      </w:pPr>
      <w:r>
        <w:rPr>
          <w:b/>
          <w:color w:val="000000"/>
          <w:szCs w:val="24"/>
        </w:rPr>
        <w:br/>
      </w:r>
    </w:p>
    <w:p w14:paraId="18314CD6" w14:textId="77777777" w:rsidR="00850595" w:rsidRDefault="00850595"/>
    <w:sectPr w:rsidR="00850595" w:rsidSect="007240C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61AD7" w14:textId="77777777" w:rsidR="005A46D9" w:rsidRDefault="005A46D9">
      <w:pPr>
        <w:spacing w:after="0" w:line="240" w:lineRule="auto"/>
      </w:pPr>
      <w:r>
        <w:separator/>
      </w:r>
    </w:p>
  </w:endnote>
  <w:endnote w:type="continuationSeparator" w:id="0">
    <w:p w14:paraId="04957BE8" w14:textId="77777777" w:rsidR="005A46D9" w:rsidRDefault="005A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1A827" w14:textId="77777777" w:rsidR="00D517AD" w:rsidRDefault="005A46D9">
    <w:pPr>
      <w:pStyle w:val="Footer"/>
      <w:rPr>
        <w:rFonts w:ascii="Century Schoolbook" w:hAnsi="Century Schoolbook"/>
        <w:sz w:val="20"/>
      </w:rPr>
    </w:pPr>
  </w:p>
  <w:p w14:paraId="12FCCE9E" w14:textId="77777777" w:rsidR="00D517AD" w:rsidRDefault="005A46D9">
    <w:pPr>
      <w:pStyle w:val="Footer"/>
      <w:tabs>
        <w:tab w:val="clear" w:pos="8640"/>
      </w:tabs>
      <w:rPr>
        <w:rFonts w:ascii="Century Schoolbook" w:hAnsi="Century Schoolbook"/>
        <w:b/>
        <w:sz w:val="20"/>
      </w:rPr>
    </w:pPr>
  </w:p>
  <w:p w14:paraId="078F2CD6" w14:textId="77777777" w:rsidR="00D517AD" w:rsidRPr="00BC71C0" w:rsidRDefault="00CD2854">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28</w:t>
    </w:r>
    <w:r w:rsidRPr="00BC71C0">
      <w:rPr>
        <w:szCs w:val="22"/>
      </w:rPr>
      <w:t>.</w:t>
    </w:r>
    <w:r>
      <w:rPr>
        <w:szCs w:val="22"/>
      </w:rPr>
      <w:t>3</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9102E" w14:textId="77777777" w:rsidR="005A46D9" w:rsidRDefault="005A46D9">
      <w:pPr>
        <w:spacing w:after="0" w:line="240" w:lineRule="auto"/>
      </w:pPr>
      <w:r>
        <w:separator/>
      </w:r>
    </w:p>
  </w:footnote>
  <w:footnote w:type="continuationSeparator" w:id="0">
    <w:p w14:paraId="2E96CE54" w14:textId="77777777" w:rsidR="005A46D9" w:rsidRDefault="005A4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410E" w14:textId="77777777" w:rsidR="005F597C" w:rsidRDefault="00CD2854" w:rsidP="005F597C">
    <w:pPr>
      <w:pStyle w:val="Header"/>
      <w:tabs>
        <w:tab w:val="clear" w:pos="8640"/>
        <w:tab w:val="left" w:pos="4590"/>
      </w:tabs>
      <w:jc w:val="center"/>
      <w:rPr>
        <w:sz w:val="28"/>
        <w:szCs w:val="28"/>
      </w:rPr>
    </w:pPr>
    <w:r w:rsidRPr="002B1BC7">
      <w:rPr>
        <w:sz w:val="28"/>
        <w:szCs w:val="28"/>
      </w:rPr>
      <w:t>DFARS Procedures, Guidance, and Information</w:t>
    </w:r>
  </w:p>
  <w:p w14:paraId="6A8A8A61" w14:textId="77777777" w:rsidR="005F597C" w:rsidRPr="002B1BC7" w:rsidRDefault="005A46D9" w:rsidP="005F597C">
    <w:pPr>
      <w:pStyle w:val="Header"/>
      <w:tabs>
        <w:tab w:val="clear" w:pos="8640"/>
        <w:tab w:val="left" w:pos="4590"/>
      </w:tabs>
      <w:jc w:val="center"/>
      <w:rPr>
        <w:sz w:val="28"/>
        <w:szCs w:val="28"/>
      </w:rPr>
    </w:pPr>
  </w:p>
  <w:p w14:paraId="5FEB9257" w14:textId="77777777" w:rsidR="005F597C" w:rsidRPr="00BC71C0" w:rsidRDefault="00CD2854" w:rsidP="005F597C">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28</w:t>
    </w:r>
    <w:r w:rsidRPr="00BC71C0">
      <w:rPr>
        <w:szCs w:val="24"/>
      </w:rPr>
      <w:t>—</w:t>
    </w:r>
    <w:r>
      <w:rPr>
        <w:szCs w:val="24"/>
      </w:rPr>
      <w:t>Bonds and Insurance</w:t>
    </w:r>
  </w:p>
  <w:p w14:paraId="6B59EB0B" w14:textId="77777777" w:rsidR="005F597C" w:rsidRDefault="005A46D9">
    <w:pPr>
      <w:pStyle w:val="Header"/>
    </w:pPr>
  </w:p>
  <w:p w14:paraId="739B0439" w14:textId="77777777" w:rsidR="00D517AD" w:rsidRDefault="005A46D9">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54"/>
    <w:rsid w:val="004117DE"/>
    <w:rsid w:val="004A58DF"/>
    <w:rsid w:val="00505901"/>
    <w:rsid w:val="005A46D9"/>
    <w:rsid w:val="007D6208"/>
    <w:rsid w:val="00850595"/>
    <w:rsid w:val="00884E31"/>
    <w:rsid w:val="00B8095C"/>
    <w:rsid w:val="00BF48DE"/>
    <w:rsid w:val="00C726EA"/>
    <w:rsid w:val="00CD2854"/>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F238021"/>
  <w15:chartTrackingRefBased/>
  <w15:docId w15:val="{F80755D4-A4C3-492A-A86B-C9DBF865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CD2854"/>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CD2854"/>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CD2854"/>
    <w:pPr>
      <w:keepNext/>
      <w:tabs>
        <w:tab w:val="left" w:pos="1000"/>
      </w:tabs>
      <w:spacing w:before="120" w:after="120" w:afterAutospacing="1" w:line="240" w:lineRule="auto"/>
      <w:outlineLvl w:val="2"/>
    </w:pPr>
    <w:rPr>
      <w:rFonts w:eastAsia="Times New Roman"/>
      <w:b/>
      <w:szCs w:val="20"/>
    </w:rPr>
  </w:style>
  <w:style w:type="paragraph" w:styleId="Heading4">
    <w:name w:val="heading 4"/>
    <w:basedOn w:val="Normal"/>
    <w:next w:val="Normal"/>
    <w:link w:val="Heading4Char"/>
    <w:uiPriority w:val="9"/>
    <w:semiHidden/>
    <w:unhideWhenUsed/>
    <w:qFormat/>
    <w:rsid w:val="00884E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854"/>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CD2854"/>
    <w:rPr>
      <w:rFonts w:ascii="Arial" w:eastAsiaTheme="majorEastAsia" w:hAnsi="Arial" w:cs="Arial"/>
      <w:b/>
      <w:sz w:val="28"/>
      <w:szCs w:val="26"/>
    </w:rPr>
  </w:style>
  <w:style w:type="character" w:customStyle="1" w:styleId="Heading3Char">
    <w:name w:val="Heading 3 Char"/>
    <w:basedOn w:val="DefaultParagraphFont"/>
    <w:link w:val="Heading3"/>
    <w:rsid w:val="00CD2854"/>
    <w:rPr>
      <w:rFonts w:ascii="Arial" w:eastAsia="Times New Roman" w:hAnsi="Arial" w:cs="Arial"/>
      <w:b/>
      <w:szCs w:val="20"/>
    </w:rPr>
  </w:style>
  <w:style w:type="paragraph" w:styleId="Footer">
    <w:name w:val="footer"/>
    <w:basedOn w:val="Normal"/>
    <w:link w:val="FooterChar"/>
    <w:rsid w:val="00CD2854"/>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CD2854"/>
    <w:rPr>
      <w:rFonts w:ascii="Arial" w:eastAsia="Times New Roman" w:hAnsi="Arial" w:cs="Arial"/>
      <w:szCs w:val="20"/>
    </w:rPr>
  </w:style>
  <w:style w:type="paragraph" w:styleId="Header">
    <w:name w:val="header"/>
    <w:basedOn w:val="Normal"/>
    <w:link w:val="HeaderChar"/>
    <w:uiPriority w:val="99"/>
    <w:rsid w:val="00CD2854"/>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uiPriority w:val="99"/>
    <w:rsid w:val="00CD2854"/>
    <w:rPr>
      <w:rFonts w:ascii="Arial" w:eastAsia="Times New Roman" w:hAnsi="Arial" w:cs="Arial"/>
      <w:szCs w:val="20"/>
    </w:rPr>
  </w:style>
  <w:style w:type="paragraph" w:customStyle="1" w:styleId="DFARS">
    <w:name w:val="DFARS"/>
    <w:basedOn w:val="Normal"/>
    <w:rsid w:val="00CD2854"/>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character" w:styleId="Hyperlink">
    <w:name w:val="Hyperlink"/>
    <w:uiPriority w:val="99"/>
    <w:rsid w:val="00CD2854"/>
    <w:rPr>
      <w:color w:val="0000FF"/>
      <w:u w:val="single"/>
    </w:rPr>
  </w:style>
  <w:style w:type="paragraph" w:customStyle="1" w:styleId="List1">
    <w:name w:val="List 1"/>
    <w:link w:val="List1Char"/>
    <w:rsid w:val="00CD2854"/>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CD2854"/>
    <w:rPr>
      <w:rFonts w:ascii="Arial" w:eastAsia="Times New Roman" w:hAnsi="Arial" w:cs="Arial"/>
      <w:b w:val="0"/>
      <w:szCs w:val="24"/>
    </w:rPr>
  </w:style>
  <w:style w:type="paragraph" w:styleId="List2">
    <w:name w:val="List 2"/>
    <w:uiPriority w:val="99"/>
    <w:semiHidden/>
    <w:unhideWhenUsed/>
    <w:rsid w:val="00CD2854"/>
    <w:pPr>
      <w:spacing w:after="0" w:line="240" w:lineRule="auto"/>
      <w:ind w:left="720" w:hanging="360"/>
      <w:contextualSpacing/>
    </w:pPr>
    <w:rPr>
      <w:rFonts w:ascii="Arial" w:eastAsia="Times New Roman" w:hAnsi="Arial" w:cs="Arial"/>
      <w:szCs w:val="20"/>
    </w:rPr>
  </w:style>
  <w:style w:type="paragraph" w:styleId="List3">
    <w:name w:val="List 3"/>
    <w:uiPriority w:val="99"/>
    <w:semiHidden/>
    <w:unhideWhenUsed/>
    <w:rsid w:val="00CD2854"/>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semiHidden/>
    <w:unhideWhenUsed/>
    <w:rsid w:val="00CD2854"/>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CD2854"/>
    <w:pPr>
      <w:spacing w:after="160" w:line="259" w:lineRule="auto"/>
      <w:ind w:left="1800" w:firstLine="0"/>
    </w:pPr>
    <w:rPr>
      <w:szCs w:val="24"/>
    </w:rPr>
  </w:style>
  <w:style w:type="character" w:customStyle="1" w:styleId="List4Char">
    <w:name w:val="List 4 Char"/>
    <w:basedOn w:val="DefaultParagraphFont"/>
    <w:link w:val="List4"/>
    <w:uiPriority w:val="99"/>
    <w:semiHidden/>
    <w:rsid w:val="00CD2854"/>
    <w:rPr>
      <w:rFonts w:ascii="Arial" w:eastAsia="Times New Roman" w:hAnsi="Arial" w:cs="Arial"/>
      <w:szCs w:val="20"/>
    </w:rPr>
  </w:style>
  <w:style w:type="character" w:customStyle="1" w:styleId="List6Char">
    <w:name w:val="List 6 Char"/>
    <w:basedOn w:val="List4Char"/>
    <w:link w:val="List6"/>
    <w:rsid w:val="00CD2854"/>
    <w:rPr>
      <w:rFonts w:ascii="Arial" w:eastAsia="Times New Roman" w:hAnsi="Arial" w:cs="Arial"/>
      <w:szCs w:val="24"/>
    </w:rPr>
  </w:style>
  <w:style w:type="paragraph" w:styleId="TOC1">
    <w:name w:val="toc 1"/>
    <w:basedOn w:val="Normal"/>
    <w:next w:val="Normal"/>
    <w:autoRedefine/>
    <w:uiPriority w:val="39"/>
    <w:unhideWhenUsed/>
    <w:rsid w:val="00CD2854"/>
    <w:pPr>
      <w:spacing w:after="100"/>
    </w:pPr>
  </w:style>
  <w:style w:type="paragraph" w:styleId="TOC2">
    <w:name w:val="toc 2"/>
    <w:basedOn w:val="Normal"/>
    <w:next w:val="Normal"/>
    <w:autoRedefine/>
    <w:uiPriority w:val="39"/>
    <w:unhideWhenUsed/>
    <w:rsid w:val="00CD2854"/>
    <w:pPr>
      <w:spacing w:after="100"/>
      <w:ind w:left="220"/>
    </w:pPr>
  </w:style>
  <w:style w:type="paragraph" w:styleId="TOC3">
    <w:name w:val="toc 3"/>
    <w:basedOn w:val="Normal"/>
    <w:next w:val="Normal"/>
    <w:autoRedefine/>
    <w:uiPriority w:val="39"/>
    <w:unhideWhenUsed/>
    <w:rsid w:val="00CD2854"/>
    <w:pPr>
      <w:spacing w:after="100"/>
      <w:ind w:left="440"/>
    </w:pPr>
  </w:style>
  <w:style w:type="paragraph" w:styleId="TOC4">
    <w:name w:val="toc 4"/>
    <w:basedOn w:val="Normal"/>
    <w:next w:val="Normal"/>
    <w:autoRedefine/>
    <w:uiPriority w:val="39"/>
    <w:semiHidden/>
    <w:unhideWhenUsed/>
    <w:rsid w:val="00CD2854"/>
    <w:pPr>
      <w:spacing w:after="100"/>
      <w:ind w:left="660"/>
    </w:pPr>
  </w:style>
  <w:style w:type="paragraph" w:styleId="TOC5">
    <w:name w:val="toc 5"/>
    <w:basedOn w:val="Normal"/>
    <w:next w:val="Normal"/>
    <w:autoRedefine/>
    <w:uiPriority w:val="39"/>
    <w:semiHidden/>
    <w:unhideWhenUsed/>
    <w:rsid w:val="00CD2854"/>
    <w:pPr>
      <w:spacing w:after="100"/>
      <w:ind w:left="880"/>
    </w:pPr>
  </w:style>
  <w:style w:type="paragraph" w:styleId="TOC6">
    <w:name w:val="toc 6"/>
    <w:basedOn w:val="Normal"/>
    <w:next w:val="Normal"/>
    <w:autoRedefine/>
    <w:uiPriority w:val="39"/>
    <w:semiHidden/>
    <w:unhideWhenUsed/>
    <w:rsid w:val="00CD2854"/>
    <w:pPr>
      <w:spacing w:after="100"/>
      <w:ind w:left="1100"/>
    </w:pPr>
  </w:style>
  <w:style w:type="paragraph" w:styleId="TOC7">
    <w:name w:val="toc 7"/>
    <w:basedOn w:val="Normal"/>
    <w:next w:val="Normal"/>
    <w:autoRedefine/>
    <w:uiPriority w:val="39"/>
    <w:semiHidden/>
    <w:unhideWhenUsed/>
    <w:rsid w:val="00CD2854"/>
    <w:pPr>
      <w:spacing w:after="100"/>
      <w:ind w:left="1320"/>
    </w:pPr>
  </w:style>
  <w:style w:type="paragraph" w:styleId="TOC8">
    <w:name w:val="toc 8"/>
    <w:basedOn w:val="Normal"/>
    <w:next w:val="Normal"/>
    <w:autoRedefine/>
    <w:uiPriority w:val="39"/>
    <w:semiHidden/>
    <w:unhideWhenUsed/>
    <w:rsid w:val="00CD2854"/>
    <w:pPr>
      <w:spacing w:after="100"/>
      <w:ind w:left="1540"/>
    </w:pPr>
  </w:style>
  <w:style w:type="paragraph" w:styleId="TOC9">
    <w:name w:val="toc 9"/>
    <w:basedOn w:val="Normal"/>
    <w:next w:val="Normal"/>
    <w:autoRedefine/>
    <w:uiPriority w:val="39"/>
    <w:semiHidden/>
    <w:unhideWhenUsed/>
    <w:rsid w:val="00CD2854"/>
    <w:pPr>
      <w:spacing w:after="100"/>
      <w:ind w:left="1760"/>
    </w:pPr>
  </w:style>
  <w:style w:type="character" w:customStyle="1" w:styleId="Heading4Char">
    <w:name w:val="Heading 4 Char"/>
    <w:basedOn w:val="DefaultParagraphFont"/>
    <w:link w:val="Heading4"/>
    <w:uiPriority w:val="9"/>
    <w:semiHidden/>
    <w:rsid w:val="00884E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mc.a3v@us.af.mil" TargetMode="External"/><Relationship Id="rId3" Type="http://schemas.openxmlformats.org/officeDocument/2006/relationships/webSettings" Target="webSettings.xml"/><Relationship Id="rId7" Type="http://schemas.openxmlformats.org/officeDocument/2006/relationships/hyperlink" Target="mailto:AOInbox@dcma.mi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idebook.dcma.mil/227/Contractors_Flight_and_Ground_Operations.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2020-04-10T16:54:00Z</dcterms:created>
  <dcterms:modified xsi:type="dcterms:W3CDTF">2020-04-14T15:33:00Z</dcterms:modified>
</cp:coreProperties>
</file>