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F875" w14:textId="77777777" w:rsidR="003231AB" w:rsidRDefault="003231AB">
      <w:pPr>
        <w:sectPr w:rsidR="003231AB">
          <w:pgSz w:w="12240" w:h="15840"/>
          <w:pgMar w:top="1440" w:right="1440" w:bottom="1440" w:left="1440" w:header="720" w:footer="720" w:gutter="0"/>
          <w:cols w:space="720"/>
          <w:docGrid w:linePitch="360"/>
        </w:sectPr>
      </w:pPr>
    </w:p>
    <w:p w14:paraId="273479D2" w14:textId="77777777" w:rsidR="003231AB" w:rsidRDefault="003231AB" w:rsidP="00EB0586">
      <w:pPr>
        <w:pStyle w:val="Heading1"/>
      </w:pPr>
      <w:bookmarkStart w:id="0" w:name="_Toc37677654"/>
      <w:bookmarkStart w:id="1" w:name="_Toc37756458"/>
      <w:r>
        <w:lastRenderedPageBreak/>
        <w:t xml:space="preserve">PGI </w:t>
      </w:r>
      <w:r w:rsidRPr="007B495C">
        <w:t>PART 2</w:t>
      </w:r>
      <w:r>
        <w:t>32</w:t>
      </w:r>
      <w:r w:rsidRPr="007B495C">
        <w:t xml:space="preserve"> - </w:t>
      </w:r>
      <w:r>
        <w:br/>
      </w:r>
      <w:r w:rsidRPr="00D26CA1">
        <w:t>Contract Financing</w:t>
      </w:r>
      <w:bookmarkEnd w:id="0"/>
      <w:bookmarkEnd w:id="1"/>
    </w:p>
    <w:p w14:paraId="2332348C" w14:textId="77777777" w:rsidR="003231AB" w:rsidRDefault="003231AB">
      <w:r>
        <w:br w:type="page"/>
      </w:r>
      <w:r>
        <w:lastRenderedPageBreak/>
        <w:br/>
      </w:r>
    </w:p>
    <w:p w14:paraId="5816AEBB" w14:textId="77777777" w:rsidR="00E81D40" w:rsidRPr="008D1CF7" w:rsidRDefault="00E81D40" w:rsidP="008D1CF7">
      <w:pPr>
        <w:jc w:val="center"/>
        <w:rPr>
          <w:b/>
        </w:rPr>
      </w:pPr>
      <w:r w:rsidRPr="008D1CF7">
        <w:rPr>
          <w:b/>
        </w:rPr>
        <w:t>Table of Contents</w:t>
      </w:r>
    </w:p>
    <w:p w14:paraId="3AE10848" w14:textId="09E4ACC5" w:rsidR="00096A64" w:rsidRDefault="00096A64" w:rsidP="00096A64">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458" w:history="1">
        <w:r w:rsidRPr="007759FB">
          <w:rPr>
            <w:rStyle w:val="Hyperlink"/>
            <w:noProof/>
          </w:rPr>
          <w:t>PGI PART 232 -  Contract Financing</w:t>
        </w:r>
      </w:hyperlink>
    </w:p>
    <w:p w14:paraId="66078C4B" w14:textId="2A2E4F7D" w:rsidR="00096A64" w:rsidRDefault="00096A64" w:rsidP="00096A64">
      <w:pPr>
        <w:pStyle w:val="TOC3"/>
        <w:tabs>
          <w:tab w:val="right" w:leader="dot" w:pos="9350"/>
        </w:tabs>
        <w:rPr>
          <w:rFonts w:asciiTheme="minorHAnsi" w:eastAsiaTheme="minorEastAsia" w:hAnsiTheme="minorHAnsi" w:cstheme="minorBidi"/>
          <w:noProof/>
        </w:rPr>
      </w:pPr>
      <w:hyperlink w:anchor="_Toc37756459" w:history="1">
        <w:r w:rsidRPr="007759FB">
          <w:rPr>
            <w:rStyle w:val="Hyperlink"/>
            <w:b/>
            <w:noProof/>
          </w:rPr>
          <w:t>PGI 232.070  Responsibilities.</w:t>
        </w:r>
      </w:hyperlink>
    </w:p>
    <w:p w14:paraId="4A9E06CA" w14:textId="61B09B36" w:rsidR="00096A64" w:rsidRDefault="00096A64" w:rsidP="00096A64">
      <w:pPr>
        <w:pStyle w:val="TOC4"/>
        <w:tabs>
          <w:tab w:val="right" w:leader="dot" w:pos="9350"/>
        </w:tabs>
        <w:rPr>
          <w:rFonts w:asciiTheme="minorHAnsi" w:eastAsiaTheme="minorEastAsia" w:hAnsiTheme="minorHAnsi" w:cstheme="minorBidi"/>
          <w:noProof/>
        </w:rPr>
      </w:pPr>
      <w:hyperlink w:anchor="_Toc37756460" w:history="1">
        <w:r w:rsidRPr="007759FB">
          <w:rPr>
            <w:rStyle w:val="Hyperlink"/>
            <w:b/>
            <w:noProof/>
          </w:rPr>
          <w:t>PGI 232.409-1  Recommendation for approval.</w:t>
        </w:r>
      </w:hyperlink>
    </w:p>
    <w:p w14:paraId="2B7762A7" w14:textId="4942328C" w:rsidR="00096A64" w:rsidRDefault="00096A64" w:rsidP="00096A64">
      <w:pPr>
        <w:pStyle w:val="TOC3"/>
        <w:tabs>
          <w:tab w:val="right" w:leader="dot" w:pos="9350"/>
        </w:tabs>
        <w:rPr>
          <w:rFonts w:asciiTheme="minorHAnsi" w:eastAsiaTheme="minorEastAsia" w:hAnsiTheme="minorHAnsi" w:cstheme="minorBidi"/>
          <w:noProof/>
        </w:rPr>
      </w:pPr>
      <w:hyperlink w:anchor="_Toc37756461" w:history="1">
        <w:r w:rsidRPr="007759FB">
          <w:rPr>
            <w:rStyle w:val="Hyperlink"/>
            <w:b/>
            <w:bCs/>
            <w:noProof/>
          </w:rPr>
          <w:t>PGI 232.410  Findings, determination, and authorization.</w:t>
        </w:r>
      </w:hyperlink>
    </w:p>
    <w:p w14:paraId="1E107065" w14:textId="2BCA61DA" w:rsidR="00096A64" w:rsidRDefault="00096A64" w:rsidP="00096A64">
      <w:pPr>
        <w:pStyle w:val="TOC2"/>
        <w:tabs>
          <w:tab w:val="right" w:leader="dot" w:pos="9350"/>
        </w:tabs>
        <w:rPr>
          <w:rFonts w:asciiTheme="minorHAnsi" w:eastAsiaTheme="minorEastAsia" w:hAnsiTheme="minorHAnsi" w:cstheme="minorBidi"/>
          <w:noProof/>
        </w:rPr>
      </w:pPr>
      <w:hyperlink w:anchor="_Toc37756462" w:history="1">
        <w:r w:rsidRPr="007759FB">
          <w:rPr>
            <w:rStyle w:val="Hyperlink"/>
            <w:noProof/>
          </w:rPr>
          <w:t>PGI 232.5--PROGRESS PAYMENTS BASED ON COSTS</w:t>
        </w:r>
      </w:hyperlink>
    </w:p>
    <w:p w14:paraId="77B4905B" w14:textId="6257F8CD" w:rsidR="00096A64" w:rsidRDefault="00096A64" w:rsidP="00096A64">
      <w:pPr>
        <w:pStyle w:val="TOC4"/>
        <w:tabs>
          <w:tab w:val="right" w:leader="dot" w:pos="9350"/>
        </w:tabs>
        <w:rPr>
          <w:rFonts w:asciiTheme="minorHAnsi" w:eastAsiaTheme="minorEastAsia" w:hAnsiTheme="minorHAnsi" w:cstheme="minorBidi"/>
          <w:noProof/>
        </w:rPr>
      </w:pPr>
      <w:hyperlink w:anchor="_Toc37756463" w:history="1">
        <w:r w:rsidRPr="007759FB">
          <w:rPr>
            <w:rStyle w:val="Hyperlink"/>
            <w:b/>
            <w:noProof/>
          </w:rPr>
          <w:t>PGI 232.501-2  Unusual progress payments.</w:t>
        </w:r>
      </w:hyperlink>
    </w:p>
    <w:p w14:paraId="6512DFB4" w14:textId="23216C78" w:rsidR="00096A64" w:rsidRDefault="00096A64" w:rsidP="00096A64">
      <w:pPr>
        <w:pStyle w:val="TOC2"/>
        <w:tabs>
          <w:tab w:val="right" w:leader="dot" w:pos="9350"/>
        </w:tabs>
        <w:rPr>
          <w:rFonts w:asciiTheme="minorHAnsi" w:eastAsiaTheme="minorEastAsia" w:hAnsiTheme="minorHAnsi" w:cstheme="minorBidi"/>
          <w:noProof/>
        </w:rPr>
      </w:pPr>
      <w:hyperlink w:anchor="_Toc37756464" w:history="1">
        <w:r w:rsidRPr="007759FB">
          <w:rPr>
            <w:rStyle w:val="Hyperlink"/>
            <w:noProof/>
          </w:rPr>
          <w:t>PGI 232.6--CONTRACT DEBTS</w:t>
        </w:r>
      </w:hyperlink>
    </w:p>
    <w:p w14:paraId="201CE4EB" w14:textId="5BB565DA" w:rsidR="00096A64" w:rsidRDefault="00096A64" w:rsidP="00096A64">
      <w:pPr>
        <w:pStyle w:val="TOC3"/>
        <w:tabs>
          <w:tab w:val="right" w:leader="dot" w:pos="9350"/>
        </w:tabs>
        <w:rPr>
          <w:rFonts w:asciiTheme="minorHAnsi" w:eastAsiaTheme="minorEastAsia" w:hAnsiTheme="minorHAnsi" w:cstheme="minorBidi"/>
          <w:noProof/>
        </w:rPr>
      </w:pPr>
      <w:hyperlink w:anchor="_Toc37756465" w:history="1">
        <w:r w:rsidRPr="007759FB">
          <w:rPr>
            <w:rStyle w:val="Hyperlink"/>
            <w:b/>
            <w:bCs/>
            <w:noProof/>
          </w:rPr>
          <w:t>PGI 232.603  Debt determination.</w:t>
        </w:r>
      </w:hyperlink>
    </w:p>
    <w:p w14:paraId="0F86CDC3" w14:textId="07CB00FC" w:rsidR="00096A64" w:rsidRDefault="00096A64" w:rsidP="00096A64">
      <w:pPr>
        <w:pStyle w:val="TOC3"/>
        <w:tabs>
          <w:tab w:val="right" w:leader="dot" w:pos="9350"/>
        </w:tabs>
        <w:rPr>
          <w:rFonts w:asciiTheme="minorHAnsi" w:eastAsiaTheme="minorEastAsia" w:hAnsiTheme="minorHAnsi" w:cstheme="minorBidi"/>
          <w:noProof/>
        </w:rPr>
      </w:pPr>
      <w:hyperlink w:anchor="_Toc37756466" w:history="1">
        <w:r w:rsidRPr="007759FB">
          <w:rPr>
            <w:rStyle w:val="Hyperlink"/>
            <w:b/>
            <w:bCs/>
            <w:noProof/>
          </w:rPr>
          <w:t>PGI 232.604  Demand for payment.</w:t>
        </w:r>
      </w:hyperlink>
    </w:p>
    <w:p w14:paraId="419062C5" w14:textId="7642206E" w:rsidR="00096A64" w:rsidRDefault="00096A64" w:rsidP="00096A64">
      <w:pPr>
        <w:pStyle w:val="TOC3"/>
        <w:tabs>
          <w:tab w:val="right" w:leader="dot" w:pos="9350"/>
        </w:tabs>
        <w:rPr>
          <w:rFonts w:asciiTheme="minorHAnsi" w:eastAsiaTheme="minorEastAsia" w:hAnsiTheme="minorHAnsi" w:cstheme="minorBidi"/>
          <w:noProof/>
        </w:rPr>
      </w:pPr>
      <w:hyperlink w:anchor="_Toc37756467" w:history="1">
        <w:r w:rsidRPr="007759FB">
          <w:rPr>
            <w:rStyle w:val="Hyperlink"/>
            <w:b/>
            <w:bCs/>
            <w:noProof/>
          </w:rPr>
          <w:t>PGI 232.670  Transfer of responsibility for debt collection.</w:t>
        </w:r>
      </w:hyperlink>
    </w:p>
    <w:p w14:paraId="5B29EA7E" w14:textId="5C86596D" w:rsidR="00096A64" w:rsidRDefault="00096A64" w:rsidP="00096A64">
      <w:pPr>
        <w:pStyle w:val="TOC3"/>
        <w:tabs>
          <w:tab w:val="right" w:leader="dot" w:pos="9350"/>
        </w:tabs>
        <w:rPr>
          <w:rFonts w:asciiTheme="minorHAnsi" w:eastAsiaTheme="minorEastAsia" w:hAnsiTheme="minorHAnsi" w:cstheme="minorBidi"/>
          <w:noProof/>
        </w:rPr>
      </w:pPr>
      <w:hyperlink w:anchor="_Toc37756468" w:history="1">
        <w:r w:rsidRPr="007759FB">
          <w:rPr>
            <w:rStyle w:val="Hyperlink"/>
            <w:b/>
            <w:bCs/>
            <w:noProof/>
          </w:rPr>
          <w:t>PGI 232.671  Bankruptcy reporting.</w:t>
        </w:r>
      </w:hyperlink>
    </w:p>
    <w:p w14:paraId="7215D630" w14:textId="07721C63" w:rsidR="00096A64" w:rsidRDefault="00096A64" w:rsidP="00096A64">
      <w:pPr>
        <w:pStyle w:val="TOC2"/>
        <w:tabs>
          <w:tab w:val="right" w:leader="dot" w:pos="9350"/>
        </w:tabs>
        <w:rPr>
          <w:rFonts w:asciiTheme="minorHAnsi" w:eastAsiaTheme="minorEastAsia" w:hAnsiTheme="minorHAnsi" w:cstheme="minorBidi"/>
          <w:noProof/>
        </w:rPr>
      </w:pPr>
      <w:hyperlink w:anchor="_Toc37756469" w:history="1">
        <w:r w:rsidRPr="007759FB">
          <w:rPr>
            <w:rStyle w:val="Hyperlink"/>
            <w:noProof/>
          </w:rPr>
          <w:t>PGI 232.10—PERFORMANCE-BASED PAYMENTS</w:t>
        </w:r>
      </w:hyperlink>
    </w:p>
    <w:p w14:paraId="4AC6D74A" w14:textId="060BDDFA" w:rsidR="00096A64" w:rsidRDefault="00096A64" w:rsidP="00096A64">
      <w:pPr>
        <w:pStyle w:val="TOC3"/>
        <w:tabs>
          <w:tab w:val="right" w:leader="dot" w:pos="9350"/>
        </w:tabs>
        <w:rPr>
          <w:rFonts w:asciiTheme="minorHAnsi" w:eastAsiaTheme="minorEastAsia" w:hAnsiTheme="minorHAnsi" w:cstheme="minorBidi"/>
          <w:noProof/>
        </w:rPr>
      </w:pPr>
      <w:hyperlink w:anchor="_Toc37756470" w:history="1">
        <w:r w:rsidRPr="007759FB">
          <w:rPr>
            <w:rStyle w:val="Hyperlink"/>
            <w:b/>
            <w:bCs/>
            <w:noProof/>
          </w:rPr>
          <w:t>PGI 232.1001  Policy.</w:t>
        </w:r>
      </w:hyperlink>
    </w:p>
    <w:p w14:paraId="493E026E" w14:textId="524C24B0" w:rsidR="00096A64" w:rsidRDefault="00096A64" w:rsidP="00096A64">
      <w:pPr>
        <w:pStyle w:val="TOC2"/>
        <w:tabs>
          <w:tab w:val="right" w:leader="dot" w:pos="9350"/>
        </w:tabs>
        <w:rPr>
          <w:rFonts w:asciiTheme="minorHAnsi" w:eastAsiaTheme="minorEastAsia" w:hAnsiTheme="minorHAnsi" w:cstheme="minorBidi"/>
          <w:noProof/>
        </w:rPr>
      </w:pPr>
      <w:hyperlink w:anchor="_Toc37756471" w:history="1">
        <w:r w:rsidRPr="007759FB">
          <w:rPr>
            <w:rStyle w:val="Hyperlink"/>
            <w:noProof/>
          </w:rPr>
          <w:t>PGI 232.70—ELECTRONIC SUBMISSION AND PROCESSING OF PAYMENT REQUESTS AND RECEIVING REPORTS</w:t>
        </w:r>
      </w:hyperlink>
    </w:p>
    <w:p w14:paraId="6AF019EA" w14:textId="7B117EE7" w:rsidR="00096A64" w:rsidRDefault="00096A64" w:rsidP="00096A64">
      <w:pPr>
        <w:pStyle w:val="TOC3"/>
        <w:tabs>
          <w:tab w:val="right" w:leader="dot" w:pos="9350"/>
        </w:tabs>
        <w:rPr>
          <w:rFonts w:asciiTheme="minorHAnsi" w:eastAsiaTheme="minorEastAsia" w:hAnsiTheme="minorHAnsi" w:cstheme="minorBidi"/>
          <w:noProof/>
        </w:rPr>
      </w:pPr>
      <w:hyperlink w:anchor="_Toc37756472" w:history="1">
        <w:r w:rsidRPr="007759FB">
          <w:rPr>
            <w:rStyle w:val="Hyperlink"/>
            <w:b/>
            <w:bCs/>
            <w:noProof/>
          </w:rPr>
          <w:t>PGI 232.7004  Contract clause instructions.</w:t>
        </w:r>
      </w:hyperlink>
    </w:p>
    <w:p w14:paraId="181F0BB0" w14:textId="17468599" w:rsidR="00096A64" w:rsidRDefault="00096A64" w:rsidP="00096A64">
      <w:pPr>
        <w:pStyle w:val="TOC3"/>
        <w:tabs>
          <w:tab w:val="right" w:leader="dot" w:pos="9350"/>
        </w:tabs>
        <w:rPr>
          <w:rFonts w:asciiTheme="minorHAnsi" w:eastAsiaTheme="minorEastAsia" w:hAnsiTheme="minorHAnsi" w:cstheme="minorBidi"/>
          <w:noProof/>
        </w:rPr>
      </w:pPr>
      <w:hyperlink w:anchor="_Toc37756473" w:history="1">
        <w:r w:rsidRPr="007759FB">
          <w:rPr>
            <w:rStyle w:val="Hyperlink"/>
            <w:b/>
            <w:noProof/>
          </w:rPr>
          <w:t>PGI 232.7101  Policy and procedures.</w:t>
        </w:r>
      </w:hyperlink>
    </w:p>
    <w:p w14:paraId="559587D7" w14:textId="7A102524" w:rsidR="003231AB" w:rsidRPr="003231AB" w:rsidRDefault="00096A64" w:rsidP="003231AB">
      <w:r>
        <w:rPr>
          <w:rStyle w:val="Hyperlink"/>
          <w:b/>
          <w:noProof/>
        </w:rPr>
        <w:fldChar w:fldCharType="end"/>
      </w:r>
    </w:p>
    <w:p w14:paraId="64892F26" w14:textId="77777777" w:rsidR="003231AB" w:rsidRDefault="003231AB" w:rsidP="00D347C7">
      <w:pPr>
        <w:pStyle w:val="Heading3"/>
      </w:pPr>
      <w:bookmarkStart w:id="2" w:name="_Toc37415830"/>
      <w:bookmarkStart w:id="3" w:name="_Toc37677655"/>
      <w:bookmarkStart w:id="4" w:name="_Toc37756459"/>
      <w:r w:rsidRPr="003D2CBF">
        <w:rPr>
          <w:b/>
        </w:rPr>
        <w:t xml:space="preserve">PGI </w:t>
      </w:r>
      <w:proofErr w:type="gramStart"/>
      <w:r w:rsidRPr="003D2CBF">
        <w:rPr>
          <w:b/>
        </w:rPr>
        <w:t>232.070  Responsibilities</w:t>
      </w:r>
      <w:proofErr w:type="gramEnd"/>
      <w:r w:rsidRPr="003D2CBF">
        <w:rPr>
          <w:b/>
        </w:rPr>
        <w:t>.</w:t>
      </w:r>
      <w:bookmarkEnd w:id="2"/>
      <w:bookmarkEnd w:id="3"/>
      <w:bookmarkEnd w:id="4"/>
    </w:p>
    <w:p w14:paraId="7DE2C228" w14:textId="77777777" w:rsidR="003231AB" w:rsidRDefault="003231AB" w:rsidP="00D347C7">
      <w:pPr>
        <w:pStyle w:val="List1"/>
      </w:pPr>
      <w:r>
        <w:rPr>
          <w:b/>
        </w:rPr>
        <w:br/>
      </w:r>
      <w:r w:rsidRPr="00913C4D">
        <w:t xml:space="preserve">(c)  The Under or Assistant Secretary, or other designated official, responsible for the comptroller function within the department or agency is the focal point for financing matters </w:t>
      </w:r>
      <w:r w:rsidRPr="00913C4D">
        <w:lastRenderedPageBreak/>
        <w:t>at the department/agency headquarters.  Departments and agencies may establish contract financing offices at operational levels.</w:t>
      </w:r>
    </w:p>
    <w:p w14:paraId="7F3F744F" w14:textId="77777777" w:rsidR="003231AB" w:rsidRDefault="003231AB" w:rsidP="008F7C4C">
      <w:pPr>
        <w:pStyle w:val="List3"/>
      </w:pPr>
      <w:r>
        <w:br/>
      </w:r>
      <w:r w:rsidRPr="00913C4D">
        <w:t>(</w:t>
      </w:r>
      <w:proofErr w:type="spellStart"/>
      <w:r>
        <w:t>i</w:t>
      </w:r>
      <w:proofErr w:type="spellEnd"/>
      <w:r w:rsidRPr="00913C4D">
        <w:t>)  Department/agency contract financing offices are</w:t>
      </w:r>
      <w:r>
        <w:t>:</w:t>
      </w:r>
    </w:p>
    <w:p w14:paraId="405DFD99" w14:textId="77777777" w:rsidR="003231AB" w:rsidRDefault="003231AB" w:rsidP="00D347C7">
      <w:pPr>
        <w:pStyle w:val="List4"/>
      </w:pPr>
      <w:r>
        <w:br/>
      </w:r>
      <w:r w:rsidRPr="00913C4D">
        <w:t>(</w:t>
      </w:r>
      <w:r>
        <w:t>A</w:t>
      </w:r>
      <w:r w:rsidRPr="00913C4D">
        <w:t>)  Army:  Office of the Assistant Secretary of the Army (Financial Management)</w:t>
      </w:r>
      <w:r>
        <w:t>.</w:t>
      </w:r>
    </w:p>
    <w:p w14:paraId="70D6BD02" w14:textId="77777777" w:rsidR="003231AB" w:rsidRDefault="003231AB" w:rsidP="00D347C7">
      <w:pPr>
        <w:pStyle w:val="List4"/>
      </w:pPr>
      <w:r>
        <w:br/>
      </w:r>
      <w:r w:rsidRPr="00913C4D">
        <w:t>(</w:t>
      </w:r>
      <w:r>
        <w:t>B</w:t>
      </w:r>
      <w:r w:rsidRPr="00913C4D">
        <w:t>)  Navy:  Office of the Assistant Secretary of the Navy (Financial Management and Comptroller), Office of Financial Operations</w:t>
      </w:r>
      <w:r>
        <w:t>.</w:t>
      </w:r>
    </w:p>
    <w:p w14:paraId="791DDB2D" w14:textId="77777777" w:rsidR="003231AB" w:rsidRDefault="003231AB" w:rsidP="00D347C7">
      <w:pPr>
        <w:pStyle w:val="List4"/>
      </w:pPr>
      <w:r>
        <w:br/>
      </w:r>
      <w:r w:rsidRPr="00913C4D">
        <w:t>(</w:t>
      </w:r>
      <w:r>
        <w:t>C</w:t>
      </w:r>
      <w:r w:rsidRPr="00913C4D">
        <w:t>)  Air Force:  Air Force Contract Financing Office (SAF/FMPB)</w:t>
      </w:r>
      <w:r>
        <w:t>.</w:t>
      </w:r>
    </w:p>
    <w:p w14:paraId="096E4B75" w14:textId="77777777" w:rsidR="003231AB" w:rsidRDefault="003231AB" w:rsidP="00D347C7">
      <w:pPr>
        <w:pStyle w:val="List4"/>
      </w:pPr>
      <w:r>
        <w:br/>
      </w:r>
      <w:r w:rsidRPr="00913C4D">
        <w:t>(</w:t>
      </w:r>
      <w:r>
        <w:t>D</w:t>
      </w:r>
      <w:r w:rsidRPr="00913C4D">
        <w:t>)  Defense agencies:  Office of the agency comptroller.</w:t>
      </w:r>
    </w:p>
    <w:p w14:paraId="67516F97" w14:textId="77777777" w:rsidR="003231AB" w:rsidRDefault="003231AB" w:rsidP="00D347C7">
      <w:pPr>
        <w:pStyle w:val="List3"/>
      </w:pPr>
      <w:r>
        <w:br/>
      </w:r>
      <w:r w:rsidRPr="00913C4D">
        <w:t>(</w:t>
      </w:r>
      <w:r>
        <w:t>ii</w:t>
      </w:r>
      <w:r w:rsidRPr="00913C4D">
        <w:t>)  Contract financing offices should participate in</w:t>
      </w:r>
      <w:r w:rsidRPr="00913C4D">
        <w:sym w:font="Symbol" w:char="F0BE"/>
      </w:r>
    </w:p>
    <w:p w14:paraId="3A32D483" w14:textId="77777777" w:rsidR="003231AB" w:rsidRDefault="003231AB" w:rsidP="00D347C7">
      <w:pPr>
        <w:pStyle w:val="List4"/>
      </w:pPr>
      <w:r>
        <w:br/>
      </w:r>
      <w:r w:rsidRPr="00913C4D">
        <w:t>(</w:t>
      </w:r>
      <w:r>
        <w:t>A</w:t>
      </w:r>
      <w:r w:rsidRPr="00913C4D">
        <w:t xml:space="preserve">)  Developing regulations for contract </w:t>
      </w:r>
      <w:proofErr w:type="gramStart"/>
      <w:r w:rsidRPr="00913C4D">
        <w:t>financing;</w:t>
      </w:r>
      <w:proofErr w:type="gramEnd"/>
    </w:p>
    <w:p w14:paraId="4B0F8B91" w14:textId="77777777" w:rsidR="003231AB" w:rsidRDefault="003231AB" w:rsidP="00D347C7">
      <w:pPr>
        <w:pStyle w:val="List4"/>
      </w:pPr>
      <w:r>
        <w:br/>
      </w:r>
      <w:r w:rsidRPr="00913C4D">
        <w:t>(</w:t>
      </w:r>
      <w:r>
        <w:t>B</w:t>
      </w:r>
      <w:r w:rsidRPr="00913C4D">
        <w:t>)  Developing contract provisions for contract financing; and</w:t>
      </w:r>
    </w:p>
    <w:p w14:paraId="2E6A1BAF" w14:textId="77777777" w:rsidR="003231AB" w:rsidRDefault="003231AB" w:rsidP="00D347C7">
      <w:pPr>
        <w:pStyle w:val="List4"/>
      </w:pPr>
      <w:r>
        <w:br/>
      </w:r>
      <w:r w:rsidRPr="00913C4D">
        <w:t>(</w:t>
      </w:r>
      <w:r>
        <w:t>C</w:t>
      </w:r>
      <w:r w:rsidRPr="00913C4D">
        <w:t>)  Resolving specific cases that involve unusual contract financing requirements.</w:t>
      </w:r>
    </w:p>
    <w:p w14:paraId="37B4D287" w14:textId="77777777" w:rsidR="003231AB" w:rsidRPr="005E79E9" w:rsidRDefault="003231AB" w:rsidP="005E79E9">
      <w:pPr>
        <w:pStyle w:val="NormalWeb"/>
        <w:spacing w:before="0" w:beforeAutospacing="0" w:after="0" w:afterAutospacing="0"/>
        <w:ind w:left="180"/>
      </w:pPr>
      <w:r>
        <w:br/>
      </w:r>
    </w:p>
    <w:p w14:paraId="2EFD6999" w14:textId="77777777" w:rsidR="003231AB" w:rsidRDefault="003231AB">
      <w:pPr>
        <w:sectPr w:rsidR="003231AB" w:rsidSect="003379CD">
          <w:headerReference w:type="default" r:id="rId6"/>
          <w:footerReference w:type="default" r:id="rId7"/>
          <w:pgSz w:w="12240" w:h="15840"/>
          <w:pgMar w:top="1440" w:right="1440" w:bottom="1440" w:left="1440" w:header="720" w:footer="720" w:gutter="0"/>
          <w:cols w:space="720"/>
          <w:docGrid w:linePitch="360"/>
        </w:sectPr>
      </w:pPr>
    </w:p>
    <w:p w14:paraId="4AC8E348" w14:textId="77777777" w:rsidR="003231AB" w:rsidRDefault="003231AB" w:rsidP="00B33719">
      <w:pPr>
        <w:pStyle w:val="NormalWeb"/>
        <w:spacing w:before="0" w:beforeAutospacing="0" w:after="0" w:afterAutospacing="0"/>
      </w:pPr>
      <w:r w:rsidRPr="005E79E9">
        <w:rPr>
          <w:bCs/>
        </w:rPr>
        <w:lastRenderedPageBreak/>
        <w:t>PGI 232.4--ADVANCE PAYMENTS FOR NON-COMMERCIAL ITEMS</w:t>
      </w:r>
    </w:p>
    <w:p w14:paraId="17C40CB0" w14:textId="77777777" w:rsidR="003231AB" w:rsidRDefault="003231AB" w:rsidP="0059579E">
      <w:pPr>
        <w:pStyle w:val="Heading4"/>
      </w:pPr>
      <w:r>
        <w:br/>
      </w:r>
      <w:bookmarkStart w:id="5" w:name="_Toc37677656"/>
      <w:bookmarkStart w:id="6" w:name="_Toc37756460"/>
      <w:r w:rsidRPr="005E79E9">
        <w:rPr>
          <w:b/>
        </w:rPr>
        <w:t xml:space="preserve">PGI </w:t>
      </w:r>
      <w:r w:rsidRPr="0059579E">
        <w:rPr>
          <w:b/>
        </w:rPr>
        <w:t xml:space="preserve">232.409-1  </w:t>
      </w:r>
      <w:r w:rsidRPr="005E79E9">
        <w:rPr>
          <w:b/>
        </w:rPr>
        <w:t>Recommendation for approval.</w:t>
      </w:r>
      <w:bookmarkEnd w:id="5"/>
      <w:bookmarkEnd w:id="6"/>
    </w:p>
    <w:p w14:paraId="57277302" w14:textId="77777777" w:rsidR="003231AB" w:rsidRDefault="003231AB" w:rsidP="00B33719">
      <w:pPr>
        <w:pStyle w:val="NormalWeb"/>
        <w:spacing w:before="0" w:beforeAutospacing="0" w:after="0" w:afterAutospacing="0"/>
      </w:pPr>
      <w:r>
        <w:rPr>
          <w:b w:val="0"/>
          <w:bCs/>
        </w:rPr>
        <w:br/>
      </w:r>
      <w:r w:rsidRPr="005E79E9">
        <w:t>To ensure uniform application of this subpart (see FAR 32.402(e)(1)), the departmental/agency contract financing office shall prepare the documents required by FAR 32.409-1(e) and (f).</w:t>
      </w:r>
    </w:p>
    <w:p w14:paraId="1F7400F9" w14:textId="77777777" w:rsidR="003231AB" w:rsidRDefault="003231AB" w:rsidP="0059579E">
      <w:pPr>
        <w:pStyle w:val="Heading3"/>
      </w:pPr>
      <w:r>
        <w:br/>
      </w:r>
      <w:bookmarkStart w:id="7" w:name="_Toc37415831"/>
      <w:bookmarkStart w:id="8" w:name="_Toc37677657"/>
      <w:bookmarkStart w:id="9" w:name="_Toc37756461"/>
      <w:r w:rsidRPr="005E79E9">
        <w:rPr>
          <w:b/>
          <w:bCs/>
        </w:rPr>
        <w:t>PGI 232.410  Findings, determination, and authorization.</w:t>
      </w:r>
      <w:bookmarkEnd w:id="7"/>
      <w:bookmarkEnd w:id="8"/>
      <w:bookmarkEnd w:id="9"/>
    </w:p>
    <w:p w14:paraId="405623DA" w14:textId="77777777" w:rsidR="003231AB" w:rsidRDefault="003231AB" w:rsidP="00B33719">
      <w:pPr>
        <w:pStyle w:val="NormalWeb"/>
        <w:spacing w:before="0" w:beforeAutospacing="0" w:after="0" w:afterAutospacing="0"/>
      </w:pPr>
      <w:r>
        <w:rPr>
          <w:b w:val="0"/>
          <w:bCs/>
        </w:rPr>
        <w:br/>
      </w:r>
      <w:r w:rsidRPr="005E79E9">
        <w:t>If an advance payment procedure is used without a special bank account, replace paragraph (a)(4) of the Findings, Determination, and Authorization for Advance Payments at FAR 32.410 with:</w:t>
      </w:r>
    </w:p>
    <w:p w14:paraId="43AA4267" w14:textId="77777777" w:rsidR="003231AB" w:rsidRDefault="003231AB" w:rsidP="0059579E">
      <w:r>
        <w:br/>
      </w:r>
      <w:r w:rsidRPr="00F87138">
        <w:tab/>
        <w:t>“(4)  The proposed advance payment clause contains appropriate provisions as security for advance payments.  These provisions include a requirement that the outstanding advance payments will be liquidated from cost reimbursements as they become due the contractor.  This security is considered adequate to protect the interest of the Government.”</w:t>
      </w:r>
    </w:p>
    <w:p w14:paraId="75C24BF2" w14:textId="77777777" w:rsidR="003231AB" w:rsidRPr="005E79E9" w:rsidRDefault="003231AB" w:rsidP="00B33719">
      <w:pPr>
        <w:pStyle w:val="NormalWeb"/>
        <w:spacing w:before="0" w:beforeAutospacing="0" w:after="0" w:afterAutospacing="0"/>
        <w:rPr>
          <w:b w:val="0"/>
        </w:rPr>
      </w:pPr>
      <w:r>
        <w:br/>
      </w:r>
    </w:p>
    <w:p w14:paraId="39E87DA6" w14:textId="77777777" w:rsidR="003231AB" w:rsidRDefault="003231AB">
      <w:pPr>
        <w:sectPr w:rsidR="003231AB" w:rsidSect="005555FF">
          <w:headerReference w:type="default" r:id="rId8"/>
          <w:footerReference w:type="default" r:id="rId9"/>
          <w:pgSz w:w="12240" w:h="15840"/>
          <w:pgMar w:top="1440" w:right="1440" w:bottom="1440" w:left="1440" w:header="720" w:footer="720" w:gutter="0"/>
          <w:cols w:space="720"/>
          <w:docGrid w:linePitch="360"/>
        </w:sectPr>
      </w:pPr>
    </w:p>
    <w:p w14:paraId="2729112A" w14:textId="77777777" w:rsidR="003231AB" w:rsidRDefault="003231AB" w:rsidP="0084522B">
      <w:pPr>
        <w:pStyle w:val="NormalWeb"/>
        <w:spacing w:before="0" w:beforeAutospacing="0" w:after="0" w:afterAutospacing="0"/>
        <w:jc w:val="center"/>
        <w:rPr>
          <w:bCs/>
          <w:i/>
        </w:rPr>
      </w:pPr>
      <w:r w:rsidRPr="006E41EF">
        <w:rPr>
          <w:bCs/>
          <w:i/>
        </w:rPr>
        <w:lastRenderedPageBreak/>
        <w:t>(Revised September 9, 2013)</w:t>
      </w:r>
    </w:p>
    <w:p w14:paraId="6D843326" w14:textId="77777777" w:rsidR="003231AB" w:rsidRDefault="003231AB" w:rsidP="0084522B">
      <w:pPr>
        <w:pStyle w:val="Heading2"/>
      </w:pPr>
      <w:r>
        <w:rPr>
          <w:bCs w:val="0"/>
          <w:i/>
        </w:rPr>
        <w:br/>
      </w:r>
      <w:bookmarkStart w:id="10" w:name="_Toc37415832"/>
      <w:bookmarkStart w:id="11" w:name="_Toc37677658"/>
      <w:bookmarkStart w:id="12" w:name="_Toc37756462"/>
      <w:r w:rsidRPr="005E79E9">
        <w:t>PGI 232.5--PROGRESS PAYMENTS BASED ON COSTS</w:t>
      </w:r>
      <w:bookmarkEnd w:id="10"/>
      <w:bookmarkEnd w:id="11"/>
      <w:bookmarkEnd w:id="12"/>
    </w:p>
    <w:p w14:paraId="03AB302B" w14:textId="77777777" w:rsidR="003231AB" w:rsidRDefault="003231AB" w:rsidP="0084522B">
      <w:pPr>
        <w:pStyle w:val="Heading4"/>
      </w:pPr>
      <w:r>
        <w:br/>
      </w:r>
      <w:bookmarkStart w:id="13" w:name="_Toc37677659"/>
      <w:bookmarkStart w:id="14" w:name="_Toc37756463"/>
      <w:r w:rsidRPr="005E79E9">
        <w:rPr>
          <w:b/>
        </w:rPr>
        <w:t xml:space="preserve">PGI </w:t>
      </w:r>
      <w:r w:rsidRPr="0084522B">
        <w:rPr>
          <w:b/>
        </w:rPr>
        <w:t xml:space="preserve">232.501-2  </w:t>
      </w:r>
      <w:r w:rsidRPr="005E79E9">
        <w:rPr>
          <w:b/>
        </w:rPr>
        <w:t>Unusual progress payments.</w:t>
      </w:r>
      <w:bookmarkEnd w:id="13"/>
      <w:bookmarkEnd w:id="14"/>
    </w:p>
    <w:p w14:paraId="5963A2BC" w14:textId="77777777" w:rsidR="003231AB" w:rsidRDefault="003231AB" w:rsidP="00FF6AB7">
      <w:pPr>
        <w:pStyle w:val="NormalWeb"/>
        <w:spacing w:before="0" w:beforeAutospacing="0" w:after="0" w:afterAutospacing="0"/>
      </w:pPr>
      <w:r>
        <w:rPr>
          <w:b w:val="0"/>
          <w:bCs/>
        </w:rPr>
        <w:br/>
      </w:r>
      <w:r w:rsidRPr="005E79E9">
        <w:t>Unusual progress payment arrangements require the advance approval of the Director of Defense Procurement and Acquisition Policy, Office of the Under Secretary of Defense (Acquisition, T</w:t>
      </w:r>
      <w:r>
        <w:t>echnology, and Logistics) (OUSD(</w:t>
      </w:r>
      <w:r w:rsidRPr="005E79E9">
        <w:t>AT&amp;L</w:t>
      </w:r>
      <w:r>
        <w:t xml:space="preserve">) </w:t>
      </w:r>
      <w:r w:rsidRPr="005E79E9">
        <w:t>DPAP).  Contracting officers must submit all unusual progress payment requests to the department or agency contrac</w:t>
      </w:r>
      <w:r>
        <w:t xml:space="preserve">t financing office for approval </w:t>
      </w:r>
      <w:r w:rsidRPr="005E79E9">
        <w:t>and submission to OUSD(AT&amp;L)</w:t>
      </w:r>
      <w:r>
        <w:t xml:space="preserve"> </w:t>
      </w:r>
      <w:r w:rsidRPr="005E79E9">
        <w:t>DPAP.</w:t>
      </w:r>
    </w:p>
    <w:p w14:paraId="5E66DA37" w14:textId="77777777" w:rsidR="003231AB" w:rsidRPr="005E79E9" w:rsidRDefault="003231AB" w:rsidP="00F62663">
      <w:pPr>
        <w:pStyle w:val="NormalWeb"/>
        <w:spacing w:before="0" w:beforeAutospacing="0" w:after="0" w:afterAutospacing="0"/>
      </w:pPr>
      <w:r>
        <w:br/>
      </w:r>
    </w:p>
    <w:p w14:paraId="2ACE5A9B" w14:textId="77777777" w:rsidR="003231AB" w:rsidRDefault="003231AB">
      <w:pPr>
        <w:sectPr w:rsidR="003231AB" w:rsidSect="00E56B16">
          <w:headerReference w:type="default" r:id="rId10"/>
          <w:footerReference w:type="default" r:id="rId11"/>
          <w:pgSz w:w="12240" w:h="15840"/>
          <w:pgMar w:top="1440" w:right="1440" w:bottom="1440" w:left="1440" w:header="720" w:footer="720" w:gutter="0"/>
          <w:cols w:space="720"/>
          <w:docGrid w:linePitch="360"/>
        </w:sectPr>
      </w:pPr>
    </w:p>
    <w:p w14:paraId="4976B1FE" w14:textId="77777777" w:rsidR="003231AB" w:rsidRDefault="003231AB" w:rsidP="003849F9">
      <w:pPr>
        <w:pStyle w:val="NormalWeb"/>
        <w:tabs>
          <w:tab w:val="bar" w:pos="10080"/>
        </w:tabs>
        <w:spacing w:before="0" w:beforeAutospacing="0" w:after="0" w:afterAutospacing="0"/>
        <w:jc w:val="center"/>
        <w:rPr>
          <w:bCs/>
          <w:i/>
        </w:rPr>
      </w:pPr>
      <w:r w:rsidRPr="005F3EF3">
        <w:rPr>
          <w:bCs/>
          <w:i/>
        </w:rPr>
        <w:lastRenderedPageBreak/>
        <w:t xml:space="preserve">(Revised </w:t>
      </w:r>
      <w:r>
        <w:rPr>
          <w:bCs/>
          <w:i/>
        </w:rPr>
        <w:t>December 22, 2016</w:t>
      </w:r>
      <w:r w:rsidRPr="005F3EF3">
        <w:rPr>
          <w:bCs/>
          <w:i/>
        </w:rPr>
        <w:t>)</w:t>
      </w:r>
    </w:p>
    <w:p w14:paraId="69973443" w14:textId="77777777" w:rsidR="003231AB" w:rsidRDefault="003231AB" w:rsidP="003849F9">
      <w:pPr>
        <w:pStyle w:val="Heading2"/>
      </w:pPr>
      <w:r>
        <w:rPr>
          <w:i/>
        </w:rPr>
        <w:br/>
      </w:r>
      <w:bookmarkStart w:id="15" w:name="_Toc37415833"/>
      <w:bookmarkStart w:id="16" w:name="_Toc37677660"/>
      <w:bookmarkStart w:id="17" w:name="_Toc37756464"/>
      <w:r w:rsidRPr="000C526B">
        <w:t>PGI 232.6</w:t>
      </w:r>
      <w:r w:rsidRPr="005E79E9">
        <w:t>--</w:t>
      </w:r>
      <w:r w:rsidRPr="000C526B">
        <w:t>CONTRACT DEBTS</w:t>
      </w:r>
      <w:bookmarkEnd w:id="15"/>
      <w:bookmarkEnd w:id="16"/>
      <w:bookmarkEnd w:id="17"/>
    </w:p>
    <w:p w14:paraId="68BCEA1F" w14:textId="77777777" w:rsidR="003231AB" w:rsidRDefault="003231AB" w:rsidP="003849F9">
      <w:pPr>
        <w:pStyle w:val="Heading3"/>
      </w:pPr>
      <w:r>
        <w:rPr>
          <w:b/>
          <w:bCs/>
        </w:rPr>
        <w:br/>
      </w:r>
      <w:bookmarkStart w:id="18" w:name="_Toc37415834"/>
      <w:bookmarkStart w:id="19" w:name="_Toc37677661"/>
      <w:bookmarkStart w:id="20" w:name="_Toc37756465"/>
      <w:r w:rsidRPr="000C526B">
        <w:rPr>
          <w:b/>
          <w:bCs/>
        </w:rPr>
        <w:t>PGI 232.60</w:t>
      </w:r>
      <w:r>
        <w:rPr>
          <w:b/>
          <w:bCs/>
        </w:rPr>
        <w:t>3  Debt determination</w:t>
      </w:r>
      <w:r w:rsidRPr="000C526B">
        <w:rPr>
          <w:b/>
          <w:bCs/>
        </w:rPr>
        <w:t>.</w:t>
      </w:r>
      <w:bookmarkEnd w:id="18"/>
      <w:bookmarkEnd w:id="19"/>
      <w:bookmarkEnd w:id="20"/>
    </w:p>
    <w:p w14:paraId="326E83CD" w14:textId="77777777" w:rsidR="003231AB" w:rsidRDefault="003231AB" w:rsidP="00F90DC6">
      <w:pPr>
        <w:pStyle w:val="NormalWeb"/>
        <w:spacing w:before="0" w:beforeAutospacing="0" w:after="0" w:afterAutospacing="0"/>
      </w:pPr>
      <w:r>
        <w:rPr>
          <w:b w:val="0"/>
          <w:bCs/>
        </w:rPr>
        <w:br/>
      </w:r>
      <w:r w:rsidRPr="000C526B">
        <w:t>Upon transfer of a case to the contract financing office, the contracting officer shall close the debt record by reference to the date of transfer.</w:t>
      </w:r>
    </w:p>
    <w:p w14:paraId="54C30F76" w14:textId="77777777" w:rsidR="003231AB" w:rsidRDefault="003231AB" w:rsidP="003849F9">
      <w:pPr>
        <w:pStyle w:val="Heading3"/>
      </w:pPr>
      <w:r>
        <w:br/>
      </w:r>
      <w:bookmarkStart w:id="21" w:name="_Toc37415835"/>
      <w:bookmarkStart w:id="22" w:name="_Toc37677662"/>
      <w:bookmarkStart w:id="23" w:name="_Toc37756466"/>
      <w:r w:rsidRPr="000C526B">
        <w:rPr>
          <w:b/>
          <w:bCs/>
        </w:rPr>
        <w:t>PGI 232.6</w:t>
      </w:r>
      <w:r>
        <w:rPr>
          <w:b/>
          <w:bCs/>
        </w:rPr>
        <w:t>04</w:t>
      </w:r>
      <w:r w:rsidRPr="000C526B">
        <w:rPr>
          <w:b/>
          <w:bCs/>
        </w:rPr>
        <w:t xml:space="preserve">  Demand for payment.</w:t>
      </w:r>
      <w:bookmarkEnd w:id="21"/>
      <w:bookmarkEnd w:id="22"/>
      <w:bookmarkEnd w:id="23"/>
    </w:p>
    <w:p w14:paraId="5A35005A" w14:textId="77777777" w:rsidR="003231AB" w:rsidRDefault="003231AB" w:rsidP="003849F9">
      <w:pPr>
        <w:pStyle w:val="List2"/>
      </w:pPr>
      <w:r>
        <w:rPr>
          <w:b/>
          <w:bCs/>
        </w:rPr>
        <w:br/>
      </w:r>
      <w:r w:rsidRPr="000A71B8">
        <w:t>(</w:t>
      </w:r>
      <w:r>
        <w:t>1</w:t>
      </w:r>
      <w:r w:rsidRPr="000A71B8">
        <w:t xml:space="preserve">)  For contract debts resulting from other than a termination for default, the office </w:t>
      </w:r>
      <w:r>
        <w:t>that</w:t>
      </w:r>
      <w:r w:rsidRPr="000A71B8">
        <w:t xml:space="preserve"> first determines an amount due, whether it be the contract administration office, the contracting office, the disbursing office, or the selling office/agency, shall—</w:t>
      </w:r>
    </w:p>
    <w:p w14:paraId="3E5B5868" w14:textId="77777777" w:rsidR="003231AB" w:rsidRDefault="003231AB" w:rsidP="00022DDE">
      <w:pPr>
        <w:pStyle w:val="List3"/>
      </w:pPr>
      <w:r>
        <w:br/>
      </w:r>
      <w:r w:rsidRPr="000A71B8">
        <w:t>(</w:t>
      </w:r>
      <w:proofErr w:type="spellStart"/>
      <w:r>
        <w:t>i</w:t>
      </w:r>
      <w:proofErr w:type="spellEnd"/>
      <w:r w:rsidRPr="000A71B8">
        <w:t>)  Make a demand for payment; and</w:t>
      </w:r>
    </w:p>
    <w:p w14:paraId="515B7435" w14:textId="77777777" w:rsidR="003231AB" w:rsidRDefault="003231AB" w:rsidP="003849F9">
      <w:pPr>
        <w:pStyle w:val="List3"/>
      </w:pPr>
      <w:r>
        <w:br/>
      </w:r>
      <w:r w:rsidRPr="000A71B8">
        <w:t>(</w:t>
      </w:r>
      <w:r>
        <w:t>ii</w:t>
      </w:r>
      <w:r w:rsidRPr="000A71B8">
        <w:t>)  Provide a copy of the demand to the payment office cited in the contract.</w:t>
      </w:r>
    </w:p>
    <w:p w14:paraId="3C85FAB5" w14:textId="77777777" w:rsidR="003231AB" w:rsidRDefault="003231AB" w:rsidP="003849F9">
      <w:pPr>
        <w:pStyle w:val="List2"/>
      </w:pPr>
      <w:r>
        <w:br/>
      </w:r>
      <w:r w:rsidRPr="000A71B8">
        <w:t>(</w:t>
      </w:r>
      <w:r>
        <w:t>2</w:t>
      </w:r>
      <w:r w:rsidRPr="000A71B8">
        <w:t>)  For contract debts resulting from a termination for default, the contracting officer shall make the demand and direct the debtor to make such payment to the designated office.</w:t>
      </w:r>
    </w:p>
    <w:p w14:paraId="7AEFC958" w14:textId="77777777" w:rsidR="003231AB" w:rsidRDefault="003231AB" w:rsidP="003849F9">
      <w:pPr>
        <w:pStyle w:val="Heading3"/>
      </w:pPr>
      <w:r>
        <w:br/>
      </w:r>
      <w:bookmarkStart w:id="24" w:name="_Toc37415836"/>
      <w:bookmarkStart w:id="25" w:name="_Toc37677663"/>
      <w:bookmarkStart w:id="26" w:name="_Toc37756467"/>
      <w:r w:rsidRPr="000C526B">
        <w:rPr>
          <w:b/>
          <w:bCs/>
        </w:rPr>
        <w:t>PGI 232.670  Transfer of responsibility for debt collection.</w:t>
      </w:r>
      <w:bookmarkEnd w:id="24"/>
      <w:bookmarkEnd w:id="25"/>
      <w:bookmarkEnd w:id="26"/>
    </w:p>
    <w:p w14:paraId="5C0C1BC5" w14:textId="77777777" w:rsidR="003231AB" w:rsidRDefault="003231AB" w:rsidP="00F90DC6">
      <w:pPr>
        <w:pStyle w:val="NormalWeb"/>
        <w:spacing w:before="0" w:beforeAutospacing="0" w:after="0" w:afterAutospacing="0"/>
      </w:pPr>
      <w:r>
        <w:rPr>
          <w:b w:val="0"/>
          <w:bCs/>
        </w:rPr>
        <w:br/>
      </w:r>
      <w:r w:rsidRPr="000C526B">
        <w:t>Disbursing officers will transfer responsibility for debt collection to department/agency contract financing offices in accordance with comptroller regulations.  Notwithstanding the transfer of the debt collection responsibility, contracting officers shall continue to provide assistance as requested by the debt collection office.</w:t>
      </w:r>
    </w:p>
    <w:p w14:paraId="5792367F" w14:textId="77777777" w:rsidR="003231AB" w:rsidRDefault="003231AB" w:rsidP="003849F9">
      <w:pPr>
        <w:pStyle w:val="Heading3"/>
      </w:pPr>
      <w:r>
        <w:lastRenderedPageBreak/>
        <w:br/>
      </w:r>
      <w:bookmarkStart w:id="27" w:name="_Toc37415837"/>
      <w:bookmarkStart w:id="28" w:name="_Toc37677664"/>
      <w:bookmarkStart w:id="29" w:name="_Toc37756468"/>
      <w:r w:rsidRPr="000C526B">
        <w:rPr>
          <w:b/>
          <w:bCs/>
        </w:rPr>
        <w:t>PGI 232.671  Bankruptcy reporting.</w:t>
      </w:r>
      <w:bookmarkEnd w:id="27"/>
      <w:bookmarkEnd w:id="28"/>
      <w:bookmarkEnd w:id="29"/>
    </w:p>
    <w:p w14:paraId="1F418F7D" w14:textId="77777777" w:rsidR="003231AB" w:rsidRDefault="003231AB" w:rsidP="003849F9">
      <w:pPr>
        <w:pStyle w:val="List2"/>
      </w:pPr>
      <w:r>
        <w:rPr>
          <w:b/>
          <w:bCs/>
        </w:rPr>
        <w:br/>
      </w:r>
      <w:r w:rsidRPr="00CE0160">
        <w:t>(</w:t>
      </w:r>
      <w:r>
        <w:t>1</w:t>
      </w:r>
      <w:r w:rsidRPr="00CE0160">
        <w:t xml:space="preserve">)  For those debts covered by this subpart, the department or agency </w:t>
      </w:r>
      <w:r>
        <w:t xml:space="preserve">that awarded the </w:t>
      </w:r>
      <w:r w:rsidRPr="00CE0160">
        <w:t xml:space="preserve">contract shall furnish the Department of Justice any claims in bankruptcy, insolvency, or in proceedings for reorganization or arrangement.  Furnish claims </w:t>
      </w:r>
      <w:r>
        <w:t>that</w:t>
      </w:r>
      <w:r w:rsidRPr="00CE0160">
        <w:t>—</w:t>
      </w:r>
    </w:p>
    <w:p w14:paraId="312A70B9" w14:textId="77777777" w:rsidR="003231AB" w:rsidRDefault="003231AB" w:rsidP="00022DDE">
      <w:pPr>
        <w:pStyle w:val="List3"/>
      </w:pPr>
      <w:r>
        <w:br/>
      </w:r>
      <w:r w:rsidRPr="00CE0160">
        <w:t>(</w:t>
      </w:r>
      <w:proofErr w:type="spellStart"/>
      <w:r>
        <w:t>i</w:t>
      </w:r>
      <w:proofErr w:type="spellEnd"/>
      <w:r w:rsidRPr="00CE0160">
        <w:t>)  Have been transferred to a contract financing office;</w:t>
      </w:r>
    </w:p>
    <w:p w14:paraId="44333988" w14:textId="77777777" w:rsidR="003231AB" w:rsidRDefault="003231AB" w:rsidP="003849F9">
      <w:pPr>
        <w:pStyle w:val="List3"/>
      </w:pPr>
      <w:r>
        <w:br/>
      </w:r>
      <w:r w:rsidRPr="00CE0160">
        <w:t>(</w:t>
      </w:r>
      <w:r>
        <w:t>ii</w:t>
      </w:r>
      <w:r w:rsidRPr="00CE0160">
        <w:t>)  Are on the way to a contract financing office at the inception of bankruptcy or insolvency proceedings;</w:t>
      </w:r>
    </w:p>
    <w:p w14:paraId="7C32E574" w14:textId="77777777" w:rsidR="003231AB" w:rsidRDefault="003231AB" w:rsidP="003849F9">
      <w:pPr>
        <w:pStyle w:val="List3"/>
      </w:pPr>
      <w:r>
        <w:br/>
      </w:r>
      <w:r w:rsidRPr="00CE0160">
        <w:t>(</w:t>
      </w:r>
      <w:r>
        <w:t>iii</w:t>
      </w:r>
      <w:r w:rsidRPr="00CE0160">
        <w:t>)  Are pending and not forwarded to a contract financing office at the inception of bankruptcy or insolvency proceedings; and</w:t>
      </w:r>
    </w:p>
    <w:p w14:paraId="4799852E" w14:textId="77777777" w:rsidR="003231AB" w:rsidRDefault="003231AB" w:rsidP="003849F9">
      <w:pPr>
        <w:pStyle w:val="List3"/>
      </w:pPr>
      <w:r>
        <w:br/>
      </w:r>
      <w:r w:rsidRPr="00CE0160">
        <w:t>(</w:t>
      </w:r>
      <w:r>
        <w:t>iv</w:t>
      </w:r>
      <w:r w:rsidRPr="00CE0160">
        <w:t>)  Are the result of bankruptcy or insolvency proceedings.</w:t>
      </w:r>
    </w:p>
    <w:p w14:paraId="6797213B" w14:textId="77777777" w:rsidR="003231AB" w:rsidRDefault="003231AB" w:rsidP="003849F9">
      <w:pPr>
        <w:pStyle w:val="List2"/>
      </w:pPr>
      <w:r>
        <w:br/>
      </w:r>
      <w:r w:rsidRPr="00CE0160">
        <w:t>(</w:t>
      </w:r>
      <w:r>
        <w:t>2</w:t>
      </w:r>
      <w:r w:rsidRPr="00CE0160">
        <w:t>)  The contract financing office or other office designated within a department or agency will furnish proof of claims to the Department of Justice.</w:t>
      </w:r>
    </w:p>
    <w:p w14:paraId="2BE2C760" w14:textId="77777777" w:rsidR="003231AB" w:rsidRDefault="003231AB" w:rsidP="003849F9">
      <w:pPr>
        <w:pStyle w:val="List2"/>
      </w:pPr>
      <w:r>
        <w:br/>
      </w:r>
      <w:r w:rsidRPr="00CE0160">
        <w:t>(</w:t>
      </w:r>
      <w:r>
        <w:t>3</w:t>
      </w:r>
      <w:r w:rsidRPr="00CE0160">
        <w:t>)  The office of origin of a debt will provide, as soon as possible, information on a bankruptcy, insolvency, reorganization, or rearrangement to the office designated within a department/agency to receive this information.</w:t>
      </w:r>
    </w:p>
    <w:p w14:paraId="360779C7" w14:textId="77777777" w:rsidR="003231AB" w:rsidRDefault="003231AB" w:rsidP="003849F9">
      <w:pPr>
        <w:pStyle w:val="List2"/>
      </w:pPr>
      <w:r>
        <w:br/>
      </w:r>
      <w:r w:rsidRPr="00CE0160">
        <w:t>(</w:t>
      </w:r>
      <w:r>
        <w:t>4</w:t>
      </w:r>
      <w:r w:rsidRPr="00CE0160">
        <w:t>)  The information and proof of claim requirements in paragraphs (</w:t>
      </w:r>
      <w:r>
        <w:t>2</w:t>
      </w:r>
      <w:r w:rsidRPr="00CE0160">
        <w:t>) and (</w:t>
      </w:r>
      <w:r>
        <w:t>3</w:t>
      </w:r>
      <w:r w:rsidRPr="00CE0160">
        <w:t>) of this section do not apply to debts of less than $600.</w:t>
      </w:r>
    </w:p>
    <w:p w14:paraId="57D7A135" w14:textId="77777777" w:rsidR="003231AB" w:rsidRPr="000C526B" w:rsidRDefault="003231AB" w:rsidP="003849F9">
      <w:r>
        <w:br/>
      </w:r>
    </w:p>
    <w:p w14:paraId="065046E6" w14:textId="77777777" w:rsidR="003231AB" w:rsidRDefault="003231AB">
      <w:pPr>
        <w:sectPr w:rsidR="003231AB" w:rsidSect="00A876A6">
          <w:headerReference w:type="default" r:id="rId12"/>
          <w:footerReference w:type="default" r:id="rId13"/>
          <w:pgSz w:w="12240" w:h="15840"/>
          <w:pgMar w:top="1440" w:right="1440" w:bottom="1440" w:left="1440" w:header="720" w:footer="720" w:gutter="0"/>
          <w:cols w:space="720"/>
          <w:docGrid w:linePitch="360"/>
        </w:sectPr>
      </w:pPr>
    </w:p>
    <w:p w14:paraId="50BC9476" w14:textId="77777777" w:rsidR="003231AB" w:rsidRDefault="003231AB" w:rsidP="003428DC">
      <w:pPr>
        <w:pStyle w:val="NormalWeb"/>
        <w:tabs>
          <w:tab w:val="bar" w:pos="10080"/>
        </w:tabs>
        <w:spacing w:before="0" w:beforeAutospacing="0" w:after="0" w:afterAutospacing="0" w:line="240" w:lineRule="exact"/>
        <w:jc w:val="center"/>
        <w:rPr>
          <w:bCs/>
          <w:i/>
        </w:rPr>
      </w:pPr>
      <w:r w:rsidRPr="00E170A9">
        <w:rPr>
          <w:bCs/>
          <w:i/>
        </w:rPr>
        <w:lastRenderedPageBreak/>
        <w:t>(Added March 31, 2014)</w:t>
      </w:r>
    </w:p>
    <w:p w14:paraId="6D984177" w14:textId="77777777" w:rsidR="003231AB" w:rsidRDefault="003231AB" w:rsidP="003428DC">
      <w:pPr>
        <w:pStyle w:val="Heading2"/>
      </w:pPr>
      <w:r>
        <w:rPr>
          <w:bCs w:val="0"/>
          <w:i/>
        </w:rPr>
        <w:br/>
      </w:r>
      <w:bookmarkStart w:id="30" w:name="_Toc37415838"/>
      <w:bookmarkStart w:id="31" w:name="_Toc37677665"/>
      <w:bookmarkStart w:id="32" w:name="_Toc37756469"/>
      <w:r w:rsidRPr="005E79E9">
        <w:t>PGI 232.</w:t>
      </w:r>
      <w:r>
        <w:t>10—PERFORMANCE-BASED</w:t>
      </w:r>
      <w:r w:rsidRPr="005E79E9">
        <w:t xml:space="preserve"> PAYMENTS</w:t>
      </w:r>
      <w:bookmarkEnd w:id="30"/>
      <w:bookmarkEnd w:id="31"/>
      <w:bookmarkEnd w:id="32"/>
    </w:p>
    <w:p w14:paraId="051460D4" w14:textId="77777777" w:rsidR="003231AB" w:rsidRDefault="003231AB" w:rsidP="003428DC">
      <w:pPr>
        <w:pStyle w:val="Heading3"/>
      </w:pPr>
      <w:r>
        <w:rPr>
          <w:b/>
          <w:bCs/>
        </w:rPr>
        <w:br/>
      </w:r>
      <w:bookmarkStart w:id="33" w:name="_Toc37415839"/>
      <w:bookmarkStart w:id="34" w:name="_Toc37677666"/>
      <w:bookmarkStart w:id="35" w:name="_Toc37756470"/>
      <w:r w:rsidRPr="005E79E9">
        <w:rPr>
          <w:b/>
          <w:bCs/>
        </w:rPr>
        <w:t>PGI 232.</w:t>
      </w:r>
      <w:r>
        <w:rPr>
          <w:b/>
          <w:bCs/>
        </w:rPr>
        <w:t>100</w:t>
      </w:r>
      <w:r w:rsidRPr="005E79E9">
        <w:rPr>
          <w:b/>
          <w:bCs/>
        </w:rPr>
        <w:t xml:space="preserve">1  </w:t>
      </w:r>
      <w:r>
        <w:rPr>
          <w:b/>
          <w:bCs/>
        </w:rPr>
        <w:t>Policy</w:t>
      </w:r>
      <w:r w:rsidRPr="005E79E9">
        <w:rPr>
          <w:b/>
          <w:bCs/>
        </w:rPr>
        <w:t>.</w:t>
      </w:r>
      <w:bookmarkEnd w:id="33"/>
      <w:bookmarkEnd w:id="34"/>
      <w:bookmarkEnd w:id="35"/>
    </w:p>
    <w:p w14:paraId="79D35C62" w14:textId="77777777" w:rsidR="003231AB" w:rsidRDefault="003231AB" w:rsidP="003428DC">
      <w:pPr>
        <w:pStyle w:val="List1"/>
      </w:pPr>
      <w:r>
        <w:rPr>
          <w:b/>
        </w:rPr>
        <w:br/>
      </w:r>
      <w:r w:rsidRPr="00E170A9">
        <w:t xml:space="preserve">(a)  </w:t>
      </w:r>
      <w:r w:rsidRPr="00E170A9">
        <w:rPr>
          <w:i/>
        </w:rPr>
        <w:t>Contracting officer action</w:t>
      </w:r>
      <w:r w:rsidRPr="00E170A9">
        <w:t>.  Performance-based payments are not practical for use on all fixed price contracts and require considerable effort between the contractor and Government to identify the appropriate performance-based payment events and establish the proper completion criteria for those events.  Additionally, FAR 32.1003 prohibits contracts from having both progress payments and performance-based payment financing on a contract at the same time.  Additional information and instruction on performance-based payments are provided in the DoD Performance-based Payments Guide on the DPAP website in the Cost, Pricing &amp; Finance section under the Performance Based Payments – Guide Book &amp; Analysis Tool tab:</w:t>
      </w:r>
    </w:p>
    <w:p w14:paraId="3C8C24B9" w14:textId="77777777" w:rsidR="003231AB" w:rsidRDefault="003231AB" w:rsidP="001F2678">
      <w:pPr>
        <w:pStyle w:val="NormalWeb"/>
        <w:tabs>
          <w:tab w:val="bar" w:pos="10080"/>
        </w:tabs>
        <w:spacing w:before="0" w:beforeAutospacing="0" w:after="0" w:afterAutospacing="0" w:line="240" w:lineRule="exact"/>
      </w:pPr>
      <w:r>
        <w:br/>
      </w:r>
      <w:hyperlink r:id="rId14" w:history="1">
        <w:r w:rsidRPr="00ED575E">
          <w:rPr>
            <w:rStyle w:val="Hyperlink"/>
            <w:i/>
          </w:rPr>
          <w:t>http://www.acq.osd.mil/dpap/cpic/cp/Performance_based_payments.html</w:t>
        </w:r>
      </w:hyperlink>
    </w:p>
    <w:p w14:paraId="67699044" w14:textId="77777777" w:rsidR="003231AB" w:rsidRPr="00E170A9" w:rsidRDefault="003231AB" w:rsidP="00642839">
      <w:pPr>
        <w:pStyle w:val="NormalWeb"/>
        <w:spacing w:before="0" w:beforeAutospacing="0" w:after="0" w:afterAutospacing="0" w:line="240" w:lineRule="exact"/>
      </w:pPr>
      <w:r>
        <w:br/>
      </w:r>
    </w:p>
    <w:p w14:paraId="57D07058" w14:textId="77777777" w:rsidR="003231AB" w:rsidRDefault="003231AB">
      <w:pPr>
        <w:sectPr w:rsidR="003231AB" w:rsidSect="00507A5F">
          <w:headerReference w:type="default" r:id="rId15"/>
          <w:footerReference w:type="default" r:id="rId16"/>
          <w:pgSz w:w="12240" w:h="15840"/>
          <w:pgMar w:top="1440" w:right="1440" w:bottom="1440" w:left="1440" w:header="720" w:footer="720" w:gutter="0"/>
          <w:cols w:space="720"/>
          <w:docGrid w:linePitch="360"/>
        </w:sectPr>
      </w:pPr>
    </w:p>
    <w:p w14:paraId="7272D288" w14:textId="77777777" w:rsidR="003231AB" w:rsidRDefault="003231AB" w:rsidP="00B7025C">
      <w:pPr>
        <w:jc w:val="center"/>
      </w:pPr>
      <w:r w:rsidRPr="006446FC">
        <w:rPr>
          <w:i/>
          <w:szCs w:val="24"/>
        </w:rPr>
        <w:lastRenderedPageBreak/>
        <w:t>(</w:t>
      </w:r>
      <w:r>
        <w:rPr>
          <w:i/>
          <w:szCs w:val="24"/>
        </w:rPr>
        <w:t>Revised July 5, 2013</w:t>
      </w:r>
      <w:r w:rsidRPr="006446FC">
        <w:rPr>
          <w:i/>
          <w:szCs w:val="24"/>
        </w:rPr>
        <w:t>)</w:t>
      </w:r>
    </w:p>
    <w:p w14:paraId="3A03A132" w14:textId="77777777" w:rsidR="003231AB" w:rsidRDefault="003231AB" w:rsidP="00B7025C">
      <w:pPr>
        <w:pStyle w:val="Heading2"/>
      </w:pPr>
      <w:r>
        <w:rPr>
          <w:i/>
          <w:szCs w:val="24"/>
        </w:rPr>
        <w:br/>
      </w:r>
      <w:bookmarkStart w:id="36" w:name="_Toc37415840"/>
      <w:bookmarkStart w:id="37" w:name="_Toc37677667"/>
      <w:bookmarkStart w:id="38" w:name="_Toc37756471"/>
      <w:r>
        <w:rPr>
          <w:szCs w:val="24"/>
        </w:rPr>
        <w:t>PGI 232.70—ELECTRONIC SUBMISSION AND PROCESSING OF PAYMENT REQUESTS AND RECEIVING REPORTS</w:t>
      </w:r>
      <w:bookmarkEnd w:id="36"/>
      <w:bookmarkEnd w:id="37"/>
      <w:bookmarkEnd w:id="38"/>
    </w:p>
    <w:p w14:paraId="384BC352" w14:textId="77777777" w:rsidR="003231AB" w:rsidRDefault="003231AB" w:rsidP="00B7025C">
      <w:pPr>
        <w:pStyle w:val="Heading3"/>
      </w:pPr>
      <w:r>
        <w:rPr>
          <w:b/>
          <w:szCs w:val="24"/>
        </w:rPr>
        <w:br/>
      </w:r>
      <w:bookmarkStart w:id="39" w:name="_Toc37415841"/>
      <w:bookmarkStart w:id="40" w:name="_Toc37677668"/>
      <w:bookmarkStart w:id="41" w:name="_Toc37756472"/>
      <w:r>
        <w:rPr>
          <w:b/>
          <w:bCs/>
          <w:szCs w:val="24"/>
        </w:rPr>
        <w:t xml:space="preserve">PGI </w:t>
      </w:r>
      <w:r w:rsidRPr="00A82CE9">
        <w:rPr>
          <w:b/>
          <w:bCs/>
          <w:szCs w:val="24"/>
        </w:rPr>
        <w:t>232.7004  Contract clause</w:t>
      </w:r>
      <w:r>
        <w:rPr>
          <w:b/>
          <w:bCs/>
          <w:szCs w:val="24"/>
        </w:rPr>
        <w:t xml:space="preserve"> instructions.</w:t>
      </w:r>
      <w:bookmarkEnd w:id="39"/>
      <w:bookmarkEnd w:id="40"/>
      <w:bookmarkEnd w:id="41"/>
    </w:p>
    <w:p w14:paraId="4D90F78E" w14:textId="77777777" w:rsidR="003231AB" w:rsidRDefault="003231AB" w:rsidP="00B7025C">
      <w:pPr>
        <w:pStyle w:val="List1"/>
      </w:pPr>
      <w:r>
        <w:rPr>
          <w:b/>
        </w:rPr>
        <w:br/>
      </w:r>
      <w:r w:rsidRPr="00A82CE9">
        <w:t xml:space="preserve">(b)(1)  The clause </w:t>
      </w:r>
      <w:hyperlink r:id="rId17" w:anchor="252.232-7006" w:history="1">
        <w:r w:rsidRPr="00051B53">
          <w:rPr>
            <w:rStyle w:val="Hyperlink"/>
          </w:rPr>
          <w:t>252.232-7006</w:t>
        </w:r>
      </w:hyperlink>
      <w:r w:rsidRPr="00A82CE9">
        <w:t xml:space="preserve">, Wide Area </w:t>
      </w:r>
      <w:proofErr w:type="spellStart"/>
      <w:r w:rsidRPr="00A82CE9">
        <w:t>WorkFlow</w:t>
      </w:r>
      <w:proofErr w:type="spellEnd"/>
      <w:r w:rsidRPr="00A82CE9">
        <w:t xml:space="preserve"> Payment Instructions</w:t>
      </w:r>
      <w:r>
        <w:t>,</w:t>
      </w:r>
      <w:r w:rsidRPr="00A82CE9">
        <w:t xml:space="preserve"> shall be located in the contract administration section of the contract (e.g.</w:t>
      </w:r>
      <w:r>
        <w:t>,</w:t>
      </w:r>
      <w:r w:rsidRPr="00A82CE9">
        <w:t xml:space="preserve"> Section G).</w:t>
      </w:r>
    </w:p>
    <w:p w14:paraId="4D75E976" w14:textId="77777777" w:rsidR="003231AB" w:rsidRDefault="003231AB" w:rsidP="00B7025C">
      <w:pPr>
        <w:pStyle w:val="List2"/>
      </w:pPr>
      <w:r>
        <w:rPr>
          <w:szCs w:val="24"/>
        </w:rPr>
        <w:br/>
      </w:r>
      <w:r w:rsidRPr="00D93D03">
        <w:rPr>
          <w:szCs w:val="24"/>
        </w:rPr>
        <w:t>(2)  Complete paragraph (f)(1) of the clause by selecting a document type from the list in (</w:t>
      </w:r>
      <w:proofErr w:type="spellStart"/>
      <w:r w:rsidRPr="00D93D03">
        <w:rPr>
          <w:szCs w:val="24"/>
        </w:rPr>
        <w:t>i</w:t>
      </w:r>
      <w:proofErr w:type="spellEnd"/>
      <w:r w:rsidRPr="00D93D03">
        <w:rPr>
          <w:szCs w:val="24"/>
        </w:rPr>
        <w:t xml:space="preserve">) through (xix) below. Document type selection is contingent on contract type (e.g., fixed price, cost reimbursement), nature of the work being performed or product being acquired, and the entitlement system of the DoD Component. Use the guidance for Wide Area </w:t>
      </w:r>
      <w:proofErr w:type="spellStart"/>
      <w:r w:rsidRPr="00D93D03">
        <w:rPr>
          <w:szCs w:val="24"/>
        </w:rPr>
        <w:t>WorkFlow</w:t>
      </w:r>
      <w:proofErr w:type="spellEnd"/>
      <w:r w:rsidRPr="00D93D03">
        <w:rPr>
          <w:szCs w:val="24"/>
        </w:rPr>
        <w:t xml:space="preserve"> (WAWF) payment instructions found at </w:t>
      </w:r>
      <w:hyperlink r:id="rId18" w:tgtFrame="_blank" w:history="1">
        <w:r w:rsidRPr="00D93D03">
          <w:rPr>
            <w:rStyle w:val="Hyperlink"/>
            <w:szCs w:val="24"/>
          </w:rPr>
          <w:t>https://wawf.eb.mil/</w:t>
        </w:r>
      </w:hyperlink>
      <w:r w:rsidRPr="00D93D03">
        <w:rPr>
          <w:szCs w:val="24"/>
        </w:rPr>
        <w:t xml:space="preserve"> to determine which document types are available for each entitlement system. WAWF document types include—</w:t>
      </w:r>
    </w:p>
    <w:p w14:paraId="3F8A3CC4" w14:textId="77777777" w:rsidR="003231AB" w:rsidRDefault="003231AB" w:rsidP="00B7025C">
      <w:pPr>
        <w:pStyle w:val="List3"/>
      </w:pPr>
      <w:r>
        <w:rPr>
          <w:szCs w:val="24"/>
        </w:rPr>
        <w:br/>
      </w:r>
      <w:r w:rsidRPr="00A82CE9">
        <w:rPr>
          <w:szCs w:val="24"/>
        </w:rPr>
        <w:t>(</w:t>
      </w:r>
      <w:proofErr w:type="spellStart"/>
      <w:r w:rsidRPr="00A82CE9">
        <w:rPr>
          <w:szCs w:val="24"/>
        </w:rPr>
        <w:t>i</w:t>
      </w:r>
      <w:proofErr w:type="spellEnd"/>
      <w:r w:rsidRPr="00A82CE9">
        <w:rPr>
          <w:szCs w:val="24"/>
        </w:rPr>
        <w:t>)  Invoice (stand-alone) and Receiving Report (stand-alone);</w:t>
      </w:r>
    </w:p>
    <w:p w14:paraId="354A106F" w14:textId="77777777" w:rsidR="003231AB" w:rsidRDefault="003231AB" w:rsidP="00B7025C">
      <w:pPr>
        <w:pStyle w:val="List3"/>
      </w:pPr>
      <w:r>
        <w:rPr>
          <w:szCs w:val="24"/>
        </w:rPr>
        <w:br/>
      </w:r>
      <w:r w:rsidRPr="00A82CE9">
        <w:rPr>
          <w:szCs w:val="24"/>
        </w:rPr>
        <w:t>(ii)  Fast Pay (FAR 52.213-1) Invoice (stand-alone) and Receiving Report (stand-alone);</w:t>
      </w:r>
    </w:p>
    <w:p w14:paraId="75653502" w14:textId="77777777" w:rsidR="003231AB" w:rsidRDefault="003231AB" w:rsidP="00B7025C">
      <w:pPr>
        <w:pStyle w:val="List3"/>
      </w:pPr>
      <w:r>
        <w:rPr>
          <w:szCs w:val="24"/>
        </w:rPr>
        <w:br/>
      </w:r>
      <w:r w:rsidRPr="00A82CE9">
        <w:rPr>
          <w:szCs w:val="24"/>
        </w:rPr>
        <w:t xml:space="preserve">(iii)  Invoice 2-in-1 (Services </w:t>
      </w:r>
      <w:r>
        <w:rPr>
          <w:szCs w:val="24"/>
        </w:rPr>
        <w:t>o</w:t>
      </w:r>
      <w:r w:rsidRPr="00A82CE9">
        <w:rPr>
          <w:szCs w:val="24"/>
        </w:rPr>
        <w:t>nly);</w:t>
      </w:r>
    </w:p>
    <w:p w14:paraId="46AF80E4" w14:textId="77777777" w:rsidR="003231AB" w:rsidRDefault="003231AB" w:rsidP="00B7025C">
      <w:pPr>
        <w:pStyle w:val="List3"/>
      </w:pPr>
      <w:r>
        <w:rPr>
          <w:szCs w:val="24"/>
        </w:rPr>
        <w:br/>
      </w:r>
      <w:r w:rsidRPr="00A82CE9">
        <w:rPr>
          <w:szCs w:val="24"/>
        </w:rPr>
        <w:t>(iv)  Commercial Item Financing;</w:t>
      </w:r>
    </w:p>
    <w:p w14:paraId="55F08BB6" w14:textId="77777777" w:rsidR="003231AB" w:rsidRDefault="003231AB" w:rsidP="00B7025C">
      <w:pPr>
        <w:pStyle w:val="List3"/>
      </w:pPr>
      <w:r>
        <w:rPr>
          <w:szCs w:val="24"/>
        </w:rPr>
        <w:br/>
      </w:r>
      <w:r w:rsidRPr="00A82CE9">
        <w:rPr>
          <w:szCs w:val="24"/>
        </w:rPr>
        <w:t>(v)  Performance-Based Payment;</w:t>
      </w:r>
    </w:p>
    <w:p w14:paraId="082C99A4" w14:textId="77777777" w:rsidR="003231AB" w:rsidRDefault="003231AB" w:rsidP="00B7025C">
      <w:pPr>
        <w:pStyle w:val="List3"/>
      </w:pPr>
      <w:r>
        <w:rPr>
          <w:szCs w:val="24"/>
        </w:rPr>
        <w:br/>
      </w:r>
      <w:r w:rsidRPr="00A82CE9">
        <w:rPr>
          <w:szCs w:val="24"/>
        </w:rPr>
        <w:t>(vi)  Progress Payment;</w:t>
      </w:r>
    </w:p>
    <w:p w14:paraId="320ED7DC" w14:textId="77777777" w:rsidR="003231AB" w:rsidRDefault="003231AB" w:rsidP="00B7025C">
      <w:pPr>
        <w:pStyle w:val="List3"/>
      </w:pPr>
      <w:r>
        <w:rPr>
          <w:szCs w:val="24"/>
        </w:rPr>
        <w:br/>
      </w:r>
      <w:r w:rsidRPr="00A82CE9">
        <w:rPr>
          <w:szCs w:val="24"/>
        </w:rPr>
        <w:t>(vii)  Invoice and Receiving Report (Combo)</w:t>
      </w:r>
      <w:r>
        <w:rPr>
          <w:szCs w:val="24"/>
        </w:rPr>
        <w:t xml:space="preserve"> </w:t>
      </w:r>
      <w:r w:rsidRPr="00A82CE9">
        <w:rPr>
          <w:szCs w:val="24"/>
        </w:rPr>
        <w:t>( see paragraph (3) of this section);</w:t>
      </w:r>
    </w:p>
    <w:p w14:paraId="7E7BDDFF" w14:textId="77777777" w:rsidR="003231AB" w:rsidRDefault="003231AB" w:rsidP="00B7025C">
      <w:pPr>
        <w:pStyle w:val="List3"/>
      </w:pPr>
      <w:r>
        <w:rPr>
          <w:szCs w:val="24"/>
        </w:rPr>
        <w:lastRenderedPageBreak/>
        <w:br/>
      </w:r>
      <w:r w:rsidRPr="00A82CE9">
        <w:rPr>
          <w:szCs w:val="24"/>
        </w:rPr>
        <w:t>(viii)  Fast Pay (FAR 52.213-1) Invoice and Receiving Report (Combo)</w:t>
      </w:r>
      <w:r>
        <w:rPr>
          <w:szCs w:val="24"/>
        </w:rPr>
        <w:t xml:space="preserve"> </w:t>
      </w:r>
      <w:r w:rsidRPr="00A82CE9">
        <w:rPr>
          <w:szCs w:val="24"/>
        </w:rPr>
        <w:t>( see</w:t>
      </w:r>
    </w:p>
    <w:p w14:paraId="71007FFC" w14:textId="77777777" w:rsidR="003231AB" w:rsidRDefault="003231AB" w:rsidP="00B7025C">
      <w:r w:rsidRPr="00A82CE9">
        <w:rPr>
          <w:szCs w:val="24"/>
        </w:rPr>
        <w:t xml:space="preserve"> paragraph (3) of this section);</w:t>
      </w:r>
    </w:p>
    <w:p w14:paraId="3B3AEC98" w14:textId="77777777" w:rsidR="003231AB" w:rsidRDefault="003231AB" w:rsidP="00B7025C">
      <w:pPr>
        <w:pStyle w:val="List3"/>
      </w:pPr>
      <w:r>
        <w:rPr>
          <w:szCs w:val="24"/>
        </w:rPr>
        <w:br/>
      </w:r>
      <w:r w:rsidRPr="00A82CE9">
        <w:rPr>
          <w:szCs w:val="24"/>
        </w:rPr>
        <w:t>(ix)  Cost Voucher (FAR 52.216-7, 52.232-7);</w:t>
      </w:r>
    </w:p>
    <w:p w14:paraId="5E935B68" w14:textId="77777777" w:rsidR="003231AB" w:rsidRDefault="003231AB" w:rsidP="00B7025C">
      <w:pPr>
        <w:pStyle w:val="List3"/>
      </w:pPr>
      <w:r>
        <w:rPr>
          <w:szCs w:val="24"/>
        </w:rPr>
        <w:br/>
      </w:r>
      <w:r w:rsidRPr="00A82CE9">
        <w:rPr>
          <w:szCs w:val="24"/>
        </w:rPr>
        <w:t>(x)  Cost Voucher–Shipbuilding;</w:t>
      </w:r>
    </w:p>
    <w:p w14:paraId="56269CF7" w14:textId="77777777" w:rsidR="003231AB" w:rsidRDefault="003231AB" w:rsidP="00B7025C">
      <w:pPr>
        <w:pStyle w:val="List3"/>
      </w:pPr>
      <w:r>
        <w:rPr>
          <w:szCs w:val="24"/>
        </w:rPr>
        <w:br/>
      </w:r>
      <w:r w:rsidRPr="00A82CE9">
        <w:rPr>
          <w:szCs w:val="24"/>
        </w:rPr>
        <w:t>(xi)  Grant Voucher;</w:t>
      </w:r>
    </w:p>
    <w:p w14:paraId="2260970F" w14:textId="77777777" w:rsidR="003231AB" w:rsidRDefault="003231AB" w:rsidP="00B7025C">
      <w:pPr>
        <w:pStyle w:val="List3"/>
      </w:pPr>
      <w:r>
        <w:rPr>
          <w:szCs w:val="24"/>
        </w:rPr>
        <w:br/>
      </w:r>
      <w:r w:rsidRPr="00A82CE9">
        <w:rPr>
          <w:szCs w:val="24"/>
        </w:rPr>
        <w:t>(xii)  Navy Construction/Facilities Management Invoice;</w:t>
      </w:r>
    </w:p>
    <w:p w14:paraId="6E8FE06E" w14:textId="77777777" w:rsidR="003231AB" w:rsidRDefault="003231AB" w:rsidP="00B7025C">
      <w:pPr>
        <w:pStyle w:val="List3"/>
      </w:pPr>
      <w:r>
        <w:rPr>
          <w:szCs w:val="24"/>
        </w:rPr>
        <w:br/>
      </w:r>
      <w:r w:rsidRPr="00A82CE9">
        <w:rPr>
          <w:szCs w:val="24"/>
        </w:rPr>
        <w:t>(xiii)  Navy Shipbuilding Invoice—Fixed Price;</w:t>
      </w:r>
    </w:p>
    <w:p w14:paraId="20A1CED4" w14:textId="77777777" w:rsidR="003231AB" w:rsidRDefault="003231AB" w:rsidP="00B7025C">
      <w:pPr>
        <w:pStyle w:val="List3"/>
      </w:pPr>
      <w:r>
        <w:rPr>
          <w:szCs w:val="24"/>
        </w:rPr>
        <w:br/>
      </w:r>
      <w:r w:rsidRPr="00A82CE9">
        <w:rPr>
          <w:szCs w:val="24"/>
        </w:rPr>
        <w:t xml:space="preserve">(xiv) </w:t>
      </w:r>
      <w:r>
        <w:rPr>
          <w:szCs w:val="24"/>
        </w:rPr>
        <w:t xml:space="preserve"> Telecom Invoice (Contractual);</w:t>
      </w:r>
    </w:p>
    <w:p w14:paraId="7A886005" w14:textId="77777777" w:rsidR="003231AB" w:rsidRDefault="003231AB" w:rsidP="00B7025C">
      <w:pPr>
        <w:pStyle w:val="List3"/>
      </w:pPr>
      <w:r>
        <w:rPr>
          <w:szCs w:val="24"/>
        </w:rPr>
        <w:br/>
      </w:r>
      <w:r w:rsidRPr="00A210FF">
        <w:rPr>
          <w:szCs w:val="24"/>
        </w:rPr>
        <w:t xml:space="preserve">(xv)  </w:t>
      </w:r>
      <w:proofErr w:type="spellStart"/>
      <w:r w:rsidRPr="00A210FF">
        <w:rPr>
          <w:szCs w:val="24"/>
        </w:rPr>
        <w:t>Reparables</w:t>
      </w:r>
      <w:proofErr w:type="spellEnd"/>
      <w:r w:rsidRPr="00A210FF">
        <w:rPr>
          <w:szCs w:val="24"/>
        </w:rPr>
        <w:t xml:space="preserve"> Receiving Report;</w:t>
      </w:r>
    </w:p>
    <w:p w14:paraId="5CD8AB2E" w14:textId="77777777" w:rsidR="003231AB" w:rsidRDefault="003231AB" w:rsidP="00B7025C">
      <w:pPr>
        <w:pStyle w:val="List3"/>
      </w:pPr>
      <w:r>
        <w:rPr>
          <w:szCs w:val="24"/>
        </w:rPr>
        <w:br/>
      </w:r>
      <w:r w:rsidRPr="00A210FF">
        <w:rPr>
          <w:szCs w:val="24"/>
        </w:rPr>
        <w:t>(xvi)  Energy Invoice and Energy Receiving Report (Combo) (see paragraph (3) of this section);</w:t>
      </w:r>
    </w:p>
    <w:p w14:paraId="7F2BFE37" w14:textId="77777777" w:rsidR="003231AB" w:rsidRDefault="003231AB" w:rsidP="00B7025C">
      <w:pPr>
        <w:pStyle w:val="List3"/>
      </w:pPr>
      <w:r>
        <w:rPr>
          <w:szCs w:val="24"/>
        </w:rPr>
        <w:br/>
      </w:r>
      <w:r w:rsidRPr="00A210FF">
        <w:rPr>
          <w:szCs w:val="24"/>
        </w:rPr>
        <w:t>(xvii)  Energy Invoice (stand-alone) and Energy Receiving Report (stand-alone);</w:t>
      </w:r>
    </w:p>
    <w:p w14:paraId="55C48382" w14:textId="77777777" w:rsidR="003231AB" w:rsidRDefault="003231AB" w:rsidP="00B7025C">
      <w:pPr>
        <w:pStyle w:val="List3"/>
      </w:pPr>
      <w:r>
        <w:rPr>
          <w:szCs w:val="24"/>
        </w:rPr>
        <w:br/>
      </w:r>
      <w:r w:rsidRPr="00A210FF">
        <w:rPr>
          <w:szCs w:val="24"/>
        </w:rPr>
        <w:t xml:space="preserve">(xviii)  Construction Payment Invoice; and </w:t>
      </w:r>
    </w:p>
    <w:p w14:paraId="6EF5F20F" w14:textId="77777777" w:rsidR="003231AB" w:rsidRDefault="003231AB" w:rsidP="00B7025C">
      <w:pPr>
        <w:pStyle w:val="List3"/>
      </w:pPr>
      <w:r>
        <w:rPr>
          <w:szCs w:val="24"/>
        </w:rPr>
        <w:br/>
      </w:r>
      <w:r w:rsidRPr="00A82CE9">
        <w:rPr>
          <w:szCs w:val="24"/>
        </w:rPr>
        <w:t>(</w:t>
      </w:r>
      <w:r>
        <w:rPr>
          <w:szCs w:val="24"/>
        </w:rPr>
        <w:t>xix</w:t>
      </w:r>
      <w:r w:rsidRPr="00A82CE9">
        <w:rPr>
          <w:szCs w:val="24"/>
        </w:rPr>
        <w:t xml:space="preserve">)  </w:t>
      </w:r>
      <w:r>
        <w:rPr>
          <w:szCs w:val="24"/>
        </w:rPr>
        <w:t xml:space="preserve">Other document type, exactly as it appears in the WAWF system, as </w:t>
      </w:r>
      <w:r w:rsidRPr="00A82CE9">
        <w:rPr>
          <w:szCs w:val="24"/>
        </w:rPr>
        <w:t>mutually</w:t>
      </w:r>
      <w:r>
        <w:rPr>
          <w:szCs w:val="24"/>
        </w:rPr>
        <w:t xml:space="preserve"> </w:t>
      </w:r>
      <w:r w:rsidRPr="00A82CE9">
        <w:rPr>
          <w:szCs w:val="24"/>
        </w:rPr>
        <w:t>agreed to by the contracting parties.</w:t>
      </w:r>
    </w:p>
    <w:p w14:paraId="6C540F80" w14:textId="77777777" w:rsidR="003231AB" w:rsidRDefault="003231AB" w:rsidP="00B7025C">
      <w:pPr>
        <w:pStyle w:val="List2"/>
      </w:pPr>
      <w:r>
        <w:rPr>
          <w:szCs w:val="24"/>
        </w:rPr>
        <w:br/>
      </w:r>
      <w:r w:rsidRPr="00A82CE9">
        <w:rPr>
          <w:szCs w:val="24"/>
        </w:rPr>
        <w:t>(3)  A Combo document may be used with the stand-alone alternative, separated by “or” e.g. “(vii) Invoice and Receiving Report (Combo) or (</w:t>
      </w:r>
      <w:proofErr w:type="spellStart"/>
      <w:r w:rsidRPr="00A82CE9">
        <w:rPr>
          <w:szCs w:val="24"/>
        </w:rPr>
        <w:t>i</w:t>
      </w:r>
      <w:proofErr w:type="spellEnd"/>
      <w:r w:rsidRPr="00A82CE9">
        <w:rPr>
          <w:szCs w:val="24"/>
        </w:rPr>
        <w:t>) Invoice (stand-alone) and Receiving Report (stand-alone)”; or “(viii) Fast Pay (FAR 52.213-1) Invoice and Receiving Report Combo or (ii) Fast Pay (FAR 52.213-1) Invoice (stand-alone) and Receiving Report (stand-alone).”</w:t>
      </w:r>
    </w:p>
    <w:p w14:paraId="6FE38A9F" w14:textId="77777777" w:rsidR="003231AB" w:rsidRDefault="003231AB" w:rsidP="00B7025C">
      <w:pPr>
        <w:pStyle w:val="List2"/>
      </w:pPr>
      <w:r>
        <w:rPr>
          <w:szCs w:val="24"/>
        </w:rPr>
        <w:br/>
      </w:r>
      <w:r w:rsidRPr="00A82CE9">
        <w:rPr>
          <w:szCs w:val="24"/>
        </w:rPr>
        <w:t xml:space="preserve">(4)  Complete paragraph (f)(2) of the clause only when document types, “Invoice (stand-alone) and Receiving Report (stand-alone)” and “Invoice and Receiving Report </w:t>
      </w:r>
      <w:r w:rsidRPr="00A82CE9">
        <w:rPr>
          <w:szCs w:val="24"/>
        </w:rPr>
        <w:lastRenderedPageBreak/>
        <w:t>(Combo)” are used.  Identify the applicable inspection and acceptance locations from the clause as follows:</w:t>
      </w:r>
    </w:p>
    <w:p w14:paraId="0749EFF9" w14:textId="77777777" w:rsidR="003231AB" w:rsidRDefault="003231AB" w:rsidP="009A0C4D">
      <w:pPr>
        <w:pStyle w:val="List3"/>
      </w:pPr>
      <w:r>
        <w:br/>
      </w:r>
      <w:r w:rsidRPr="00A82CE9">
        <w:t>(</w:t>
      </w:r>
      <w:proofErr w:type="spellStart"/>
      <w:r w:rsidRPr="00A82CE9">
        <w:t>i</w:t>
      </w:r>
      <w:proofErr w:type="spellEnd"/>
      <w:r w:rsidRPr="00A82CE9">
        <w:t>)  Inspection location:  (select either “Source,” “Destination,” or “Other”).</w:t>
      </w:r>
    </w:p>
    <w:p w14:paraId="3A87E0D3" w14:textId="77777777" w:rsidR="003231AB" w:rsidRDefault="003231AB" w:rsidP="00B7025C">
      <w:pPr>
        <w:pStyle w:val="List3"/>
      </w:pPr>
      <w:r>
        <w:rPr>
          <w:szCs w:val="24"/>
        </w:rPr>
        <w:br/>
      </w:r>
      <w:r w:rsidRPr="00A82CE9">
        <w:rPr>
          <w:szCs w:val="24"/>
        </w:rPr>
        <w:t>(ii)  Acceptance location:  (select either “Source,” “Destination,” or “Other”).</w:t>
      </w:r>
    </w:p>
    <w:p w14:paraId="09C8CF6E" w14:textId="77777777" w:rsidR="003231AB" w:rsidRDefault="003231AB" w:rsidP="00B7025C">
      <w:pPr>
        <w:pStyle w:val="List2"/>
      </w:pPr>
      <w:r>
        <w:rPr>
          <w:szCs w:val="24"/>
        </w:rPr>
        <w:br/>
      </w:r>
      <w:r w:rsidRPr="00A82CE9">
        <w:rPr>
          <w:bCs/>
          <w:szCs w:val="24"/>
        </w:rPr>
        <w:t>(</w:t>
      </w:r>
      <w:r w:rsidRPr="00A82CE9">
        <w:rPr>
          <w:szCs w:val="24"/>
        </w:rPr>
        <w:t xml:space="preserve">5)  Complete paragraph (f)(3) of the clause before contract award.  Selection of applicable </w:t>
      </w:r>
      <w:proofErr w:type="spellStart"/>
      <w:r w:rsidRPr="00A82CE9">
        <w:rPr>
          <w:szCs w:val="24"/>
        </w:rPr>
        <w:t>DoDAACs</w:t>
      </w:r>
      <w:proofErr w:type="spellEnd"/>
      <w:r w:rsidRPr="00A82CE9">
        <w:rPr>
          <w:szCs w:val="24"/>
        </w:rPr>
        <w:t xml:space="preserve"> is dependent on the document type and the entitlement system used by the DoD Component.</w:t>
      </w:r>
    </w:p>
    <w:p w14:paraId="77CA5B17" w14:textId="77777777" w:rsidR="003231AB" w:rsidRDefault="003231AB" w:rsidP="009A0C4D">
      <w:pPr>
        <w:pStyle w:val="List3"/>
      </w:pPr>
      <w:r>
        <w:br/>
      </w:r>
      <w:r w:rsidRPr="00A82CE9">
        <w:t>(</w:t>
      </w:r>
      <w:proofErr w:type="spellStart"/>
      <w:r w:rsidRPr="00A82CE9">
        <w:t>i</w:t>
      </w:r>
      <w:proofErr w:type="spellEnd"/>
      <w:r w:rsidRPr="00A82CE9">
        <w:t xml:space="preserve">)  To determine applicable </w:t>
      </w:r>
      <w:proofErr w:type="spellStart"/>
      <w:r w:rsidRPr="00A82CE9">
        <w:t>DoDAACs</w:t>
      </w:r>
      <w:proofErr w:type="spellEnd"/>
      <w:r w:rsidRPr="00A82CE9">
        <w:t xml:space="preserve">, use the guidance for WAWF payment instructions at </w:t>
      </w:r>
      <w:hyperlink r:id="rId19" w:history="1">
        <w:r w:rsidRPr="00A82CE9">
          <w:rPr>
            <w:rStyle w:val="Hyperlink"/>
          </w:rPr>
          <w:t>https://wawf.eb.mil/</w:t>
        </w:r>
      </w:hyperlink>
      <w:r w:rsidRPr="00A82CE9">
        <w:t>.</w:t>
      </w:r>
    </w:p>
    <w:p w14:paraId="29158109" w14:textId="77777777" w:rsidR="003231AB" w:rsidRDefault="003231AB" w:rsidP="00B7025C">
      <w:pPr>
        <w:pStyle w:val="List3"/>
      </w:pPr>
      <w:r>
        <w:rPr>
          <w:szCs w:val="24"/>
        </w:rPr>
        <w:br/>
      </w:r>
      <w:r w:rsidRPr="00A82CE9">
        <w:rPr>
          <w:bCs/>
          <w:szCs w:val="24"/>
        </w:rPr>
        <w:t xml:space="preserve">(ii)  If a </w:t>
      </w:r>
      <w:proofErr w:type="spellStart"/>
      <w:r w:rsidRPr="00A82CE9">
        <w:rPr>
          <w:bCs/>
          <w:szCs w:val="24"/>
        </w:rPr>
        <w:t>DoDAAC</w:t>
      </w:r>
      <w:proofErr w:type="spellEnd"/>
      <w:r w:rsidRPr="00A82CE9">
        <w:rPr>
          <w:bCs/>
          <w:szCs w:val="24"/>
        </w:rPr>
        <w:t xml:space="preserve"> field is not listed in paragraph (f)(3) Routing Data Table, select “Other </w:t>
      </w:r>
      <w:proofErr w:type="spellStart"/>
      <w:r w:rsidRPr="00A82CE9">
        <w:rPr>
          <w:bCs/>
          <w:szCs w:val="24"/>
        </w:rPr>
        <w:t>DoDAAC</w:t>
      </w:r>
      <w:proofErr w:type="spellEnd"/>
      <w:r w:rsidRPr="00A82CE9">
        <w:rPr>
          <w:bCs/>
          <w:szCs w:val="24"/>
        </w:rPr>
        <w:t xml:space="preserve">(s)” and list the </w:t>
      </w:r>
      <w:proofErr w:type="spellStart"/>
      <w:r w:rsidRPr="00A82CE9">
        <w:rPr>
          <w:bCs/>
          <w:szCs w:val="24"/>
        </w:rPr>
        <w:t>DoDAAC</w:t>
      </w:r>
      <w:proofErr w:type="spellEnd"/>
      <w:r w:rsidRPr="00A82CE9">
        <w:rPr>
          <w:bCs/>
          <w:szCs w:val="24"/>
        </w:rPr>
        <w:t xml:space="preserve"> field name(s) as  they appear in the WAWF system and applicable </w:t>
      </w:r>
      <w:proofErr w:type="spellStart"/>
      <w:r w:rsidRPr="00A82CE9">
        <w:rPr>
          <w:bCs/>
          <w:szCs w:val="24"/>
        </w:rPr>
        <w:t>DoDAAC</w:t>
      </w:r>
      <w:proofErr w:type="spellEnd"/>
      <w:r w:rsidRPr="00A82CE9">
        <w:rPr>
          <w:bCs/>
          <w:szCs w:val="24"/>
        </w:rPr>
        <w:t>(s).</w:t>
      </w:r>
    </w:p>
    <w:p w14:paraId="3903FD87" w14:textId="77777777" w:rsidR="003231AB" w:rsidRDefault="003231AB" w:rsidP="00B7025C">
      <w:pPr>
        <w:pStyle w:val="List3"/>
      </w:pPr>
      <w:r>
        <w:rPr>
          <w:bCs/>
          <w:szCs w:val="24"/>
        </w:rPr>
        <w:br/>
      </w:r>
      <w:r w:rsidRPr="00A82CE9">
        <w:rPr>
          <w:bCs/>
          <w:szCs w:val="24"/>
        </w:rPr>
        <w:t xml:space="preserve">(iii)  When multiple “Ship to” and inspection/acceptance locations” (i.e. </w:t>
      </w:r>
      <w:proofErr w:type="spellStart"/>
      <w:r w:rsidRPr="00A82CE9">
        <w:rPr>
          <w:bCs/>
          <w:szCs w:val="24"/>
        </w:rPr>
        <w:t>DoDAACs</w:t>
      </w:r>
      <w:proofErr w:type="spellEnd"/>
      <w:r w:rsidRPr="00A82CE9">
        <w:rPr>
          <w:bCs/>
          <w:szCs w:val="24"/>
        </w:rPr>
        <w:t xml:space="preserve">) exist, enter “See schedule.”  The corresponding schedule in the contract/order must cite all applicable </w:t>
      </w:r>
      <w:proofErr w:type="spellStart"/>
      <w:r w:rsidRPr="00A82CE9">
        <w:rPr>
          <w:bCs/>
          <w:szCs w:val="24"/>
        </w:rPr>
        <w:t>DoDAACs</w:t>
      </w:r>
      <w:proofErr w:type="spellEnd"/>
      <w:r w:rsidRPr="00A82CE9">
        <w:rPr>
          <w:bCs/>
          <w:szCs w:val="24"/>
        </w:rPr>
        <w:t>.</w:t>
      </w:r>
    </w:p>
    <w:p w14:paraId="6921F3EA" w14:textId="77777777" w:rsidR="003231AB" w:rsidRDefault="003231AB" w:rsidP="00B7025C">
      <w:r>
        <w:rPr>
          <w:bCs/>
          <w:szCs w:val="24"/>
        </w:rPr>
        <w:br/>
      </w:r>
      <w:r w:rsidRPr="00A82CE9">
        <w:rPr>
          <w:bCs/>
          <w:szCs w:val="24"/>
        </w:rPr>
        <w:t>(iv)</w:t>
      </w:r>
      <w:r w:rsidRPr="00A82CE9">
        <w:rPr>
          <w:bCs/>
          <w:szCs w:val="24"/>
        </w:rPr>
        <w:tab/>
        <w:t xml:space="preserve">Validate </w:t>
      </w:r>
      <w:proofErr w:type="spellStart"/>
      <w:r w:rsidRPr="00A82CE9">
        <w:rPr>
          <w:bCs/>
          <w:szCs w:val="24"/>
        </w:rPr>
        <w:t>DoDAACs</w:t>
      </w:r>
      <w:proofErr w:type="spellEnd"/>
      <w:r w:rsidRPr="00A82CE9">
        <w:rPr>
          <w:bCs/>
          <w:szCs w:val="24"/>
        </w:rPr>
        <w:t xml:space="preserve"> using the following resources:</w:t>
      </w:r>
    </w:p>
    <w:p w14:paraId="569749F9" w14:textId="77777777" w:rsidR="003231AB" w:rsidRDefault="003231AB" w:rsidP="00B7025C">
      <w:pPr>
        <w:pStyle w:val="List4"/>
      </w:pPr>
      <w:r>
        <w:br/>
      </w:r>
      <w:r w:rsidRPr="00A82CE9">
        <w:t xml:space="preserve">(A)  For inspector, acceptor and local processing office roles, use </w:t>
      </w:r>
      <w:hyperlink r:id="rId20" w:history="1">
        <w:r w:rsidRPr="00A82CE9">
          <w:rPr>
            <w:rStyle w:val="Hyperlink"/>
            <w:bCs/>
            <w:szCs w:val="24"/>
          </w:rPr>
          <w:t>https://wawf.eb.mil/</w:t>
        </w:r>
      </w:hyperlink>
      <w:r w:rsidRPr="00A82CE9">
        <w:t xml:space="preserve"> and click on the “Active </w:t>
      </w:r>
      <w:proofErr w:type="spellStart"/>
      <w:r w:rsidRPr="00A82CE9">
        <w:t>DoDAACs</w:t>
      </w:r>
      <w:proofErr w:type="spellEnd"/>
      <w:r w:rsidRPr="00A82CE9">
        <w:t xml:space="preserve"> &amp; Roles link” in the “Help” section on the home page to validate active </w:t>
      </w:r>
      <w:proofErr w:type="spellStart"/>
      <w:r w:rsidRPr="00A82CE9">
        <w:t>DoDAACs</w:t>
      </w:r>
      <w:proofErr w:type="spellEnd"/>
      <w:r w:rsidRPr="00A82CE9">
        <w:t xml:space="preserve"> and user roles in WAWF.</w:t>
      </w:r>
    </w:p>
    <w:p w14:paraId="04FDB9DD" w14:textId="77777777" w:rsidR="003231AB" w:rsidRDefault="003231AB" w:rsidP="00B7025C">
      <w:pPr>
        <w:pStyle w:val="List4"/>
      </w:pPr>
      <w:r>
        <w:rPr>
          <w:bCs/>
          <w:szCs w:val="24"/>
        </w:rPr>
        <w:br/>
      </w:r>
      <w:r w:rsidRPr="00A82CE9">
        <w:rPr>
          <w:bCs/>
          <w:szCs w:val="24"/>
        </w:rPr>
        <w:t xml:space="preserve">(B)  For all other </w:t>
      </w:r>
      <w:proofErr w:type="spellStart"/>
      <w:r w:rsidRPr="00A82CE9">
        <w:rPr>
          <w:bCs/>
          <w:szCs w:val="24"/>
        </w:rPr>
        <w:t>DoDAACs</w:t>
      </w:r>
      <w:proofErr w:type="spellEnd"/>
      <w:r w:rsidRPr="00A82CE9">
        <w:rPr>
          <w:bCs/>
          <w:szCs w:val="24"/>
        </w:rPr>
        <w:t xml:space="preserve">, use </w:t>
      </w:r>
      <w:hyperlink r:id="rId21" w:history="1">
        <w:r w:rsidRPr="00A82CE9">
          <w:rPr>
            <w:rStyle w:val="Hyperlink"/>
            <w:bCs/>
            <w:szCs w:val="24"/>
          </w:rPr>
          <w:t>https://www.daas.dla.mil/daasinq/</w:t>
        </w:r>
      </w:hyperlink>
      <w:r w:rsidRPr="00A82CE9">
        <w:rPr>
          <w:bCs/>
          <w:szCs w:val="24"/>
        </w:rPr>
        <w:t>.</w:t>
      </w:r>
    </w:p>
    <w:p w14:paraId="14D0160D" w14:textId="77777777" w:rsidR="003231AB" w:rsidRDefault="003231AB" w:rsidP="00B7025C">
      <w:pPr>
        <w:pStyle w:val="List2"/>
      </w:pPr>
      <w:r>
        <w:rPr>
          <w:bCs/>
          <w:szCs w:val="24"/>
        </w:rPr>
        <w:br/>
      </w:r>
      <w:r w:rsidRPr="00A82CE9">
        <w:rPr>
          <w:bCs/>
          <w:szCs w:val="24"/>
        </w:rPr>
        <w:t>(6)  Complete paragraph (f)(5) by entering e-mail addresses of other Government personnel requiring status of the payment request, if applicable.</w:t>
      </w:r>
    </w:p>
    <w:p w14:paraId="0DEA9E22" w14:textId="77777777" w:rsidR="003231AB" w:rsidRDefault="003231AB" w:rsidP="00B7025C">
      <w:pPr>
        <w:pStyle w:val="List2"/>
      </w:pPr>
      <w:r>
        <w:rPr>
          <w:bCs/>
          <w:szCs w:val="24"/>
        </w:rPr>
        <w:br/>
      </w:r>
      <w:r w:rsidRPr="00A82CE9">
        <w:rPr>
          <w:bCs/>
          <w:szCs w:val="24"/>
        </w:rPr>
        <w:t>(7)  Complete paragraph (</w:t>
      </w:r>
      <w:r>
        <w:rPr>
          <w:bCs/>
          <w:szCs w:val="24"/>
        </w:rPr>
        <w:t>g</w:t>
      </w:r>
      <w:r w:rsidRPr="00A82CE9">
        <w:rPr>
          <w:bCs/>
          <w:szCs w:val="24"/>
        </w:rPr>
        <w:t xml:space="preserve">) by entering the WAWF point of contact information, if </w:t>
      </w:r>
    </w:p>
    <w:p w14:paraId="7CC134AC" w14:textId="77777777" w:rsidR="003231AB" w:rsidRDefault="003231AB" w:rsidP="00B7025C">
      <w:r w:rsidRPr="00A82CE9">
        <w:rPr>
          <w:bCs/>
          <w:szCs w:val="24"/>
        </w:rPr>
        <w:t>applicable.</w:t>
      </w:r>
    </w:p>
    <w:p w14:paraId="1B0E9EC7" w14:textId="77777777" w:rsidR="003231AB" w:rsidRPr="006446FC" w:rsidRDefault="003231AB" w:rsidP="00B7025C">
      <w:r>
        <w:lastRenderedPageBreak/>
        <w:br/>
      </w:r>
    </w:p>
    <w:p w14:paraId="1AEDE82D" w14:textId="77777777" w:rsidR="003231AB" w:rsidRDefault="003231AB">
      <w:pPr>
        <w:sectPr w:rsidR="003231AB" w:rsidSect="00C45B7E">
          <w:headerReference w:type="default" r:id="rId22"/>
          <w:footerReference w:type="default" r:id="rId23"/>
          <w:pgSz w:w="12240" w:h="15840"/>
          <w:pgMar w:top="1440" w:right="1440" w:bottom="1440" w:left="1440" w:header="720" w:footer="720" w:gutter="0"/>
          <w:cols w:space="720"/>
          <w:docGrid w:linePitch="360"/>
        </w:sectPr>
      </w:pPr>
    </w:p>
    <w:p w14:paraId="33F0BC72" w14:textId="77777777" w:rsidR="003231AB" w:rsidRDefault="003231AB" w:rsidP="00E16C61">
      <w:pPr>
        <w:jc w:val="center"/>
      </w:pPr>
      <w:r w:rsidRPr="006446FC">
        <w:rPr>
          <w:i/>
          <w:szCs w:val="24"/>
        </w:rPr>
        <w:lastRenderedPageBreak/>
        <w:t>(Revised December 1, 2006)</w:t>
      </w:r>
    </w:p>
    <w:p w14:paraId="357A40CC" w14:textId="77777777" w:rsidR="003231AB" w:rsidRDefault="003231AB" w:rsidP="00E16C61">
      <w:pPr>
        <w:rPr>
          <w:b/>
        </w:rPr>
      </w:pPr>
      <w:r>
        <w:br/>
      </w:r>
      <w:r w:rsidRPr="006446FC">
        <w:rPr>
          <w:b/>
        </w:rPr>
        <w:t xml:space="preserve">PGI 232.71—LEVIES ON CONTRACT PAYMENTS            </w:t>
      </w:r>
    </w:p>
    <w:p w14:paraId="2E14B4B7" w14:textId="77777777" w:rsidR="003231AB" w:rsidRDefault="003231AB" w:rsidP="00E16C61">
      <w:pPr>
        <w:pStyle w:val="Heading3"/>
      </w:pPr>
      <w:r>
        <w:rPr>
          <w:b/>
          <w:szCs w:val="24"/>
        </w:rPr>
        <w:br/>
      </w:r>
      <w:bookmarkStart w:id="42" w:name="_Toc37415842"/>
      <w:bookmarkStart w:id="43" w:name="_Toc37677669"/>
      <w:bookmarkStart w:id="44" w:name="_Toc37756473"/>
      <w:r w:rsidRPr="006446FC">
        <w:rPr>
          <w:b/>
          <w:szCs w:val="24"/>
        </w:rPr>
        <w:t>PGI 232.7101  Policy and procedures.</w:t>
      </w:r>
      <w:bookmarkEnd w:id="42"/>
      <w:bookmarkEnd w:id="43"/>
      <w:bookmarkEnd w:id="44"/>
      <w:r w:rsidRPr="006446FC">
        <w:rPr>
          <w:b/>
          <w:szCs w:val="24"/>
        </w:rPr>
        <w:t xml:space="preserve">      </w:t>
      </w:r>
    </w:p>
    <w:p w14:paraId="6B65ABD1" w14:textId="77777777" w:rsidR="003231AB" w:rsidRDefault="003231AB" w:rsidP="006446FC">
      <w:pPr>
        <w:pStyle w:val="NormalWeb"/>
        <w:widowControl w:val="0"/>
        <w:tabs>
          <w:tab w:val="left" w:pos="360"/>
        </w:tabs>
        <w:spacing w:before="0" w:beforeAutospacing="0" w:after="0" w:afterAutospacing="0"/>
      </w:pPr>
      <w:r>
        <w:rPr>
          <w:b w:val="0"/>
        </w:rPr>
        <w:br/>
      </w:r>
      <w:r w:rsidRPr="006446FC">
        <w:rPr>
          <w:i/>
        </w:rPr>
        <w:tab/>
        <w:t>Background</w:t>
      </w:r>
      <w:r w:rsidRPr="006446FC">
        <w:t>.  The Internal Revenue Service (IRS) is authorized to collect overdue taxes through a continuous levy up to 100 percent of the debt on certain vendor contract payments disbursed by the Defense Finance and Accounting Service.  The levy is continuous until the overdue taxes are paid in full, or other arrangements are made to satisfy the debt.  Contractors are required to promptly notify the procuring contracting officer when a tax levy that may result in an inability to perform the contract is imposed, so that the contracting officer and the Director, Defense Procurement and Acquisition Policy (DPAP), can take appropriate action to mitigate any possible adverse effect on national security.</w:t>
      </w:r>
    </w:p>
    <w:p w14:paraId="367D5AE0" w14:textId="77777777" w:rsidR="003231AB" w:rsidRDefault="003231AB" w:rsidP="00E16C61">
      <w:pPr>
        <w:pStyle w:val="List1"/>
      </w:pPr>
      <w:r>
        <w:br/>
      </w:r>
      <w:r w:rsidRPr="006446FC">
        <w:t xml:space="preserve">(b)  </w:t>
      </w:r>
      <w:r w:rsidRPr="006446FC">
        <w:rPr>
          <w:i/>
        </w:rPr>
        <w:t>Procuring contracting officer procedures for reviewing the contractor’s rationale and submitting the required documentation</w:t>
      </w:r>
      <w:r w:rsidRPr="006446FC">
        <w:t xml:space="preserve">.  </w:t>
      </w:r>
    </w:p>
    <w:p w14:paraId="02141739" w14:textId="77777777" w:rsidR="003231AB" w:rsidRDefault="003231AB" w:rsidP="00F41C63">
      <w:pPr>
        <w:pStyle w:val="List3"/>
      </w:pPr>
      <w:r>
        <w:br/>
      </w:r>
      <w:r w:rsidRPr="006446FC">
        <w:t>(</w:t>
      </w:r>
      <w:proofErr w:type="spellStart"/>
      <w:r w:rsidRPr="006446FC">
        <w:t>i</w:t>
      </w:r>
      <w:proofErr w:type="spellEnd"/>
      <w:r w:rsidRPr="006446FC">
        <w:t>)  When the procuring contracting officer receives notification from the contractor that the tax levy may result in an inability to perform</w:t>
      </w:r>
      <w:r>
        <w:t xml:space="preserve"> the contract</w:t>
      </w:r>
      <w:r w:rsidRPr="006446FC">
        <w:t>, the procuring contracting officer shall promptly review the contractor’s assessment and either agree or disagree that the levy may result in an inability to perform.  The procuring contracting officer shall alert the administrative contracting officer and the cognizant contract auditor when a notice of levy has been received, and shall obtain any necessary assistance from the administrative contracting officer or contract auditor when performing this review.</w:t>
      </w:r>
    </w:p>
    <w:p w14:paraId="57CBA2FF" w14:textId="77777777" w:rsidR="003231AB" w:rsidRDefault="003231AB" w:rsidP="00E16C61">
      <w:pPr>
        <w:pStyle w:val="List3"/>
      </w:pPr>
      <w:r>
        <w:br/>
      </w:r>
      <w:r w:rsidRPr="006446FC">
        <w:t>(ii)  If the procuring contracting officer does not agree with the contractor’s assessment, the procuring contracting officer shall notify the contractor of this determination and no further action will be taken.</w:t>
      </w:r>
    </w:p>
    <w:p w14:paraId="3A3900CF" w14:textId="77777777" w:rsidR="003231AB" w:rsidRDefault="003231AB" w:rsidP="00E16C61">
      <w:pPr>
        <w:pStyle w:val="List3"/>
      </w:pPr>
      <w:r>
        <w:br/>
      </w:r>
      <w:r w:rsidRPr="006446FC">
        <w:t xml:space="preserve">(iii)  If the procuring contracting officer agrees with the contractor’s assessment that </w:t>
      </w:r>
      <w:r w:rsidRPr="006446FC">
        <w:lastRenderedPageBreak/>
        <w:t>the levy may result in an inability to perform the contract, the procuring contracting officer shall document, in writing, whether the inability to perform—</w:t>
      </w:r>
    </w:p>
    <w:p w14:paraId="37E0CC75" w14:textId="77777777" w:rsidR="003231AB" w:rsidRDefault="003231AB" w:rsidP="00E16C61">
      <w:pPr>
        <w:pStyle w:val="List4"/>
      </w:pPr>
      <w:r>
        <w:br/>
      </w:r>
      <w:r w:rsidRPr="0038700C">
        <w:t>(A)  Adversely affects national security; and/or</w:t>
      </w:r>
    </w:p>
    <w:p w14:paraId="46107461" w14:textId="77777777" w:rsidR="003231AB" w:rsidRDefault="003231AB" w:rsidP="00E16C61">
      <w:pPr>
        <w:pStyle w:val="List4"/>
      </w:pPr>
      <w:r>
        <w:br/>
      </w:r>
      <w:r w:rsidRPr="0038700C">
        <w:t>(B)  Will result in significant additional costs to the Government (e.g., cost of</w:t>
      </w:r>
      <w:r w:rsidRPr="006446FC">
        <w:t xml:space="preserve"> re-procurement, loss of contract financing payments when the product produced to date is not salvageable).</w:t>
      </w:r>
    </w:p>
    <w:p w14:paraId="004D78D8" w14:textId="77777777" w:rsidR="003231AB" w:rsidRDefault="003231AB" w:rsidP="00E16C61">
      <w:pPr>
        <w:pStyle w:val="List3"/>
      </w:pPr>
      <w:r>
        <w:br/>
      </w:r>
      <w:r w:rsidRPr="006446FC">
        <w:t>(iv)  If the procuring contracting officer believes that the levy will impact national security and/or result in significant additional costs to DoD, the procuring contracting officer shall, in accordance with agency procedures, promptly notify the Director, DPAP, by e-mail or facsimile.  The notification to the Director, DPAP, shall include—</w:t>
      </w:r>
    </w:p>
    <w:p w14:paraId="3721B483" w14:textId="77777777" w:rsidR="003231AB" w:rsidRDefault="003231AB" w:rsidP="00E16C61">
      <w:pPr>
        <w:pStyle w:val="List4"/>
      </w:pPr>
      <w:r>
        <w:br/>
      </w:r>
      <w:r w:rsidRPr="006446FC">
        <w:t>(A)  The rationale supporting the recommendation that the levy may result in an inability to perform the contract;</w:t>
      </w:r>
    </w:p>
    <w:p w14:paraId="2316C85B" w14:textId="77777777" w:rsidR="003231AB" w:rsidRDefault="003231AB" w:rsidP="00E16C61">
      <w:pPr>
        <w:pStyle w:val="List4"/>
      </w:pPr>
      <w:r>
        <w:br/>
      </w:r>
      <w:r w:rsidRPr="006446FC">
        <w:t>(B)  A description of the adverse effect on national security, if applicable; and</w:t>
      </w:r>
    </w:p>
    <w:p w14:paraId="3C1106DA" w14:textId="77777777" w:rsidR="003231AB" w:rsidRDefault="003231AB" w:rsidP="00E16C61">
      <w:pPr>
        <w:pStyle w:val="List4"/>
      </w:pPr>
      <w:r>
        <w:br/>
      </w:r>
      <w:r w:rsidRPr="006446FC">
        <w:t>(C)  A description and estimate of the additional costs to the Government, if applicable.  Since prompt notification to the Director, DPAP, is essential, the procuring contracting officer should not delay the notification while trying to achieve more precise data.</w:t>
      </w:r>
    </w:p>
    <w:p w14:paraId="7440B115" w14:textId="77777777" w:rsidR="003231AB" w:rsidRDefault="003231AB" w:rsidP="00E16C61">
      <w:pPr>
        <w:pStyle w:val="List1"/>
      </w:pPr>
      <w:r>
        <w:br/>
      </w:r>
      <w:r w:rsidRPr="00EC2AAE">
        <w:t xml:space="preserve">(c)  </w:t>
      </w:r>
      <w:r w:rsidRPr="00EC2AAE">
        <w:rPr>
          <w:i/>
        </w:rPr>
        <w:t xml:space="preserve">Director, DPAP, </w:t>
      </w:r>
      <w:r>
        <w:rPr>
          <w:i/>
        </w:rPr>
        <w:t>p</w:t>
      </w:r>
      <w:r w:rsidRPr="00EC2AAE">
        <w:rPr>
          <w:i/>
        </w:rPr>
        <w:t>rocedures</w:t>
      </w:r>
      <w:r w:rsidRPr="00EC2AAE">
        <w:t xml:space="preserve">.  The Director, DPAP, will promptly </w:t>
      </w:r>
      <w:r>
        <w:t xml:space="preserve">evaluate </w:t>
      </w:r>
      <w:r w:rsidRPr="00EC2AAE">
        <w:t xml:space="preserve">the </w:t>
      </w:r>
      <w:r>
        <w:t xml:space="preserve">procuring </w:t>
      </w:r>
      <w:r w:rsidRPr="00EC2AAE">
        <w:t xml:space="preserve">contracting officer’s notification package. </w:t>
      </w:r>
    </w:p>
    <w:p w14:paraId="70D6754D" w14:textId="77777777" w:rsidR="003231AB" w:rsidRDefault="003231AB" w:rsidP="00F41C63">
      <w:pPr>
        <w:pStyle w:val="List3"/>
      </w:pPr>
      <w:r>
        <w:br/>
        <w:t>(</w:t>
      </w:r>
      <w:proofErr w:type="spellStart"/>
      <w:r>
        <w:t>i</w:t>
      </w:r>
      <w:proofErr w:type="spellEnd"/>
      <w:r>
        <w:t>)  If the Director, DPAP, disagrees with the recommendation of the procuring contracting officer, the Director, DPAP, will notify the procuring contracting officer through the same agency channels that were used for submission of the notification.</w:t>
      </w:r>
    </w:p>
    <w:p w14:paraId="6E5F02C8" w14:textId="77777777" w:rsidR="003231AB" w:rsidRDefault="003231AB" w:rsidP="00E16C61">
      <w:pPr>
        <w:pStyle w:val="List3"/>
      </w:pPr>
      <w:r>
        <w:br/>
        <w:t>(ii)  If the Director, DPAP, agrees with the recommendation of the procuring contracting officer—</w:t>
      </w:r>
    </w:p>
    <w:p w14:paraId="4DFA9D94" w14:textId="77777777" w:rsidR="003231AB" w:rsidRDefault="003231AB" w:rsidP="00E16C61">
      <w:pPr>
        <w:pStyle w:val="List4"/>
      </w:pPr>
      <w:r>
        <w:br/>
        <w:t>(A)  When there is an adverse effect on national security, the Director, DPAP, will notify the payment office, the IRS</w:t>
      </w:r>
      <w:r w:rsidRPr="00EC2AAE">
        <w:t xml:space="preserve">, and the </w:t>
      </w:r>
      <w:r>
        <w:t xml:space="preserve">procuring </w:t>
      </w:r>
      <w:r w:rsidRPr="00EC2AAE">
        <w:t>contracting officer that the total amount of the levy should be promptly returned to the contractor</w:t>
      </w:r>
      <w:r>
        <w:t>; or</w:t>
      </w:r>
    </w:p>
    <w:p w14:paraId="227C1866" w14:textId="77777777" w:rsidR="003231AB" w:rsidRDefault="003231AB" w:rsidP="00E16C61">
      <w:pPr>
        <w:pStyle w:val="List4"/>
      </w:pPr>
      <w:r>
        <w:lastRenderedPageBreak/>
        <w:br/>
        <w:t xml:space="preserve">(B)  When there </w:t>
      </w:r>
      <w:r w:rsidRPr="00EC2AAE">
        <w:t xml:space="preserve">is not an adverse </w:t>
      </w:r>
      <w:r>
        <w:t>e</w:t>
      </w:r>
      <w:r w:rsidRPr="00EC2AAE">
        <w:t xml:space="preserve">ffect on national security but the levy will result in significant additional costs to DoD, </w:t>
      </w:r>
      <w:r>
        <w:t>the Director, DPAP, will</w:t>
      </w:r>
      <w:r w:rsidRPr="00EC2AAE">
        <w:t xml:space="preserve"> promptly notify the </w:t>
      </w:r>
      <w:r>
        <w:t xml:space="preserve">procuring </w:t>
      </w:r>
      <w:r w:rsidRPr="00EC2AAE">
        <w:t xml:space="preserve">contracting officer and the IRS.  </w:t>
      </w:r>
      <w:r>
        <w:t>The Director, DPAP, notification to the IRS will-</w:t>
      </w:r>
    </w:p>
    <w:p w14:paraId="0DC0CE89" w14:textId="77777777" w:rsidR="003231AB" w:rsidRDefault="003231AB" w:rsidP="00E16C61">
      <w:pPr>
        <w:pStyle w:val="List6"/>
      </w:pPr>
      <w:r>
        <w:br/>
      </w:r>
      <w:r w:rsidRPr="00186334">
        <w:rPr>
          <w:i/>
        </w:rPr>
        <w:t>(</w:t>
      </w:r>
      <w:r>
        <w:rPr>
          <w:i/>
        </w:rPr>
        <w:t>1</w:t>
      </w:r>
      <w:r w:rsidRPr="00186334">
        <w:rPr>
          <w:i/>
        </w:rPr>
        <w:t>)</w:t>
      </w:r>
      <w:r>
        <w:t xml:space="preserve">  State that the procuring contracting officer has notified the contractor and has recommended that the contractor contact the IRS to resolve the situation;</w:t>
      </w:r>
    </w:p>
    <w:p w14:paraId="38C00A34" w14:textId="77777777" w:rsidR="003231AB" w:rsidRDefault="003231AB" w:rsidP="00E16C61">
      <w:pPr>
        <w:pStyle w:val="List6"/>
      </w:pPr>
      <w:r>
        <w:br/>
      </w:r>
      <w:r w:rsidRPr="00186334">
        <w:rPr>
          <w:i/>
        </w:rPr>
        <w:t>(</w:t>
      </w:r>
      <w:r>
        <w:rPr>
          <w:i/>
        </w:rPr>
        <w:t>2</w:t>
      </w:r>
      <w:r w:rsidRPr="00186334">
        <w:rPr>
          <w:i/>
        </w:rPr>
        <w:t>)</w:t>
      </w:r>
      <w:r>
        <w:t xml:space="preserve">  Request that the IRS expedite resolution of the situation with the contractor; and</w:t>
      </w:r>
    </w:p>
    <w:p w14:paraId="3A543BB7" w14:textId="77777777" w:rsidR="003231AB" w:rsidRDefault="003231AB" w:rsidP="00E16C61">
      <w:pPr>
        <w:pStyle w:val="List6"/>
      </w:pPr>
      <w:r>
        <w:br/>
      </w:r>
      <w:r w:rsidRPr="00186334">
        <w:rPr>
          <w:i/>
        </w:rPr>
        <w:t>(</w:t>
      </w:r>
      <w:r>
        <w:rPr>
          <w:i/>
        </w:rPr>
        <w:t>3</w:t>
      </w:r>
      <w:r w:rsidRPr="00186334">
        <w:rPr>
          <w:i/>
        </w:rPr>
        <w:t>)</w:t>
      </w:r>
      <w:r w:rsidRPr="003053ED">
        <w:t xml:space="preserve">  Include an estimate of additional costs to DoD that will result if the contractor is unable to perform on the contract.</w:t>
      </w:r>
    </w:p>
    <w:p w14:paraId="4C83B89E" w14:textId="77777777" w:rsidR="003231AB" w:rsidRDefault="003231AB" w:rsidP="00E16C61">
      <w:pPr>
        <w:pStyle w:val="List1"/>
      </w:pPr>
      <w:r>
        <w:br/>
        <w:t xml:space="preserve">(d)  </w:t>
      </w:r>
      <w:r w:rsidRPr="00BE7F1F">
        <w:rPr>
          <w:i/>
        </w:rPr>
        <w:t>Procuring contracting officer procedures for notifying the contractor of the decision of the Director, DPAP</w:t>
      </w:r>
      <w:r>
        <w:t>.  The procuring contracting officer shall promptly notify the contractor, in writing, of the decision made by the Director, DPAP, including the actions to be taken (if any).</w:t>
      </w:r>
    </w:p>
    <w:p w14:paraId="744E56C5" w14:textId="77777777" w:rsidR="003231AB" w:rsidRPr="006446FC" w:rsidRDefault="003231AB" w:rsidP="006446FC">
      <w:pPr>
        <w:pStyle w:val="NormalWeb"/>
        <w:widowControl w:val="0"/>
        <w:tabs>
          <w:tab w:val="left" w:pos="360"/>
        </w:tabs>
        <w:spacing w:before="0" w:beforeAutospacing="0" w:after="0" w:afterAutospacing="0"/>
      </w:pPr>
      <w:r>
        <w:br/>
      </w:r>
    </w:p>
    <w:p w14:paraId="7C63A771" w14:textId="77777777" w:rsidR="00850595" w:rsidRDefault="00850595"/>
    <w:sectPr w:rsidR="00850595" w:rsidSect="007179D4">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79511" w14:textId="77777777" w:rsidR="00014652" w:rsidRDefault="00014652">
      <w:pPr>
        <w:spacing w:after="0" w:line="240" w:lineRule="auto"/>
      </w:pPr>
      <w:r>
        <w:separator/>
      </w:r>
    </w:p>
  </w:endnote>
  <w:endnote w:type="continuationSeparator" w:id="0">
    <w:p w14:paraId="1B64DDC2" w14:textId="77777777" w:rsidR="00014652" w:rsidRDefault="00014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33933" w14:textId="77777777" w:rsidR="00383905" w:rsidRDefault="00014652">
    <w:pPr>
      <w:pStyle w:val="Footer"/>
      <w:rPr>
        <w:rFonts w:ascii="Century Schoolbook" w:hAnsi="Century Schoolbook"/>
        <w:sz w:val="20"/>
      </w:rPr>
    </w:pPr>
  </w:p>
  <w:p w14:paraId="15963C5C" w14:textId="77777777" w:rsidR="00383905" w:rsidRDefault="00014652">
    <w:pPr>
      <w:pStyle w:val="Footer"/>
      <w:tabs>
        <w:tab w:val="clear" w:pos="8640"/>
      </w:tabs>
      <w:rPr>
        <w:rFonts w:ascii="Century Schoolbook" w:hAnsi="Century Schoolbook"/>
        <w:b/>
        <w:sz w:val="20"/>
      </w:rPr>
    </w:pPr>
  </w:p>
  <w:p w14:paraId="3F965F4D" w14:textId="77777777" w:rsidR="00383905" w:rsidRPr="00BC71C0" w:rsidRDefault="003231A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2</w:t>
    </w:r>
    <w:r w:rsidRPr="00BC71C0">
      <w:rPr>
        <w:szCs w:val="22"/>
      </w:rPr>
      <w:t>.</w:t>
    </w:r>
    <w:r>
      <w:rPr>
        <w:szCs w:val="22"/>
      </w:rPr>
      <w:t>0</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4F20" w14:textId="77777777" w:rsidR="00627D8F" w:rsidRDefault="00014652">
    <w:pPr>
      <w:pStyle w:val="Footer"/>
      <w:rPr>
        <w:rFonts w:ascii="Century Schoolbook" w:hAnsi="Century Schoolbook"/>
        <w:sz w:val="20"/>
      </w:rPr>
    </w:pPr>
  </w:p>
  <w:p w14:paraId="14027803" w14:textId="77777777" w:rsidR="00627D8F" w:rsidRDefault="00014652">
    <w:pPr>
      <w:pStyle w:val="Footer"/>
      <w:tabs>
        <w:tab w:val="clear" w:pos="8640"/>
      </w:tabs>
      <w:rPr>
        <w:rFonts w:ascii="Century Schoolbook" w:hAnsi="Century Schoolbook"/>
        <w:b/>
        <w:sz w:val="20"/>
      </w:rPr>
    </w:pPr>
  </w:p>
  <w:p w14:paraId="3DC2C875" w14:textId="77777777" w:rsidR="00627D8F" w:rsidRPr="00BC71C0" w:rsidRDefault="003231A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2</w:t>
    </w:r>
    <w:r w:rsidRPr="00BC71C0">
      <w:rPr>
        <w:szCs w:val="22"/>
      </w:rPr>
      <w:t>.</w:t>
    </w:r>
    <w:r>
      <w:rPr>
        <w:szCs w:val="22"/>
      </w:rPr>
      <w:t>4</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6EB4B" w14:textId="77777777" w:rsidR="006E41EF" w:rsidRDefault="00014652">
    <w:pPr>
      <w:pStyle w:val="Footer"/>
      <w:rPr>
        <w:rFonts w:ascii="Century Schoolbook" w:hAnsi="Century Schoolbook"/>
        <w:sz w:val="20"/>
      </w:rPr>
    </w:pPr>
  </w:p>
  <w:p w14:paraId="561D6932" w14:textId="77777777" w:rsidR="006E41EF" w:rsidRDefault="00014652">
    <w:pPr>
      <w:pStyle w:val="Footer"/>
      <w:tabs>
        <w:tab w:val="clear" w:pos="8640"/>
      </w:tabs>
      <w:rPr>
        <w:rFonts w:ascii="Century Schoolbook" w:hAnsi="Century Schoolbook"/>
        <w:b/>
        <w:sz w:val="20"/>
      </w:rPr>
    </w:pPr>
  </w:p>
  <w:p w14:paraId="415991E9" w14:textId="77777777" w:rsidR="006E41EF" w:rsidRPr="00BC71C0" w:rsidRDefault="003231A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2</w:t>
    </w:r>
    <w:r w:rsidRPr="00BC71C0">
      <w:rPr>
        <w:szCs w:val="22"/>
      </w:rPr>
      <w:t>.</w:t>
    </w:r>
    <w:r>
      <w:rPr>
        <w:szCs w:val="22"/>
      </w:rPr>
      <w:t>5</w:t>
    </w:r>
    <w:r w:rsidRPr="00BC71C0">
      <w:rPr>
        <w:szCs w:val="22"/>
      </w:rPr>
      <w:t>-</w:t>
    </w:r>
    <w:r w:rsidRPr="00BC71C0">
      <w:rPr>
        <w:szCs w:val="22"/>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C1F02" w14:textId="77777777" w:rsidR="005F3EF3" w:rsidRDefault="00014652">
    <w:pPr>
      <w:pStyle w:val="Footer"/>
      <w:rPr>
        <w:rFonts w:ascii="Century Schoolbook" w:hAnsi="Century Schoolbook"/>
        <w:sz w:val="20"/>
      </w:rPr>
    </w:pPr>
  </w:p>
  <w:p w14:paraId="4B2E5B54" w14:textId="77777777" w:rsidR="005F3EF3" w:rsidRDefault="00014652">
    <w:pPr>
      <w:pStyle w:val="Footer"/>
      <w:tabs>
        <w:tab w:val="clear" w:pos="8640"/>
      </w:tabs>
      <w:rPr>
        <w:rFonts w:ascii="Century Schoolbook" w:hAnsi="Century Schoolbook"/>
        <w:b/>
        <w:sz w:val="20"/>
      </w:rPr>
    </w:pPr>
  </w:p>
  <w:p w14:paraId="4C7289EB" w14:textId="77777777" w:rsidR="005F3EF3" w:rsidRPr="00BC71C0" w:rsidRDefault="003231A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2</w:t>
    </w:r>
    <w:r w:rsidRPr="00BC71C0">
      <w:rPr>
        <w:szCs w:val="22"/>
      </w:rPr>
      <w:t>.</w:t>
    </w:r>
    <w:r>
      <w:rPr>
        <w:szCs w:val="22"/>
      </w:rPr>
      <w:t>6</w:t>
    </w:r>
    <w:r w:rsidRPr="00BC71C0">
      <w:rPr>
        <w:szCs w:val="22"/>
      </w:rPr>
      <w:t>-</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36E0C" w14:textId="77777777" w:rsidR="00627D8F" w:rsidRDefault="00014652">
    <w:pPr>
      <w:pStyle w:val="Footer"/>
      <w:rPr>
        <w:rFonts w:ascii="Century Schoolbook" w:hAnsi="Century Schoolbook"/>
        <w:sz w:val="20"/>
      </w:rPr>
    </w:pPr>
  </w:p>
  <w:p w14:paraId="23E1AE2F" w14:textId="77777777" w:rsidR="00627D8F" w:rsidRDefault="00014652">
    <w:pPr>
      <w:pStyle w:val="Footer"/>
      <w:tabs>
        <w:tab w:val="clear" w:pos="8640"/>
      </w:tabs>
      <w:rPr>
        <w:rFonts w:ascii="Century Schoolbook" w:hAnsi="Century Schoolbook"/>
        <w:b/>
        <w:sz w:val="20"/>
      </w:rPr>
    </w:pPr>
  </w:p>
  <w:p w14:paraId="23E4032A" w14:textId="77777777" w:rsidR="00627D8F" w:rsidRPr="00BC71C0" w:rsidRDefault="003231A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2</w:t>
    </w:r>
    <w:r w:rsidRPr="00BC71C0">
      <w:rPr>
        <w:szCs w:val="22"/>
      </w:rPr>
      <w:t>.</w:t>
    </w:r>
    <w:r>
      <w:rPr>
        <w:szCs w:val="22"/>
      </w:rPr>
      <w:t>10</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C363B" w14:textId="77777777" w:rsidR="00402A9D" w:rsidRDefault="00014652">
    <w:pPr>
      <w:pStyle w:val="Footer"/>
      <w:rPr>
        <w:rFonts w:ascii="Century Schoolbook" w:hAnsi="Century Schoolbook"/>
        <w:sz w:val="20"/>
      </w:rPr>
    </w:pPr>
  </w:p>
  <w:p w14:paraId="51193BF1" w14:textId="77777777" w:rsidR="00402A9D" w:rsidRDefault="00014652">
    <w:pPr>
      <w:pStyle w:val="Footer"/>
      <w:tabs>
        <w:tab w:val="clear" w:pos="8640"/>
      </w:tabs>
      <w:rPr>
        <w:rFonts w:ascii="Century Schoolbook" w:hAnsi="Century Schoolbook"/>
        <w:b/>
        <w:sz w:val="20"/>
      </w:rPr>
    </w:pPr>
  </w:p>
  <w:p w14:paraId="501D6378" w14:textId="77777777" w:rsidR="00402A9D" w:rsidRPr="00BC71C0" w:rsidRDefault="003231A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2</w:t>
    </w:r>
    <w:r w:rsidRPr="00BC71C0">
      <w:rPr>
        <w:szCs w:val="22"/>
      </w:rPr>
      <w:t>.</w:t>
    </w:r>
    <w:r>
      <w:rPr>
        <w:szCs w:val="22"/>
      </w:rPr>
      <w:t>70</w:t>
    </w:r>
    <w:r w:rsidRPr="00BC71C0">
      <w:rPr>
        <w:szCs w:val="22"/>
      </w:rPr>
      <w:t>-</w:t>
    </w:r>
    <w:r w:rsidRPr="00BC71C0">
      <w:rPr>
        <w:szCs w:val="22"/>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E871D" w14:textId="77777777" w:rsidR="00BE7F1F" w:rsidRDefault="00014652">
    <w:pPr>
      <w:pStyle w:val="Footer"/>
      <w:rPr>
        <w:rFonts w:ascii="Century Schoolbook" w:hAnsi="Century Schoolbook"/>
        <w:sz w:val="20"/>
      </w:rPr>
    </w:pPr>
  </w:p>
  <w:p w14:paraId="21321391" w14:textId="77777777" w:rsidR="00BE7F1F" w:rsidRDefault="00014652">
    <w:pPr>
      <w:pStyle w:val="Footer"/>
      <w:tabs>
        <w:tab w:val="clear" w:pos="8640"/>
      </w:tabs>
      <w:rPr>
        <w:rFonts w:ascii="Century Schoolbook" w:hAnsi="Century Schoolbook"/>
        <w:b/>
        <w:sz w:val="20"/>
      </w:rPr>
    </w:pPr>
  </w:p>
  <w:p w14:paraId="192565B7" w14:textId="77777777" w:rsidR="00BE7F1F" w:rsidRPr="00BC71C0" w:rsidRDefault="003231A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2</w:t>
    </w:r>
    <w:r w:rsidRPr="00BC71C0">
      <w:rPr>
        <w:szCs w:val="22"/>
      </w:rPr>
      <w:t>.</w:t>
    </w:r>
    <w:r>
      <w:rPr>
        <w:szCs w:val="22"/>
      </w:rPr>
      <w:t>71</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E06F8" w14:textId="77777777" w:rsidR="00014652" w:rsidRDefault="00014652">
      <w:pPr>
        <w:spacing w:after="0" w:line="240" w:lineRule="auto"/>
      </w:pPr>
      <w:r>
        <w:separator/>
      </w:r>
    </w:p>
  </w:footnote>
  <w:footnote w:type="continuationSeparator" w:id="0">
    <w:p w14:paraId="374B1780" w14:textId="77777777" w:rsidR="00014652" w:rsidRDefault="00014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2C708" w14:textId="77777777" w:rsidR="00383905" w:rsidRDefault="003231AB" w:rsidP="003E6AA4">
    <w:pPr>
      <w:pStyle w:val="Header"/>
      <w:tabs>
        <w:tab w:val="clear" w:pos="8640"/>
        <w:tab w:val="left" w:pos="4590"/>
      </w:tabs>
      <w:jc w:val="center"/>
      <w:rPr>
        <w:sz w:val="28"/>
        <w:szCs w:val="28"/>
      </w:rPr>
    </w:pPr>
    <w:r w:rsidRPr="002B1BC7">
      <w:rPr>
        <w:sz w:val="28"/>
        <w:szCs w:val="28"/>
      </w:rPr>
      <w:t>DFARS Procedures, Guidance, and Information</w:t>
    </w:r>
  </w:p>
  <w:p w14:paraId="1DFA59CF" w14:textId="77777777" w:rsidR="00383905" w:rsidRPr="002B1BC7" w:rsidRDefault="00014652" w:rsidP="003E6AA4">
    <w:pPr>
      <w:pStyle w:val="Header"/>
      <w:tabs>
        <w:tab w:val="clear" w:pos="8640"/>
        <w:tab w:val="left" w:pos="4590"/>
      </w:tabs>
      <w:jc w:val="center"/>
      <w:rPr>
        <w:sz w:val="28"/>
        <w:szCs w:val="28"/>
      </w:rPr>
    </w:pPr>
  </w:p>
  <w:p w14:paraId="28541881" w14:textId="77777777" w:rsidR="00383905" w:rsidRPr="00BC71C0" w:rsidRDefault="003231A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2</w:t>
    </w:r>
    <w:r w:rsidRPr="00BC71C0">
      <w:rPr>
        <w:szCs w:val="24"/>
      </w:rPr>
      <w:t>—</w:t>
    </w:r>
    <w:r>
      <w:rPr>
        <w:szCs w:val="24"/>
      </w:rPr>
      <w:t xml:space="preserve">Contract Financing                     </w:t>
    </w:r>
  </w:p>
  <w:p w14:paraId="3D3CD4D5" w14:textId="77777777" w:rsidR="00383905" w:rsidRDefault="00014652">
    <w:pPr>
      <w:pStyle w:val="Header"/>
      <w:tabs>
        <w:tab w:val="clear" w:pos="8640"/>
        <w:tab w:val="right" w:pos="9260"/>
      </w:tabs>
      <w:spacing w:before="20" w:line="20" w:lineRule="exact"/>
      <w:rPr>
        <w:rFonts w:ascii="Geneva" w:hAnsi="Geneva"/>
        <w:b/>
        <w:position w:val="6"/>
        <w:sz w:val="18"/>
      </w:rPr>
    </w:pPr>
  </w:p>
  <w:p w14:paraId="61BDC7E8" w14:textId="77777777" w:rsidR="00383905" w:rsidRDefault="00014652">
    <w:pPr>
      <w:pStyle w:val="Header"/>
      <w:tabs>
        <w:tab w:val="clear" w:pos="8640"/>
        <w:tab w:val="right" w:pos="9260"/>
      </w:tabs>
      <w:rPr>
        <w:rFonts w:ascii="Century Schoolbook" w:hAnsi="Century Schoolbook"/>
        <w:b/>
        <w:sz w:val="20"/>
      </w:rPr>
    </w:pPr>
  </w:p>
  <w:p w14:paraId="48AAED3E" w14:textId="77777777" w:rsidR="00383905" w:rsidRDefault="00014652">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D44C4" w14:textId="77777777" w:rsidR="00627D8F" w:rsidRDefault="003231AB" w:rsidP="003E6AA4">
    <w:pPr>
      <w:pStyle w:val="Header"/>
      <w:tabs>
        <w:tab w:val="clear" w:pos="8640"/>
        <w:tab w:val="left" w:pos="4590"/>
      </w:tabs>
      <w:jc w:val="center"/>
      <w:rPr>
        <w:sz w:val="28"/>
        <w:szCs w:val="28"/>
      </w:rPr>
    </w:pPr>
    <w:r w:rsidRPr="002B1BC7">
      <w:rPr>
        <w:sz w:val="28"/>
        <w:szCs w:val="28"/>
      </w:rPr>
      <w:t>DFARS Procedures, Guidance, and Information</w:t>
    </w:r>
  </w:p>
  <w:p w14:paraId="34C404B8" w14:textId="77777777" w:rsidR="00627D8F" w:rsidRPr="002B1BC7" w:rsidRDefault="00014652" w:rsidP="003E6AA4">
    <w:pPr>
      <w:pStyle w:val="Header"/>
      <w:tabs>
        <w:tab w:val="clear" w:pos="8640"/>
        <w:tab w:val="left" w:pos="4590"/>
      </w:tabs>
      <w:jc w:val="center"/>
      <w:rPr>
        <w:sz w:val="28"/>
        <w:szCs w:val="28"/>
      </w:rPr>
    </w:pPr>
  </w:p>
  <w:p w14:paraId="5EF5E7CD" w14:textId="77777777" w:rsidR="00627D8F" w:rsidRPr="00BC71C0" w:rsidRDefault="003231A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2</w:t>
    </w:r>
    <w:r w:rsidRPr="00BC71C0">
      <w:rPr>
        <w:szCs w:val="24"/>
      </w:rPr>
      <w:t>—</w:t>
    </w:r>
    <w:r>
      <w:rPr>
        <w:szCs w:val="24"/>
      </w:rPr>
      <w:t xml:space="preserve">Contract Financing                     </w:t>
    </w:r>
  </w:p>
  <w:p w14:paraId="1ACA7EF6" w14:textId="77777777" w:rsidR="00627D8F" w:rsidRDefault="00014652">
    <w:pPr>
      <w:pStyle w:val="Header"/>
      <w:tabs>
        <w:tab w:val="clear" w:pos="8640"/>
        <w:tab w:val="right" w:pos="9260"/>
      </w:tabs>
      <w:spacing w:before="20" w:line="20" w:lineRule="exact"/>
      <w:rPr>
        <w:rFonts w:ascii="Geneva" w:hAnsi="Geneva"/>
        <w:b/>
        <w:position w:val="6"/>
        <w:sz w:val="18"/>
      </w:rPr>
    </w:pPr>
  </w:p>
  <w:p w14:paraId="657574E3" w14:textId="77777777" w:rsidR="00627D8F" w:rsidRDefault="00014652">
    <w:pPr>
      <w:pStyle w:val="Header"/>
      <w:tabs>
        <w:tab w:val="clear" w:pos="8640"/>
        <w:tab w:val="right" w:pos="9260"/>
      </w:tabs>
      <w:rPr>
        <w:rFonts w:ascii="Century Schoolbook" w:hAnsi="Century Schoolbook"/>
        <w:b/>
        <w:sz w:val="20"/>
      </w:rPr>
    </w:pPr>
  </w:p>
  <w:p w14:paraId="66121A47" w14:textId="77777777" w:rsidR="00627D8F" w:rsidRDefault="00014652">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AD349" w14:textId="77777777" w:rsidR="006E41EF" w:rsidRDefault="003231AB" w:rsidP="003E6AA4">
    <w:pPr>
      <w:pStyle w:val="Header"/>
      <w:tabs>
        <w:tab w:val="clear" w:pos="8640"/>
        <w:tab w:val="left" w:pos="4590"/>
      </w:tabs>
      <w:jc w:val="center"/>
      <w:rPr>
        <w:sz w:val="28"/>
        <w:szCs w:val="28"/>
      </w:rPr>
    </w:pPr>
    <w:r w:rsidRPr="002B1BC7">
      <w:rPr>
        <w:sz w:val="28"/>
        <w:szCs w:val="28"/>
      </w:rPr>
      <w:t>DFARS Procedures, Guidance, and Information</w:t>
    </w:r>
  </w:p>
  <w:p w14:paraId="40B89746" w14:textId="77777777" w:rsidR="006E41EF" w:rsidRPr="002B1BC7" w:rsidRDefault="00014652" w:rsidP="003E6AA4">
    <w:pPr>
      <w:pStyle w:val="Header"/>
      <w:tabs>
        <w:tab w:val="clear" w:pos="8640"/>
        <w:tab w:val="left" w:pos="4590"/>
      </w:tabs>
      <w:jc w:val="center"/>
      <w:rPr>
        <w:sz w:val="28"/>
        <w:szCs w:val="28"/>
      </w:rPr>
    </w:pPr>
  </w:p>
  <w:p w14:paraId="049026BC" w14:textId="77777777" w:rsidR="006E41EF" w:rsidRPr="00BC71C0" w:rsidRDefault="003231A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2</w:t>
    </w:r>
    <w:r w:rsidRPr="00BC71C0">
      <w:rPr>
        <w:szCs w:val="24"/>
      </w:rPr>
      <w:t>—</w:t>
    </w:r>
    <w:r>
      <w:rPr>
        <w:szCs w:val="24"/>
      </w:rPr>
      <w:t>Contract Financing</w:t>
    </w:r>
  </w:p>
  <w:p w14:paraId="292AA6A8" w14:textId="77777777" w:rsidR="006E41EF" w:rsidRDefault="00014652">
    <w:pPr>
      <w:pStyle w:val="Header"/>
      <w:tabs>
        <w:tab w:val="clear" w:pos="8640"/>
        <w:tab w:val="right" w:pos="9260"/>
      </w:tabs>
      <w:spacing w:before="20" w:line="20" w:lineRule="exact"/>
      <w:rPr>
        <w:rFonts w:ascii="Geneva" w:hAnsi="Geneva"/>
        <w:b/>
        <w:position w:val="6"/>
        <w:sz w:val="18"/>
      </w:rPr>
    </w:pPr>
  </w:p>
  <w:p w14:paraId="644842E3" w14:textId="77777777" w:rsidR="006E41EF" w:rsidRDefault="00014652">
    <w:pPr>
      <w:pStyle w:val="Header"/>
      <w:tabs>
        <w:tab w:val="clear" w:pos="8640"/>
        <w:tab w:val="right" w:pos="9260"/>
      </w:tabs>
      <w:rPr>
        <w:rFonts w:ascii="Century Schoolbook" w:hAnsi="Century Schoolbook"/>
        <w:b/>
        <w:sz w:val="20"/>
      </w:rPr>
    </w:pPr>
  </w:p>
  <w:p w14:paraId="433ADFB9" w14:textId="77777777" w:rsidR="006E41EF" w:rsidRDefault="00014652">
    <w:pPr>
      <w:pStyle w:val="Header"/>
      <w:rPr>
        <w:rFonts w:ascii="Century Schoolbook" w:hAnsi="Century Schoolbook"/>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DD728" w14:textId="77777777" w:rsidR="005F3EF3" w:rsidRDefault="003231AB" w:rsidP="003E6AA4">
    <w:pPr>
      <w:pStyle w:val="Header"/>
      <w:tabs>
        <w:tab w:val="clear" w:pos="8640"/>
        <w:tab w:val="left" w:pos="4590"/>
      </w:tabs>
      <w:jc w:val="center"/>
      <w:rPr>
        <w:sz w:val="28"/>
        <w:szCs w:val="28"/>
      </w:rPr>
    </w:pPr>
    <w:r w:rsidRPr="002B1BC7">
      <w:rPr>
        <w:sz w:val="28"/>
        <w:szCs w:val="28"/>
      </w:rPr>
      <w:t>DFARS Procedures, Guidance, and Information</w:t>
    </w:r>
  </w:p>
  <w:p w14:paraId="3293DD31" w14:textId="77777777" w:rsidR="005F3EF3" w:rsidRPr="002B1BC7" w:rsidRDefault="00014652" w:rsidP="003E6AA4">
    <w:pPr>
      <w:pStyle w:val="Header"/>
      <w:tabs>
        <w:tab w:val="clear" w:pos="8640"/>
        <w:tab w:val="left" w:pos="4590"/>
      </w:tabs>
      <w:jc w:val="center"/>
      <w:rPr>
        <w:sz w:val="28"/>
        <w:szCs w:val="28"/>
      </w:rPr>
    </w:pPr>
  </w:p>
  <w:p w14:paraId="6D997B76" w14:textId="77777777" w:rsidR="005F3EF3" w:rsidRPr="00BC71C0" w:rsidRDefault="003231A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2</w:t>
    </w:r>
    <w:r w:rsidRPr="00BC71C0">
      <w:rPr>
        <w:szCs w:val="24"/>
      </w:rPr>
      <w:t>—</w:t>
    </w:r>
    <w:r>
      <w:rPr>
        <w:szCs w:val="24"/>
      </w:rPr>
      <w:t xml:space="preserve">Contract Financing                     </w:t>
    </w:r>
  </w:p>
  <w:p w14:paraId="342255D4" w14:textId="77777777" w:rsidR="005F3EF3" w:rsidRDefault="00014652">
    <w:pPr>
      <w:pStyle w:val="Header"/>
      <w:tabs>
        <w:tab w:val="clear" w:pos="8640"/>
        <w:tab w:val="right" w:pos="9260"/>
      </w:tabs>
      <w:spacing w:before="20" w:line="20" w:lineRule="exact"/>
      <w:rPr>
        <w:rFonts w:ascii="Geneva" w:hAnsi="Geneva"/>
        <w:b/>
        <w:position w:val="6"/>
        <w:sz w:val="18"/>
      </w:rPr>
    </w:pPr>
  </w:p>
  <w:p w14:paraId="24437884" w14:textId="77777777" w:rsidR="005F3EF3" w:rsidRDefault="00014652">
    <w:pPr>
      <w:pStyle w:val="Header"/>
      <w:tabs>
        <w:tab w:val="clear" w:pos="8640"/>
        <w:tab w:val="right" w:pos="9260"/>
      </w:tabs>
      <w:rPr>
        <w:rFonts w:ascii="Century Schoolbook" w:hAnsi="Century Schoolbook"/>
        <w:b/>
        <w:sz w:val="20"/>
      </w:rPr>
    </w:pPr>
  </w:p>
  <w:p w14:paraId="4B7312E7" w14:textId="77777777" w:rsidR="005F3EF3" w:rsidRDefault="00014652">
    <w:pPr>
      <w:pStyle w:val="Header"/>
      <w:rPr>
        <w:rFonts w:ascii="Century Schoolbook" w:hAnsi="Century Schoolbook"/>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E0CE7" w14:textId="77777777" w:rsidR="00627D8F" w:rsidRDefault="003231AB" w:rsidP="003E6AA4">
    <w:pPr>
      <w:pStyle w:val="Header"/>
      <w:tabs>
        <w:tab w:val="clear" w:pos="8640"/>
        <w:tab w:val="left" w:pos="4590"/>
      </w:tabs>
      <w:jc w:val="center"/>
      <w:rPr>
        <w:sz w:val="28"/>
        <w:szCs w:val="28"/>
      </w:rPr>
    </w:pPr>
    <w:r w:rsidRPr="002B1BC7">
      <w:rPr>
        <w:sz w:val="28"/>
        <w:szCs w:val="28"/>
      </w:rPr>
      <w:t>DFARS Procedures, Guidance, and Information</w:t>
    </w:r>
  </w:p>
  <w:p w14:paraId="54F1FCF7" w14:textId="77777777" w:rsidR="00627D8F" w:rsidRPr="002B1BC7" w:rsidRDefault="00014652" w:rsidP="003E6AA4">
    <w:pPr>
      <w:pStyle w:val="Header"/>
      <w:tabs>
        <w:tab w:val="clear" w:pos="8640"/>
        <w:tab w:val="left" w:pos="4590"/>
      </w:tabs>
      <w:jc w:val="center"/>
      <w:rPr>
        <w:sz w:val="28"/>
        <w:szCs w:val="28"/>
      </w:rPr>
    </w:pPr>
  </w:p>
  <w:p w14:paraId="62828418" w14:textId="77777777" w:rsidR="00627D8F" w:rsidRPr="00BC71C0" w:rsidRDefault="003231A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2</w:t>
    </w:r>
    <w:r w:rsidRPr="00BC71C0">
      <w:rPr>
        <w:szCs w:val="24"/>
      </w:rPr>
      <w:t>—</w:t>
    </w:r>
    <w:r>
      <w:rPr>
        <w:szCs w:val="24"/>
      </w:rPr>
      <w:t>Contract Financing</w:t>
    </w:r>
  </w:p>
  <w:p w14:paraId="441269EE" w14:textId="77777777" w:rsidR="00627D8F" w:rsidRDefault="00014652">
    <w:pPr>
      <w:pStyle w:val="Header"/>
      <w:tabs>
        <w:tab w:val="clear" w:pos="8640"/>
        <w:tab w:val="right" w:pos="9260"/>
      </w:tabs>
      <w:spacing w:before="20" w:line="20" w:lineRule="exact"/>
      <w:rPr>
        <w:rFonts w:ascii="Geneva" w:hAnsi="Geneva"/>
        <w:b/>
        <w:position w:val="6"/>
        <w:sz w:val="18"/>
      </w:rPr>
    </w:pPr>
  </w:p>
  <w:p w14:paraId="1176A7CE" w14:textId="77777777" w:rsidR="00627D8F" w:rsidRDefault="00014652">
    <w:pPr>
      <w:pStyle w:val="Header"/>
      <w:tabs>
        <w:tab w:val="clear" w:pos="8640"/>
        <w:tab w:val="right" w:pos="9260"/>
      </w:tabs>
      <w:rPr>
        <w:rFonts w:ascii="Century Schoolbook" w:hAnsi="Century Schoolbook"/>
        <w:b/>
        <w:sz w:val="20"/>
      </w:rPr>
    </w:pPr>
  </w:p>
  <w:p w14:paraId="1010433C" w14:textId="77777777" w:rsidR="00627D8F" w:rsidRDefault="00014652">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15144" w14:textId="77777777" w:rsidR="00402A9D" w:rsidRDefault="003231AB" w:rsidP="003E6AA4">
    <w:pPr>
      <w:pStyle w:val="Header"/>
      <w:tabs>
        <w:tab w:val="clear" w:pos="8640"/>
        <w:tab w:val="left" w:pos="4590"/>
      </w:tabs>
      <w:jc w:val="center"/>
      <w:rPr>
        <w:sz w:val="28"/>
        <w:szCs w:val="28"/>
      </w:rPr>
    </w:pPr>
    <w:r w:rsidRPr="002B1BC7">
      <w:rPr>
        <w:sz w:val="28"/>
        <w:szCs w:val="28"/>
      </w:rPr>
      <w:t>DFARS Procedures, Guidance, and Information</w:t>
    </w:r>
  </w:p>
  <w:p w14:paraId="500741E5" w14:textId="77777777" w:rsidR="00402A9D" w:rsidRPr="002B1BC7" w:rsidRDefault="00014652" w:rsidP="003E6AA4">
    <w:pPr>
      <w:pStyle w:val="Header"/>
      <w:tabs>
        <w:tab w:val="clear" w:pos="8640"/>
        <w:tab w:val="left" w:pos="4590"/>
      </w:tabs>
      <w:jc w:val="center"/>
      <w:rPr>
        <w:sz w:val="28"/>
        <w:szCs w:val="28"/>
      </w:rPr>
    </w:pPr>
  </w:p>
  <w:p w14:paraId="4177BDC4" w14:textId="77777777" w:rsidR="00402A9D" w:rsidRPr="00BC71C0" w:rsidRDefault="003231A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w:t>
    </w:r>
    <w:proofErr w:type="gramStart"/>
    <w:r w:rsidRPr="00BC71C0">
      <w:rPr>
        <w:szCs w:val="24"/>
      </w:rPr>
      <w:t>23</w:t>
    </w:r>
    <w:r>
      <w:rPr>
        <w:szCs w:val="24"/>
      </w:rPr>
      <w:t>2.—</w:t>
    </w:r>
    <w:proofErr w:type="gramEnd"/>
    <w:r>
      <w:rPr>
        <w:szCs w:val="24"/>
      </w:rPr>
      <w:t>Contract Financing</w:t>
    </w:r>
  </w:p>
  <w:p w14:paraId="29B7DE4C" w14:textId="77777777" w:rsidR="00402A9D" w:rsidRDefault="00014652">
    <w:pPr>
      <w:pStyle w:val="Header"/>
      <w:tabs>
        <w:tab w:val="clear" w:pos="8640"/>
        <w:tab w:val="right" w:pos="9260"/>
      </w:tabs>
      <w:spacing w:before="20" w:line="20" w:lineRule="exact"/>
      <w:rPr>
        <w:rFonts w:ascii="Geneva" w:hAnsi="Geneva"/>
        <w:b/>
        <w:position w:val="6"/>
        <w:sz w:val="18"/>
      </w:rPr>
    </w:pPr>
  </w:p>
  <w:p w14:paraId="0DD7D823" w14:textId="77777777" w:rsidR="00402A9D" w:rsidRDefault="00014652">
    <w:pPr>
      <w:pStyle w:val="Header"/>
      <w:tabs>
        <w:tab w:val="clear" w:pos="8640"/>
        <w:tab w:val="right" w:pos="9260"/>
      </w:tabs>
      <w:rPr>
        <w:rFonts w:ascii="Century Schoolbook" w:hAnsi="Century Schoolbook"/>
        <w:b/>
        <w:sz w:val="20"/>
      </w:rPr>
    </w:pPr>
  </w:p>
  <w:p w14:paraId="2C8B77FB" w14:textId="77777777" w:rsidR="00402A9D" w:rsidRDefault="00014652">
    <w:pPr>
      <w:pStyle w:val="Header"/>
      <w:rPr>
        <w:rFonts w:ascii="Century Schoolbook" w:hAnsi="Century Schoolbook"/>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A3A6" w14:textId="77777777" w:rsidR="00BE7F1F" w:rsidRDefault="003231AB" w:rsidP="003E6AA4">
    <w:pPr>
      <w:pStyle w:val="Header"/>
      <w:tabs>
        <w:tab w:val="clear" w:pos="8640"/>
        <w:tab w:val="left" w:pos="4590"/>
      </w:tabs>
      <w:jc w:val="center"/>
      <w:rPr>
        <w:sz w:val="28"/>
        <w:szCs w:val="28"/>
      </w:rPr>
    </w:pPr>
    <w:r w:rsidRPr="002B1BC7">
      <w:rPr>
        <w:sz w:val="28"/>
        <w:szCs w:val="28"/>
      </w:rPr>
      <w:t>DFARS Procedures, Guidance, and Information</w:t>
    </w:r>
  </w:p>
  <w:p w14:paraId="728A23A5" w14:textId="77777777" w:rsidR="00BE7F1F" w:rsidRPr="002B1BC7" w:rsidRDefault="00014652" w:rsidP="003E6AA4">
    <w:pPr>
      <w:pStyle w:val="Header"/>
      <w:tabs>
        <w:tab w:val="clear" w:pos="8640"/>
        <w:tab w:val="left" w:pos="4590"/>
      </w:tabs>
      <w:jc w:val="center"/>
      <w:rPr>
        <w:sz w:val="28"/>
        <w:szCs w:val="28"/>
      </w:rPr>
    </w:pPr>
  </w:p>
  <w:p w14:paraId="38865306" w14:textId="77777777" w:rsidR="00BE7F1F" w:rsidRPr="00BC71C0" w:rsidRDefault="003231A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2</w:t>
    </w:r>
    <w:r w:rsidRPr="00BC71C0">
      <w:rPr>
        <w:szCs w:val="24"/>
      </w:rPr>
      <w:t>—</w:t>
    </w:r>
    <w:r>
      <w:rPr>
        <w:szCs w:val="24"/>
      </w:rPr>
      <w:t xml:space="preserve">Contract Financing                     </w:t>
    </w:r>
  </w:p>
  <w:p w14:paraId="142BDE2E" w14:textId="77777777" w:rsidR="00BE7F1F" w:rsidRDefault="00014652">
    <w:pPr>
      <w:pStyle w:val="Header"/>
      <w:tabs>
        <w:tab w:val="clear" w:pos="8640"/>
        <w:tab w:val="right" w:pos="9260"/>
      </w:tabs>
      <w:spacing w:before="20" w:line="20" w:lineRule="exact"/>
      <w:rPr>
        <w:rFonts w:ascii="Geneva" w:hAnsi="Geneva"/>
        <w:b/>
        <w:position w:val="6"/>
        <w:sz w:val="18"/>
      </w:rPr>
    </w:pPr>
  </w:p>
  <w:p w14:paraId="71F74BBF" w14:textId="77777777" w:rsidR="00BE7F1F" w:rsidRDefault="00014652">
    <w:pPr>
      <w:pStyle w:val="Header"/>
      <w:tabs>
        <w:tab w:val="clear" w:pos="8640"/>
        <w:tab w:val="right" w:pos="9260"/>
      </w:tabs>
      <w:rPr>
        <w:rFonts w:ascii="Century Schoolbook" w:hAnsi="Century Schoolbook"/>
        <w:b/>
        <w:sz w:val="20"/>
      </w:rPr>
    </w:pPr>
  </w:p>
  <w:p w14:paraId="3721D1B4" w14:textId="77777777" w:rsidR="00BE7F1F" w:rsidRDefault="00014652">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B"/>
    <w:rsid w:val="00014652"/>
    <w:rsid w:val="00096A64"/>
    <w:rsid w:val="003231AB"/>
    <w:rsid w:val="00505901"/>
    <w:rsid w:val="007D6208"/>
    <w:rsid w:val="00850595"/>
    <w:rsid w:val="008D1CF7"/>
    <w:rsid w:val="009E50FF"/>
    <w:rsid w:val="00B8095C"/>
    <w:rsid w:val="00BF48DE"/>
    <w:rsid w:val="00E81D40"/>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7116"/>
  <w15:chartTrackingRefBased/>
  <w15:docId w15:val="{78D9FF00-963D-49F5-9B55-69202283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3231AB"/>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3231AB"/>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3231AB"/>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3231AB"/>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AB"/>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rsid w:val="003231AB"/>
    <w:rPr>
      <w:rFonts w:ascii="Arial" w:eastAsia="Times New Roman" w:hAnsi="Arial" w:cs="Arial"/>
      <w:szCs w:val="20"/>
    </w:rPr>
  </w:style>
  <w:style w:type="paragraph" w:styleId="Footer">
    <w:name w:val="footer"/>
    <w:basedOn w:val="Normal"/>
    <w:link w:val="FooterChar"/>
    <w:rsid w:val="003231AB"/>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3231AB"/>
    <w:rPr>
      <w:rFonts w:ascii="Arial" w:eastAsia="Times New Roman" w:hAnsi="Arial" w:cs="Arial"/>
      <w:szCs w:val="20"/>
    </w:rPr>
  </w:style>
  <w:style w:type="paragraph" w:styleId="Header">
    <w:name w:val="header"/>
    <w:basedOn w:val="Normal"/>
    <w:link w:val="HeaderChar"/>
    <w:rsid w:val="003231AB"/>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3231AB"/>
    <w:rPr>
      <w:rFonts w:ascii="Arial" w:eastAsia="Times New Roman" w:hAnsi="Arial" w:cs="Arial"/>
      <w:szCs w:val="20"/>
    </w:rPr>
  </w:style>
  <w:style w:type="paragraph" w:styleId="NormalWeb">
    <w:name w:val="Normal (Web)"/>
    <w:basedOn w:val="Normal"/>
    <w:rsid w:val="003231AB"/>
    <w:pPr>
      <w:spacing w:before="100" w:beforeAutospacing="1" w:after="100" w:afterAutospacing="1" w:line="240" w:lineRule="auto"/>
    </w:pPr>
    <w:rPr>
      <w:rFonts w:eastAsia="Times New Roman"/>
      <w:b/>
      <w:szCs w:val="24"/>
    </w:rPr>
  </w:style>
  <w:style w:type="paragraph" w:customStyle="1" w:styleId="List1">
    <w:name w:val="List 1"/>
    <w:link w:val="List1Char"/>
    <w:rsid w:val="003231AB"/>
    <w:pPr>
      <w:spacing w:after="0" w:line="240" w:lineRule="auto"/>
      <w:ind w:left="360" w:hanging="360"/>
      <w:contextualSpacing/>
    </w:pPr>
    <w:rPr>
      <w:rFonts w:ascii="Arial" w:eastAsia="Times New Roman" w:hAnsi="Arial" w:cs="Arial"/>
      <w:szCs w:val="20"/>
    </w:rPr>
  </w:style>
  <w:style w:type="character" w:customStyle="1" w:styleId="List1Char">
    <w:name w:val="List 1 Char"/>
    <w:basedOn w:val="Heading3Char"/>
    <w:link w:val="List1"/>
    <w:rsid w:val="003231AB"/>
    <w:rPr>
      <w:rFonts w:ascii="Arial" w:eastAsia="Times New Roman" w:hAnsi="Arial" w:cs="Arial"/>
      <w:szCs w:val="20"/>
    </w:rPr>
  </w:style>
  <w:style w:type="paragraph" w:styleId="List3">
    <w:name w:val="List 3"/>
    <w:link w:val="List3Char"/>
    <w:uiPriority w:val="99"/>
    <w:unhideWhenUsed/>
    <w:rsid w:val="003231AB"/>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3231AB"/>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3231AB"/>
    <w:rPr>
      <w:rFonts w:ascii="Arial" w:eastAsia="Times New Roman" w:hAnsi="Arial" w:cs="Arial"/>
      <w:szCs w:val="20"/>
    </w:rPr>
  </w:style>
  <w:style w:type="character" w:customStyle="1" w:styleId="Heading4Char">
    <w:name w:val="Heading 4 Char"/>
    <w:basedOn w:val="DefaultParagraphFont"/>
    <w:link w:val="Heading4"/>
    <w:rsid w:val="003231AB"/>
    <w:rPr>
      <w:rFonts w:ascii="Arial" w:eastAsia="Times New Roman" w:hAnsi="Arial" w:cs="Arial"/>
      <w:szCs w:val="20"/>
    </w:rPr>
  </w:style>
  <w:style w:type="character" w:customStyle="1" w:styleId="Heading2Char">
    <w:name w:val="Heading 2 Char"/>
    <w:basedOn w:val="DefaultParagraphFont"/>
    <w:link w:val="Heading2"/>
    <w:uiPriority w:val="9"/>
    <w:semiHidden/>
    <w:rsid w:val="003231AB"/>
    <w:rPr>
      <w:rFonts w:ascii="Arial" w:eastAsiaTheme="majorEastAsia" w:hAnsi="Arial" w:cs="Arial"/>
      <w:b/>
      <w:bCs/>
      <w:iCs/>
      <w:sz w:val="28"/>
      <w:szCs w:val="28"/>
    </w:rPr>
  </w:style>
  <w:style w:type="paragraph" w:styleId="List2">
    <w:name w:val="List 2"/>
    <w:uiPriority w:val="99"/>
    <w:semiHidden/>
    <w:unhideWhenUsed/>
    <w:rsid w:val="003231AB"/>
    <w:pPr>
      <w:spacing w:after="0" w:line="240" w:lineRule="auto"/>
      <w:ind w:left="720" w:hanging="360"/>
      <w:contextualSpacing/>
    </w:pPr>
    <w:rPr>
      <w:rFonts w:ascii="Arial" w:eastAsia="Times New Roman" w:hAnsi="Arial" w:cs="Arial"/>
      <w:szCs w:val="20"/>
    </w:rPr>
  </w:style>
  <w:style w:type="character" w:customStyle="1" w:styleId="List3Char">
    <w:name w:val="List 3 Char"/>
    <w:basedOn w:val="DefaultParagraphFont"/>
    <w:link w:val="List3"/>
    <w:uiPriority w:val="99"/>
    <w:rsid w:val="003231AB"/>
    <w:rPr>
      <w:rFonts w:ascii="Arial" w:eastAsia="Times New Roman" w:hAnsi="Arial" w:cs="Arial"/>
      <w:szCs w:val="20"/>
    </w:rPr>
  </w:style>
  <w:style w:type="character" w:styleId="Hyperlink">
    <w:name w:val="Hyperlink"/>
    <w:uiPriority w:val="99"/>
    <w:unhideWhenUsed/>
    <w:rsid w:val="003231AB"/>
    <w:rPr>
      <w:color w:val="0000FF"/>
      <w:u w:val="single"/>
    </w:rPr>
  </w:style>
  <w:style w:type="paragraph" w:customStyle="1" w:styleId="List6">
    <w:name w:val="List 6"/>
    <w:basedOn w:val="List2"/>
    <w:link w:val="List6Char"/>
    <w:rsid w:val="003231AB"/>
    <w:pPr>
      <w:spacing w:after="160" w:line="259" w:lineRule="auto"/>
      <w:ind w:left="1800" w:firstLine="0"/>
    </w:pPr>
  </w:style>
  <w:style w:type="character" w:customStyle="1" w:styleId="List6Char">
    <w:name w:val="List 6 Char"/>
    <w:basedOn w:val="List4Char"/>
    <w:link w:val="List6"/>
    <w:rsid w:val="003231AB"/>
    <w:rPr>
      <w:rFonts w:ascii="Arial" w:eastAsia="Times New Roman" w:hAnsi="Arial" w:cs="Arial"/>
      <w:szCs w:val="20"/>
    </w:rPr>
  </w:style>
  <w:style w:type="paragraph" w:styleId="TOC1">
    <w:name w:val="toc 1"/>
    <w:basedOn w:val="Normal"/>
    <w:next w:val="Normal"/>
    <w:autoRedefine/>
    <w:uiPriority w:val="39"/>
    <w:unhideWhenUsed/>
    <w:rsid w:val="003231AB"/>
    <w:pPr>
      <w:spacing w:after="100"/>
    </w:pPr>
  </w:style>
  <w:style w:type="paragraph" w:styleId="TOC3">
    <w:name w:val="toc 3"/>
    <w:basedOn w:val="Normal"/>
    <w:next w:val="Normal"/>
    <w:autoRedefine/>
    <w:uiPriority w:val="39"/>
    <w:unhideWhenUsed/>
    <w:rsid w:val="003231AB"/>
    <w:pPr>
      <w:spacing w:after="100"/>
      <w:ind w:left="440"/>
    </w:pPr>
  </w:style>
  <w:style w:type="paragraph" w:styleId="TOC2">
    <w:name w:val="toc 2"/>
    <w:basedOn w:val="Normal"/>
    <w:next w:val="Normal"/>
    <w:autoRedefine/>
    <w:uiPriority w:val="39"/>
    <w:unhideWhenUsed/>
    <w:rsid w:val="003231AB"/>
    <w:pPr>
      <w:spacing w:after="100"/>
      <w:ind w:left="220"/>
    </w:pPr>
  </w:style>
  <w:style w:type="paragraph" w:styleId="TOC4">
    <w:name w:val="toc 4"/>
    <w:basedOn w:val="Normal"/>
    <w:next w:val="Normal"/>
    <w:autoRedefine/>
    <w:uiPriority w:val="39"/>
    <w:unhideWhenUsed/>
    <w:rsid w:val="003231AB"/>
    <w:pPr>
      <w:spacing w:after="100"/>
      <w:ind w:left="660"/>
    </w:pPr>
  </w:style>
  <w:style w:type="paragraph" w:styleId="TOC5">
    <w:name w:val="toc 5"/>
    <w:basedOn w:val="Normal"/>
    <w:next w:val="Normal"/>
    <w:autoRedefine/>
    <w:uiPriority w:val="39"/>
    <w:semiHidden/>
    <w:unhideWhenUsed/>
    <w:rsid w:val="003231AB"/>
    <w:pPr>
      <w:spacing w:after="100"/>
      <w:ind w:left="880"/>
    </w:pPr>
  </w:style>
  <w:style w:type="paragraph" w:styleId="TOC6">
    <w:name w:val="toc 6"/>
    <w:basedOn w:val="Normal"/>
    <w:next w:val="Normal"/>
    <w:autoRedefine/>
    <w:uiPriority w:val="39"/>
    <w:semiHidden/>
    <w:unhideWhenUsed/>
    <w:rsid w:val="003231AB"/>
    <w:pPr>
      <w:spacing w:after="100"/>
      <w:ind w:left="1100"/>
    </w:pPr>
  </w:style>
  <w:style w:type="paragraph" w:styleId="TOC7">
    <w:name w:val="toc 7"/>
    <w:basedOn w:val="Normal"/>
    <w:next w:val="Normal"/>
    <w:autoRedefine/>
    <w:uiPriority w:val="39"/>
    <w:semiHidden/>
    <w:unhideWhenUsed/>
    <w:rsid w:val="003231AB"/>
    <w:pPr>
      <w:spacing w:after="100"/>
      <w:ind w:left="1320"/>
    </w:pPr>
  </w:style>
  <w:style w:type="paragraph" w:styleId="TOC8">
    <w:name w:val="toc 8"/>
    <w:basedOn w:val="Normal"/>
    <w:next w:val="Normal"/>
    <w:autoRedefine/>
    <w:uiPriority w:val="39"/>
    <w:semiHidden/>
    <w:unhideWhenUsed/>
    <w:rsid w:val="003231AB"/>
    <w:pPr>
      <w:spacing w:after="100"/>
      <w:ind w:left="1540"/>
    </w:pPr>
  </w:style>
  <w:style w:type="paragraph" w:styleId="TOC9">
    <w:name w:val="toc 9"/>
    <w:basedOn w:val="Normal"/>
    <w:next w:val="Normal"/>
    <w:autoRedefine/>
    <w:uiPriority w:val="39"/>
    <w:semiHidden/>
    <w:unhideWhenUsed/>
    <w:rsid w:val="003231A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hyperlink" Target="https://wawf.eb.mi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daas.dla.mil/daasinq/" TargetMode="External"/><Relationship Id="rId7" Type="http://schemas.openxmlformats.org/officeDocument/2006/relationships/footer" Target="footer1.xml"/><Relationship Id="rId12" Type="http://schemas.openxmlformats.org/officeDocument/2006/relationships/header" Target="header4.xml"/><Relationship Id="rId17" Type="http://schemas.openxmlformats.org/officeDocument/2006/relationships/hyperlink" Target="http://www.acq.osd.mil/dpap/dars/dfars/html/current/252232.htm" TargetMode="External"/><Relationship Id="rId25" Type="http://schemas.openxmlformats.org/officeDocument/2006/relationships/footer" Target="footer7.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hyperlink" Target="https://wawf.eb.mil/"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eader" Target="header7.xml"/><Relationship Id="rId5"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hyperlink" Target="https://wawf.eb.mil/"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yperlink" Target="http://www.acq.osd.mil/dpap/cpic/cp/Performance_based_payments.html" TargetMode="Externa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2408</Words>
  <Characters>13727</Characters>
  <Application>Microsoft Office Word</Application>
  <DocSecurity>0</DocSecurity>
  <Lines>114</Lines>
  <Paragraphs>32</Paragraphs>
  <ScaleCrop>false</ScaleCrop>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2020-04-10T16:55:00Z</dcterms:created>
  <dcterms:modified xsi:type="dcterms:W3CDTF">2020-04-14T15:34:00Z</dcterms:modified>
</cp:coreProperties>
</file>