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675A4" w14:textId="77777777" w:rsidR="00A66BCC" w:rsidRDefault="00A66BCC">
      <w:pPr>
        <w:sectPr w:rsidR="00A66BCC">
          <w:pgSz w:w="12240" w:h="15840"/>
          <w:pgMar w:top="1440" w:right="1440" w:bottom="1440" w:left="1440" w:header="720" w:footer="720" w:gutter="0"/>
          <w:cols w:space="720"/>
          <w:docGrid w:linePitch="360"/>
        </w:sectPr>
      </w:pPr>
    </w:p>
    <w:p w14:paraId="1D0BE6C7" w14:textId="77777777" w:rsidR="00A66BCC" w:rsidRDefault="00A66BCC" w:rsidP="006264C6">
      <w:pPr>
        <w:pStyle w:val="Heading1"/>
      </w:pPr>
      <w:bookmarkStart w:id="0" w:name="_Toc37677670"/>
      <w:bookmarkStart w:id="1" w:name="_Toc37756483"/>
      <w:r w:rsidRPr="007B495C">
        <w:lastRenderedPageBreak/>
        <w:t>PART 2</w:t>
      </w:r>
      <w:r>
        <w:t>33</w:t>
      </w:r>
      <w:r w:rsidRPr="007B495C">
        <w:t xml:space="preserve"> - </w:t>
      </w:r>
      <w:r>
        <w:br/>
      </w:r>
      <w:r w:rsidRPr="00CE2184">
        <w:t>Protests, Disputes, and Appeals</w:t>
      </w:r>
      <w:bookmarkEnd w:id="0"/>
      <w:bookmarkEnd w:id="1"/>
    </w:p>
    <w:p w14:paraId="6CA11DBB" w14:textId="77777777" w:rsidR="00A66BCC" w:rsidRDefault="00A66BCC">
      <w:r>
        <w:br w:type="page"/>
      </w:r>
      <w:r>
        <w:lastRenderedPageBreak/>
        <w:br/>
      </w:r>
    </w:p>
    <w:p w14:paraId="7BFE8D09" w14:textId="77777777" w:rsidR="000A0D3C" w:rsidRPr="00963121" w:rsidRDefault="000A0D3C" w:rsidP="00963121">
      <w:pPr>
        <w:jc w:val="center"/>
        <w:rPr>
          <w:b/>
        </w:rPr>
      </w:pPr>
      <w:r w:rsidRPr="00963121">
        <w:rPr>
          <w:b/>
        </w:rPr>
        <w:t>Table of Contents</w:t>
      </w:r>
    </w:p>
    <w:p w14:paraId="16F63FE6" w14:textId="1866FC22" w:rsidR="007122F9" w:rsidRDefault="007122F9" w:rsidP="007122F9">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483" w:history="1">
        <w:r w:rsidRPr="009A425F">
          <w:rPr>
            <w:rStyle w:val="Hyperlink"/>
            <w:noProof/>
          </w:rPr>
          <w:t>PART 233 -  Protests, Disputes, and Appeals</w:t>
        </w:r>
      </w:hyperlink>
    </w:p>
    <w:p w14:paraId="7FFE1405" w14:textId="4973B446" w:rsidR="007122F9" w:rsidRDefault="007122F9" w:rsidP="007122F9">
      <w:pPr>
        <w:pStyle w:val="TOC2"/>
        <w:tabs>
          <w:tab w:val="right" w:leader="dot" w:pos="9350"/>
        </w:tabs>
        <w:rPr>
          <w:rFonts w:asciiTheme="minorHAnsi" w:eastAsiaTheme="minorEastAsia" w:hAnsiTheme="minorHAnsi" w:cstheme="minorBidi"/>
          <w:noProof/>
        </w:rPr>
      </w:pPr>
      <w:hyperlink w:anchor="_Toc37756484" w:history="1">
        <w:r w:rsidRPr="009A425F">
          <w:rPr>
            <w:rStyle w:val="Hyperlink"/>
            <w:noProof/>
          </w:rPr>
          <w:t>PGI 233.1—PROTESTS</w:t>
        </w:r>
      </w:hyperlink>
    </w:p>
    <w:p w14:paraId="5153103B" w14:textId="4E014EAF" w:rsidR="007122F9" w:rsidRDefault="007122F9" w:rsidP="007122F9">
      <w:pPr>
        <w:pStyle w:val="TOC3"/>
        <w:tabs>
          <w:tab w:val="right" w:leader="dot" w:pos="9350"/>
        </w:tabs>
        <w:rPr>
          <w:rFonts w:asciiTheme="minorHAnsi" w:eastAsiaTheme="minorEastAsia" w:hAnsiTheme="minorHAnsi" w:cstheme="minorBidi"/>
          <w:noProof/>
        </w:rPr>
      </w:pPr>
      <w:hyperlink w:anchor="_Toc37756485" w:history="1">
        <w:r w:rsidRPr="009A425F">
          <w:rPr>
            <w:rStyle w:val="Hyperlink"/>
            <w:b/>
            <w:noProof/>
          </w:rPr>
          <w:t>PGI 233.170  Briefing requirement for protested acquisitions valued at $1 billion or more.</w:t>
        </w:r>
      </w:hyperlink>
    </w:p>
    <w:p w14:paraId="7AA2908E" w14:textId="2F6EBA25" w:rsidR="007122F9" w:rsidRDefault="007122F9" w:rsidP="007122F9">
      <w:pPr>
        <w:pStyle w:val="TOC3"/>
        <w:tabs>
          <w:tab w:val="right" w:leader="dot" w:pos="9350"/>
        </w:tabs>
        <w:rPr>
          <w:rFonts w:asciiTheme="minorHAnsi" w:eastAsiaTheme="minorEastAsia" w:hAnsiTheme="minorHAnsi" w:cstheme="minorBidi"/>
          <w:noProof/>
        </w:rPr>
      </w:pPr>
      <w:hyperlink w:anchor="_Toc37756486" w:history="1">
        <w:r w:rsidRPr="009A425F">
          <w:rPr>
            <w:rStyle w:val="Hyperlink"/>
            <w:noProof/>
          </w:rPr>
          <w:t>PGI 233.171  Reporting requirement for protests of solicitations or awards.</w:t>
        </w:r>
      </w:hyperlink>
    </w:p>
    <w:p w14:paraId="499091B8" w14:textId="6A774B55" w:rsidR="007122F9" w:rsidRDefault="007122F9" w:rsidP="007122F9">
      <w:pPr>
        <w:pStyle w:val="TOC2"/>
        <w:tabs>
          <w:tab w:val="right" w:leader="dot" w:pos="9350"/>
        </w:tabs>
        <w:rPr>
          <w:rFonts w:asciiTheme="minorHAnsi" w:eastAsiaTheme="minorEastAsia" w:hAnsiTheme="minorHAnsi" w:cstheme="minorBidi"/>
          <w:noProof/>
        </w:rPr>
      </w:pPr>
      <w:hyperlink w:anchor="_Toc37756487" w:history="1">
        <w:r w:rsidRPr="009A425F">
          <w:rPr>
            <w:rStyle w:val="Hyperlink"/>
            <w:noProof/>
          </w:rPr>
          <w:t>PGI 233.2—DISPUTES AND APPEALS</w:t>
        </w:r>
      </w:hyperlink>
    </w:p>
    <w:p w14:paraId="4A331CAE" w14:textId="62361DAE" w:rsidR="007122F9" w:rsidRDefault="007122F9" w:rsidP="007122F9">
      <w:pPr>
        <w:pStyle w:val="TOC3"/>
        <w:tabs>
          <w:tab w:val="right" w:leader="dot" w:pos="9350"/>
        </w:tabs>
        <w:rPr>
          <w:rFonts w:asciiTheme="minorHAnsi" w:eastAsiaTheme="minorEastAsia" w:hAnsiTheme="minorHAnsi" w:cstheme="minorBidi"/>
          <w:noProof/>
        </w:rPr>
      </w:pPr>
      <w:hyperlink w:anchor="_Toc37756488" w:history="1">
        <w:r w:rsidRPr="009A425F">
          <w:rPr>
            <w:rStyle w:val="Hyperlink"/>
            <w:b/>
            <w:noProof/>
          </w:rPr>
          <w:t>PGI 233.210  Contracting officer's authority.</w:t>
        </w:r>
      </w:hyperlink>
    </w:p>
    <w:p w14:paraId="54E2A8DC" w14:textId="25E01B13" w:rsidR="00A66BCC" w:rsidRPr="00A66BCC" w:rsidRDefault="007122F9" w:rsidP="00A66BCC">
      <w:r>
        <w:rPr>
          <w:rStyle w:val="Hyperlink"/>
          <w:b/>
          <w:noProof/>
        </w:rPr>
        <w:fldChar w:fldCharType="end"/>
      </w:r>
    </w:p>
    <w:p w14:paraId="1674DF15" w14:textId="77777777" w:rsidR="00A66BCC" w:rsidRDefault="00A66BCC" w:rsidP="00DF1084">
      <w:pPr>
        <w:jc w:val="center"/>
      </w:pPr>
      <w:r w:rsidRPr="00A50794">
        <w:rPr>
          <w:i/>
          <w:szCs w:val="24"/>
        </w:rPr>
        <w:t>(</w:t>
      </w:r>
      <w:r w:rsidRPr="006446FC">
        <w:rPr>
          <w:i/>
          <w:szCs w:val="24"/>
        </w:rPr>
        <w:t>Revised</w:t>
      </w:r>
      <w:r w:rsidRPr="00A50794">
        <w:rPr>
          <w:i/>
          <w:szCs w:val="24"/>
        </w:rPr>
        <w:t xml:space="preserve"> </w:t>
      </w:r>
      <w:r>
        <w:rPr>
          <w:i/>
          <w:szCs w:val="24"/>
        </w:rPr>
        <w:t>May 31, 2019</w:t>
      </w:r>
      <w:r w:rsidRPr="00A50794">
        <w:rPr>
          <w:i/>
          <w:szCs w:val="24"/>
        </w:rPr>
        <w:t>)</w:t>
      </w:r>
    </w:p>
    <w:p w14:paraId="1C9EF655" w14:textId="77777777" w:rsidR="00A66BCC" w:rsidRDefault="00A66BCC" w:rsidP="00DF1084">
      <w:pPr>
        <w:pStyle w:val="Heading2"/>
      </w:pPr>
      <w:r>
        <w:rPr>
          <w:i/>
          <w:szCs w:val="24"/>
        </w:rPr>
        <w:br/>
      </w:r>
      <w:bookmarkStart w:id="2" w:name="_Toc37415843"/>
      <w:bookmarkStart w:id="3" w:name="_Toc37677671"/>
      <w:bookmarkStart w:id="4" w:name="_Toc37756484"/>
      <w:r w:rsidRPr="00A50794">
        <w:t>PGI 233.1—PROTESTS</w:t>
      </w:r>
      <w:bookmarkEnd w:id="2"/>
      <w:bookmarkEnd w:id="3"/>
      <w:bookmarkEnd w:id="4"/>
    </w:p>
    <w:p w14:paraId="195CDC38" w14:textId="77777777" w:rsidR="00A66BCC" w:rsidRDefault="00A66BCC" w:rsidP="00DF1084">
      <w:pPr>
        <w:pStyle w:val="Heading3"/>
      </w:pPr>
      <w:r>
        <w:rPr>
          <w:b/>
        </w:rPr>
        <w:br/>
      </w:r>
      <w:bookmarkStart w:id="5" w:name="_Toc37415844"/>
      <w:bookmarkStart w:id="6" w:name="_Toc37677672"/>
      <w:bookmarkStart w:id="7" w:name="_Toc37756485"/>
      <w:r w:rsidRPr="00A50794">
        <w:rPr>
          <w:b/>
        </w:rPr>
        <w:t xml:space="preserve">PGI </w:t>
      </w:r>
      <w:proofErr w:type="gramStart"/>
      <w:r w:rsidRPr="00A50794">
        <w:rPr>
          <w:b/>
        </w:rPr>
        <w:t>233.170  Briefing</w:t>
      </w:r>
      <w:proofErr w:type="gramEnd"/>
      <w:r w:rsidRPr="00A50794">
        <w:rPr>
          <w:b/>
        </w:rPr>
        <w:t xml:space="preserve"> requirement for protested acquisitions valued at $1 billion or more.</w:t>
      </w:r>
      <w:bookmarkEnd w:id="5"/>
      <w:bookmarkEnd w:id="6"/>
      <w:bookmarkEnd w:id="7"/>
    </w:p>
    <w:p w14:paraId="1A7912CF" w14:textId="77777777" w:rsidR="00A66BCC" w:rsidRDefault="00A66BCC" w:rsidP="0025454B">
      <w:pPr>
        <w:pStyle w:val="NormalWeb"/>
        <w:spacing w:before="0" w:beforeAutospacing="0" w:after="0" w:afterAutospacing="0"/>
        <w:ind w:firstLine="720"/>
      </w:pPr>
      <w:r>
        <w:rPr>
          <w:b w:val="0"/>
        </w:rPr>
        <w:br/>
      </w:r>
      <w:r w:rsidRPr="00A50794">
        <w:t>In the event of a protest of a competitively awarded Major Defense Acquisition Program or of an acquisition of services valued at $1 billion or more, the agency concerned shall provide a briefing to th</w:t>
      </w:r>
      <w:r>
        <w:t>e Principal Director, Defense Pricing and Contracting</w:t>
      </w:r>
      <w:r w:rsidRPr="00A50794">
        <w:t xml:space="preserve">, within 10 days of the filing of the protest.  The briefing </w:t>
      </w:r>
      <w:r>
        <w:t>must</w:t>
      </w:r>
      <w:r w:rsidRPr="00A50794">
        <w:t xml:space="preserve"> </w:t>
      </w:r>
      <w:r>
        <w:t>outline</w:t>
      </w:r>
      <w:r w:rsidRPr="00A50794">
        <w:t>—</w:t>
      </w:r>
    </w:p>
    <w:p w14:paraId="31D34719" w14:textId="77777777" w:rsidR="00A66BCC" w:rsidRDefault="00A66BCC" w:rsidP="00DF1084">
      <w:pPr>
        <w:pStyle w:val="List1"/>
      </w:pPr>
      <w:r>
        <w:br/>
      </w:r>
      <w:r w:rsidRPr="00A50794">
        <w:t xml:space="preserve">(a)  The basis of the </w:t>
      </w:r>
      <w:proofErr w:type="gramStart"/>
      <w:r w:rsidRPr="00A50794">
        <w:t>protest;</w:t>
      </w:r>
      <w:proofErr w:type="gramEnd"/>
    </w:p>
    <w:p w14:paraId="115B50E4" w14:textId="77777777" w:rsidR="00A66BCC" w:rsidRDefault="00A66BCC" w:rsidP="00DF1084">
      <w:pPr>
        <w:pStyle w:val="List1"/>
      </w:pPr>
      <w:r>
        <w:br/>
      </w:r>
      <w:r w:rsidRPr="00A50794">
        <w:t>(b)  The agency’s position; and</w:t>
      </w:r>
    </w:p>
    <w:p w14:paraId="773B0740" w14:textId="77777777" w:rsidR="00A66BCC" w:rsidRDefault="00A66BCC" w:rsidP="00DF1084">
      <w:pPr>
        <w:pStyle w:val="List1"/>
      </w:pPr>
      <w:r>
        <w:br/>
        <w:t xml:space="preserve">(c)  Any </w:t>
      </w:r>
      <w:r w:rsidRPr="00A50794">
        <w:t>other information the agency deems relevant to the protest</w:t>
      </w:r>
      <w:r>
        <w:t>.</w:t>
      </w:r>
    </w:p>
    <w:p w14:paraId="2E922CF2" w14:textId="77777777" w:rsidR="00A66BCC" w:rsidRPr="00AA3F80" w:rsidRDefault="00A66BCC" w:rsidP="00DF1084">
      <w:pPr>
        <w:pStyle w:val="Heading3"/>
      </w:pPr>
      <w:r>
        <w:lastRenderedPageBreak/>
        <w:br/>
      </w:r>
      <w:bookmarkStart w:id="8" w:name="_Toc37415845"/>
      <w:bookmarkStart w:id="9" w:name="_Toc37677673"/>
      <w:bookmarkStart w:id="10" w:name="_Toc37756486"/>
      <w:r w:rsidRPr="00AA3F80">
        <w:rPr>
          <w:szCs w:val="24"/>
        </w:rPr>
        <w:t xml:space="preserve">PGI </w:t>
      </w:r>
      <w:proofErr w:type="gramStart"/>
      <w:r w:rsidRPr="00AA3F80">
        <w:rPr>
          <w:szCs w:val="24"/>
        </w:rPr>
        <w:t>233.171  Reporting</w:t>
      </w:r>
      <w:proofErr w:type="gramEnd"/>
      <w:r w:rsidRPr="00AA3F80">
        <w:rPr>
          <w:szCs w:val="24"/>
        </w:rPr>
        <w:t xml:space="preserve"> requirement for protests of solicitations or awards.</w:t>
      </w:r>
      <w:bookmarkEnd w:id="8"/>
      <w:bookmarkEnd w:id="9"/>
      <w:bookmarkEnd w:id="10"/>
    </w:p>
    <w:p w14:paraId="38D2FBC8" w14:textId="77777777" w:rsidR="00A66BCC" w:rsidRDefault="00A66BCC" w:rsidP="00DF1084">
      <w:pPr>
        <w:rPr>
          <w:b/>
        </w:rPr>
      </w:pPr>
      <w:r w:rsidRPr="00AA3F80">
        <w:t xml:space="preserve">The Protest Tracker on the Procurement Integrated Enterprise Environment (PIEE) (accessible at </w:t>
      </w:r>
      <w:hyperlink r:id="rId6" w:history="1">
        <w:r w:rsidRPr="00AA3F80">
          <w:rPr>
            <w:color w:val="0563C1"/>
            <w:u w:val="single"/>
          </w:rPr>
          <w:t>https://wawf.eb.mil/</w:t>
        </w:r>
      </w:hyperlink>
      <w:r w:rsidRPr="00AA3F80">
        <w:t>)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w:p w14:paraId="11120685" w14:textId="77777777" w:rsidR="00A66BCC" w:rsidRPr="00A50794" w:rsidRDefault="00A66BCC" w:rsidP="00A50794">
      <w:pPr>
        <w:pStyle w:val="NormalWeb"/>
        <w:spacing w:before="0" w:beforeAutospacing="0" w:after="0" w:afterAutospacing="0"/>
      </w:pPr>
      <w:r>
        <w:rPr>
          <w:b w:val="0"/>
        </w:rPr>
        <w:br/>
      </w:r>
    </w:p>
    <w:p w14:paraId="7B90CE24" w14:textId="77777777" w:rsidR="00A66BCC" w:rsidRDefault="00A66BCC">
      <w:pPr>
        <w:sectPr w:rsidR="00A66BCC" w:rsidSect="00942859">
          <w:headerReference w:type="default" r:id="rId7"/>
          <w:footerReference w:type="default" r:id="rId8"/>
          <w:pgSz w:w="12240" w:h="15840"/>
          <w:pgMar w:top="1440" w:right="1440" w:bottom="1440" w:left="1440" w:header="720" w:footer="720" w:gutter="0"/>
          <w:cols w:space="720"/>
          <w:docGrid w:linePitch="360"/>
        </w:sectPr>
      </w:pPr>
    </w:p>
    <w:p w14:paraId="7D413342" w14:textId="77777777" w:rsidR="00A66BCC" w:rsidRDefault="00A66BCC" w:rsidP="00BF12E1">
      <w:pPr>
        <w:jc w:val="center"/>
      </w:pPr>
      <w:r w:rsidRPr="009037B9">
        <w:rPr>
          <w:i/>
          <w:szCs w:val="24"/>
        </w:rPr>
        <w:lastRenderedPageBreak/>
        <w:t>(</w:t>
      </w:r>
      <w:r>
        <w:rPr>
          <w:i/>
          <w:szCs w:val="24"/>
        </w:rPr>
        <w:t>Add</w:t>
      </w:r>
      <w:r w:rsidRPr="009037B9">
        <w:rPr>
          <w:i/>
          <w:szCs w:val="24"/>
        </w:rPr>
        <w:t xml:space="preserve">ed </w:t>
      </w:r>
      <w:r>
        <w:rPr>
          <w:i/>
          <w:szCs w:val="24"/>
        </w:rPr>
        <w:t>February 12, 2007</w:t>
      </w:r>
      <w:r w:rsidRPr="009037B9">
        <w:rPr>
          <w:i/>
          <w:szCs w:val="24"/>
        </w:rPr>
        <w:t>)</w:t>
      </w:r>
    </w:p>
    <w:p w14:paraId="495878AA" w14:textId="77777777" w:rsidR="00A66BCC" w:rsidRDefault="00A66BCC" w:rsidP="00BF12E1">
      <w:pPr>
        <w:pStyle w:val="Heading2"/>
      </w:pPr>
      <w:r>
        <w:rPr>
          <w:i/>
          <w:szCs w:val="24"/>
        </w:rPr>
        <w:br/>
      </w:r>
      <w:bookmarkStart w:id="11" w:name="_Toc37415846"/>
      <w:bookmarkStart w:id="12" w:name="_Toc37677674"/>
      <w:bookmarkStart w:id="13" w:name="_Toc37756487"/>
      <w:r w:rsidRPr="00FA3419">
        <w:t>PGI 233.2</w:t>
      </w:r>
      <w:r>
        <w:t>—</w:t>
      </w:r>
      <w:r w:rsidRPr="00FA3419">
        <w:t>DISPUTES AND APPEALS</w:t>
      </w:r>
      <w:bookmarkEnd w:id="11"/>
      <w:bookmarkEnd w:id="12"/>
      <w:bookmarkEnd w:id="13"/>
    </w:p>
    <w:p w14:paraId="6219FE2D" w14:textId="77777777" w:rsidR="00A66BCC" w:rsidRDefault="00A66BCC" w:rsidP="00BF12E1">
      <w:pPr>
        <w:pStyle w:val="Heading3"/>
      </w:pPr>
      <w:r>
        <w:br/>
      </w:r>
      <w:bookmarkStart w:id="14" w:name="_Toc37415847"/>
      <w:bookmarkStart w:id="15" w:name="_Toc37677675"/>
      <w:bookmarkStart w:id="16" w:name="_Toc37756488"/>
      <w:r w:rsidRPr="00FA3419">
        <w:rPr>
          <w:b/>
        </w:rPr>
        <w:t>PGI 233.210  Contracting officer's authority.</w:t>
      </w:r>
      <w:bookmarkEnd w:id="14"/>
      <w:bookmarkEnd w:id="15"/>
      <w:bookmarkEnd w:id="16"/>
    </w:p>
    <w:p w14:paraId="1A38FE2F" w14:textId="77777777" w:rsidR="00A66BCC" w:rsidRDefault="00A66BCC" w:rsidP="00BF12E1">
      <w:r>
        <w:rPr>
          <w:b/>
        </w:rPr>
        <w:br/>
      </w:r>
      <w:r w:rsidRPr="00FA3419">
        <w:tab/>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p w14:paraId="177C11E4" w14:textId="77777777" w:rsidR="00A66BCC" w:rsidRPr="007A1FA9" w:rsidRDefault="00A66BCC" w:rsidP="00BF12E1">
      <w:pPr>
        <w:rPr>
          <w:szCs w:val="24"/>
        </w:rPr>
      </w:pPr>
      <w:r>
        <w:br/>
      </w:r>
    </w:p>
    <w:p w14:paraId="0DC70FE1" w14:textId="77777777" w:rsidR="00850595" w:rsidRDefault="00850595"/>
    <w:sectPr w:rsidR="00850595" w:rsidSect="00C12C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6AF1B" w14:textId="77777777" w:rsidR="00306C40" w:rsidRDefault="00306C40">
      <w:pPr>
        <w:spacing w:after="0" w:line="240" w:lineRule="auto"/>
      </w:pPr>
      <w:r>
        <w:separator/>
      </w:r>
    </w:p>
  </w:endnote>
  <w:endnote w:type="continuationSeparator" w:id="0">
    <w:p w14:paraId="51287253" w14:textId="77777777" w:rsidR="00306C40" w:rsidRDefault="0030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8C21" w14:textId="77777777" w:rsidR="00945E5D" w:rsidRDefault="00306C40">
    <w:pPr>
      <w:pStyle w:val="Footer"/>
      <w:rPr>
        <w:rFonts w:ascii="Century Schoolbook" w:hAnsi="Century Schoolbook"/>
        <w:sz w:val="20"/>
      </w:rPr>
    </w:pPr>
  </w:p>
  <w:p w14:paraId="67FAC499" w14:textId="77777777" w:rsidR="00945E5D" w:rsidRDefault="00306C40">
    <w:pPr>
      <w:pStyle w:val="Footer"/>
      <w:tabs>
        <w:tab w:val="clear" w:pos="8640"/>
      </w:tabs>
      <w:rPr>
        <w:rFonts w:ascii="Century Schoolbook" w:hAnsi="Century Schoolbook"/>
        <w:b/>
        <w:sz w:val="20"/>
      </w:rPr>
    </w:pPr>
  </w:p>
  <w:p w14:paraId="1A55101B" w14:textId="77777777" w:rsidR="00945E5D" w:rsidRPr="00BC71C0" w:rsidRDefault="00A66BCC">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3</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1ABA0" w14:textId="77777777" w:rsidR="00677A6A" w:rsidRDefault="00306C40">
    <w:pPr>
      <w:pStyle w:val="Footer"/>
      <w:rPr>
        <w:rFonts w:ascii="Century Schoolbook" w:hAnsi="Century Schoolbook"/>
        <w:sz w:val="20"/>
      </w:rPr>
    </w:pPr>
  </w:p>
  <w:p w14:paraId="13A1E3FB" w14:textId="77777777" w:rsidR="00677A6A" w:rsidRDefault="00306C40">
    <w:pPr>
      <w:pStyle w:val="Footer"/>
      <w:tabs>
        <w:tab w:val="clear" w:pos="8640"/>
      </w:tabs>
      <w:rPr>
        <w:rFonts w:ascii="Century Schoolbook" w:hAnsi="Century Schoolbook"/>
        <w:b/>
        <w:sz w:val="20"/>
      </w:rPr>
    </w:pPr>
  </w:p>
  <w:p w14:paraId="44B3D944" w14:textId="77777777" w:rsidR="00677A6A" w:rsidRPr="00BC71C0" w:rsidRDefault="00A66BCC">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3</w:t>
    </w:r>
    <w:r w:rsidRPr="00BC71C0">
      <w:rPr>
        <w:szCs w:val="22"/>
      </w:rPr>
      <w:t>.</w:t>
    </w:r>
    <w:r>
      <w:rPr>
        <w:szCs w:val="22"/>
      </w:rPr>
      <w:t>2</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D0945" w14:textId="77777777" w:rsidR="00306C40" w:rsidRDefault="00306C40">
      <w:pPr>
        <w:spacing w:after="0" w:line="240" w:lineRule="auto"/>
      </w:pPr>
      <w:r>
        <w:separator/>
      </w:r>
    </w:p>
  </w:footnote>
  <w:footnote w:type="continuationSeparator" w:id="0">
    <w:p w14:paraId="4520D060" w14:textId="77777777" w:rsidR="00306C40" w:rsidRDefault="00306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EE2C2" w14:textId="77777777" w:rsidR="00945E5D" w:rsidRDefault="00A66BCC" w:rsidP="003E6AA4">
    <w:pPr>
      <w:pStyle w:val="Header"/>
      <w:tabs>
        <w:tab w:val="clear" w:pos="8640"/>
        <w:tab w:val="left" w:pos="4590"/>
      </w:tabs>
      <w:jc w:val="center"/>
      <w:rPr>
        <w:sz w:val="28"/>
        <w:szCs w:val="28"/>
      </w:rPr>
    </w:pPr>
    <w:r w:rsidRPr="002B1BC7">
      <w:rPr>
        <w:sz w:val="28"/>
        <w:szCs w:val="28"/>
      </w:rPr>
      <w:t>DFARS Procedures, Guidance, and Information</w:t>
    </w:r>
  </w:p>
  <w:p w14:paraId="428E2D34" w14:textId="77777777" w:rsidR="00945E5D" w:rsidRPr="002B1BC7" w:rsidRDefault="00306C40" w:rsidP="003E6AA4">
    <w:pPr>
      <w:pStyle w:val="Header"/>
      <w:tabs>
        <w:tab w:val="clear" w:pos="8640"/>
        <w:tab w:val="left" w:pos="4590"/>
      </w:tabs>
      <w:jc w:val="center"/>
      <w:rPr>
        <w:sz w:val="28"/>
        <w:szCs w:val="28"/>
      </w:rPr>
    </w:pPr>
  </w:p>
  <w:p w14:paraId="63690020" w14:textId="77777777" w:rsidR="00945E5D" w:rsidRPr="00BC71C0" w:rsidRDefault="00A66BCC">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3</w:t>
    </w:r>
    <w:r w:rsidRPr="00BC71C0">
      <w:rPr>
        <w:szCs w:val="24"/>
      </w:rPr>
      <w:t>—</w:t>
    </w:r>
    <w:r>
      <w:rPr>
        <w:szCs w:val="24"/>
      </w:rPr>
      <w:t>Protests, Disputes, and Appeals</w:t>
    </w:r>
  </w:p>
  <w:p w14:paraId="4E36BC77" w14:textId="77777777" w:rsidR="00945E5D" w:rsidRDefault="00306C40">
    <w:pPr>
      <w:pStyle w:val="Header"/>
      <w:tabs>
        <w:tab w:val="clear" w:pos="8640"/>
        <w:tab w:val="right" w:pos="9260"/>
      </w:tabs>
      <w:spacing w:before="20" w:line="20" w:lineRule="exact"/>
      <w:rPr>
        <w:rFonts w:ascii="Geneva" w:hAnsi="Geneva"/>
        <w:b/>
        <w:position w:val="6"/>
        <w:sz w:val="18"/>
      </w:rPr>
    </w:pPr>
  </w:p>
  <w:p w14:paraId="24E91034" w14:textId="77777777" w:rsidR="00945E5D" w:rsidRDefault="00306C40">
    <w:pPr>
      <w:pStyle w:val="Header"/>
      <w:tabs>
        <w:tab w:val="clear" w:pos="8640"/>
        <w:tab w:val="right" w:pos="9260"/>
      </w:tabs>
      <w:rPr>
        <w:rFonts w:ascii="Century Schoolbook" w:hAnsi="Century Schoolbook"/>
        <w:b/>
        <w:sz w:val="20"/>
      </w:rPr>
    </w:pPr>
  </w:p>
  <w:p w14:paraId="1C1F4EBE" w14:textId="77777777" w:rsidR="00945E5D" w:rsidRDefault="00306C40">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ADA7E" w14:textId="77777777" w:rsidR="00677A6A" w:rsidRDefault="00A66BCC" w:rsidP="003E6AA4">
    <w:pPr>
      <w:pStyle w:val="Header"/>
      <w:tabs>
        <w:tab w:val="clear" w:pos="8640"/>
        <w:tab w:val="left" w:pos="4590"/>
      </w:tabs>
      <w:jc w:val="center"/>
      <w:rPr>
        <w:sz w:val="28"/>
        <w:szCs w:val="28"/>
      </w:rPr>
    </w:pPr>
    <w:r w:rsidRPr="002B1BC7">
      <w:rPr>
        <w:sz w:val="28"/>
        <w:szCs w:val="28"/>
      </w:rPr>
      <w:t>DFARS Procedures, Guidance, and Information</w:t>
    </w:r>
  </w:p>
  <w:p w14:paraId="168CFCAD" w14:textId="77777777" w:rsidR="00BC71C0" w:rsidRPr="002B1BC7" w:rsidRDefault="00306C40" w:rsidP="003E6AA4">
    <w:pPr>
      <w:pStyle w:val="Header"/>
      <w:tabs>
        <w:tab w:val="clear" w:pos="8640"/>
        <w:tab w:val="left" w:pos="4590"/>
      </w:tabs>
      <w:jc w:val="center"/>
      <w:rPr>
        <w:sz w:val="28"/>
        <w:szCs w:val="28"/>
      </w:rPr>
    </w:pPr>
  </w:p>
  <w:p w14:paraId="39C637B7" w14:textId="77777777" w:rsidR="00677A6A" w:rsidRPr="00BC71C0" w:rsidRDefault="00A66BCC">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3</w:t>
    </w:r>
    <w:r w:rsidRPr="00BC71C0">
      <w:rPr>
        <w:szCs w:val="24"/>
      </w:rPr>
      <w:t>—</w:t>
    </w:r>
    <w:r>
      <w:rPr>
        <w:szCs w:val="24"/>
      </w:rPr>
      <w:t xml:space="preserve">Protests, Disputes, and Appeals             </w:t>
    </w:r>
  </w:p>
  <w:p w14:paraId="04542A2C" w14:textId="77777777" w:rsidR="00677A6A" w:rsidRDefault="00306C40">
    <w:pPr>
      <w:pStyle w:val="Header"/>
      <w:tabs>
        <w:tab w:val="clear" w:pos="8640"/>
        <w:tab w:val="right" w:pos="9260"/>
      </w:tabs>
      <w:spacing w:before="20" w:line="20" w:lineRule="exact"/>
      <w:rPr>
        <w:rFonts w:ascii="Geneva" w:hAnsi="Geneva"/>
        <w:b/>
        <w:position w:val="6"/>
        <w:sz w:val="18"/>
      </w:rPr>
    </w:pPr>
  </w:p>
  <w:p w14:paraId="2BE2806D" w14:textId="77777777" w:rsidR="00677A6A" w:rsidRDefault="00306C40">
    <w:pPr>
      <w:pStyle w:val="Header"/>
      <w:tabs>
        <w:tab w:val="clear" w:pos="8640"/>
        <w:tab w:val="right" w:pos="9260"/>
      </w:tabs>
      <w:rPr>
        <w:rFonts w:ascii="Century Schoolbook" w:hAnsi="Century Schoolbook"/>
        <w:b/>
        <w:sz w:val="20"/>
      </w:rPr>
    </w:pPr>
  </w:p>
  <w:p w14:paraId="2B65900B" w14:textId="77777777" w:rsidR="00677A6A" w:rsidRDefault="00306C40">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CC"/>
    <w:rsid w:val="000A0D3C"/>
    <w:rsid w:val="00306C40"/>
    <w:rsid w:val="00505901"/>
    <w:rsid w:val="00580FDA"/>
    <w:rsid w:val="007122F9"/>
    <w:rsid w:val="007D6208"/>
    <w:rsid w:val="00850595"/>
    <w:rsid w:val="00963121"/>
    <w:rsid w:val="00A66BCC"/>
    <w:rsid w:val="00B8095C"/>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0263"/>
  <w15:chartTrackingRefBased/>
  <w15:docId w15:val="{DF7FC2F5-0B3F-4FF2-9384-7FCFC628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A66BCC"/>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A66BCC"/>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A66BCC"/>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uiPriority w:val="9"/>
    <w:semiHidden/>
    <w:unhideWhenUsed/>
    <w:qFormat/>
    <w:rsid w:val="000A0D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BCC"/>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A66BCC"/>
    <w:rPr>
      <w:rFonts w:ascii="Arial" w:eastAsiaTheme="majorEastAsia" w:hAnsi="Arial" w:cs="Arial"/>
      <w:b/>
      <w:bCs/>
      <w:iCs/>
      <w:sz w:val="28"/>
      <w:szCs w:val="28"/>
    </w:rPr>
  </w:style>
  <w:style w:type="character" w:customStyle="1" w:styleId="Heading3Char">
    <w:name w:val="Heading 3 Char"/>
    <w:basedOn w:val="DefaultParagraphFont"/>
    <w:link w:val="Heading3"/>
    <w:rsid w:val="00A66BCC"/>
    <w:rPr>
      <w:rFonts w:ascii="Arial" w:eastAsia="Times New Roman" w:hAnsi="Arial" w:cs="Arial"/>
      <w:szCs w:val="20"/>
    </w:rPr>
  </w:style>
  <w:style w:type="paragraph" w:styleId="Footer">
    <w:name w:val="footer"/>
    <w:basedOn w:val="Normal"/>
    <w:link w:val="FooterChar"/>
    <w:rsid w:val="00A66BCC"/>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A66BCC"/>
    <w:rPr>
      <w:rFonts w:ascii="Arial" w:eastAsia="Times New Roman" w:hAnsi="Arial" w:cs="Arial"/>
      <w:szCs w:val="20"/>
    </w:rPr>
  </w:style>
  <w:style w:type="paragraph" w:styleId="Header">
    <w:name w:val="header"/>
    <w:basedOn w:val="Normal"/>
    <w:link w:val="HeaderChar"/>
    <w:rsid w:val="00A66BCC"/>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A66BCC"/>
    <w:rPr>
      <w:rFonts w:ascii="Arial" w:eastAsia="Times New Roman" w:hAnsi="Arial" w:cs="Arial"/>
      <w:szCs w:val="20"/>
    </w:rPr>
  </w:style>
  <w:style w:type="paragraph" w:styleId="NormalWeb">
    <w:name w:val="Normal (Web)"/>
    <w:basedOn w:val="Normal"/>
    <w:rsid w:val="00A66BCC"/>
    <w:pPr>
      <w:spacing w:before="100" w:beforeAutospacing="1" w:after="100" w:afterAutospacing="1" w:line="240" w:lineRule="auto"/>
    </w:pPr>
    <w:rPr>
      <w:rFonts w:eastAsia="Times New Roman"/>
      <w:b/>
      <w:szCs w:val="24"/>
    </w:rPr>
  </w:style>
  <w:style w:type="paragraph" w:customStyle="1" w:styleId="List1">
    <w:name w:val="List 1"/>
    <w:link w:val="List1Char"/>
    <w:rsid w:val="00A66BCC"/>
    <w:pPr>
      <w:spacing w:after="0" w:line="240" w:lineRule="auto"/>
      <w:ind w:left="360" w:hanging="360"/>
      <w:contextualSpacing/>
    </w:pPr>
    <w:rPr>
      <w:rFonts w:ascii="Arial" w:eastAsia="Times New Roman" w:hAnsi="Arial" w:cs="Arial"/>
      <w:szCs w:val="20"/>
    </w:rPr>
  </w:style>
  <w:style w:type="character" w:customStyle="1" w:styleId="List1Char">
    <w:name w:val="List 1 Char"/>
    <w:basedOn w:val="Heading3Char"/>
    <w:link w:val="List1"/>
    <w:rsid w:val="00A66BCC"/>
    <w:rPr>
      <w:rFonts w:ascii="Arial" w:eastAsia="Times New Roman" w:hAnsi="Arial" w:cs="Arial"/>
      <w:szCs w:val="20"/>
    </w:rPr>
  </w:style>
  <w:style w:type="paragraph" w:styleId="TOC1">
    <w:name w:val="toc 1"/>
    <w:basedOn w:val="Normal"/>
    <w:next w:val="Normal"/>
    <w:autoRedefine/>
    <w:uiPriority w:val="39"/>
    <w:unhideWhenUsed/>
    <w:rsid w:val="00A66BCC"/>
    <w:pPr>
      <w:spacing w:after="100"/>
    </w:pPr>
  </w:style>
  <w:style w:type="paragraph" w:styleId="TOC2">
    <w:name w:val="toc 2"/>
    <w:basedOn w:val="Normal"/>
    <w:next w:val="Normal"/>
    <w:autoRedefine/>
    <w:uiPriority w:val="39"/>
    <w:unhideWhenUsed/>
    <w:rsid w:val="00A66BCC"/>
    <w:pPr>
      <w:spacing w:after="100"/>
      <w:ind w:left="220"/>
    </w:pPr>
  </w:style>
  <w:style w:type="paragraph" w:styleId="TOC3">
    <w:name w:val="toc 3"/>
    <w:basedOn w:val="Normal"/>
    <w:next w:val="Normal"/>
    <w:autoRedefine/>
    <w:uiPriority w:val="39"/>
    <w:unhideWhenUsed/>
    <w:rsid w:val="00A66BCC"/>
    <w:pPr>
      <w:spacing w:after="100"/>
      <w:ind w:left="440"/>
    </w:pPr>
  </w:style>
  <w:style w:type="character" w:styleId="Hyperlink">
    <w:name w:val="Hyperlink"/>
    <w:basedOn w:val="DefaultParagraphFont"/>
    <w:uiPriority w:val="99"/>
    <w:unhideWhenUsed/>
    <w:rsid w:val="00A66BCC"/>
    <w:rPr>
      <w:color w:val="0563C1" w:themeColor="hyperlink"/>
      <w:u w:val="single"/>
    </w:rPr>
  </w:style>
  <w:style w:type="paragraph" w:styleId="TOC4">
    <w:name w:val="toc 4"/>
    <w:basedOn w:val="Normal"/>
    <w:next w:val="Normal"/>
    <w:autoRedefine/>
    <w:uiPriority w:val="39"/>
    <w:semiHidden/>
    <w:unhideWhenUsed/>
    <w:rsid w:val="00A66BCC"/>
    <w:pPr>
      <w:spacing w:after="100"/>
      <w:ind w:left="660"/>
    </w:pPr>
  </w:style>
  <w:style w:type="paragraph" w:styleId="TOC5">
    <w:name w:val="toc 5"/>
    <w:basedOn w:val="Normal"/>
    <w:next w:val="Normal"/>
    <w:autoRedefine/>
    <w:uiPriority w:val="39"/>
    <w:semiHidden/>
    <w:unhideWhenUsed/>
    <w:rsid w:val="00A66BCC"/>
    <w:pPr>
      <w:spacing w:after="100"/>
      <w:ind w:left="880"/>
    </w:pPr>
  </w:style>
  <w:style w:type="paragraph" w:styleId="TOC6">
    <w:name w:val="toc 6"/>
    <w:basedOn w:val="Normal"/>
    <w:next w:val="Normal"/>
    <w:autoRedefine/>
    <w:uiPriority w:val="39"/>
    <w:semiHidden/>
    <w:unhideWhenUsed/>
    <w:rsid w:val="00A66BCC"/>
    <w:pPr>
      <w:spacing w:after="100"/>
      <w:ind w:left="1100"/>
    </w:pPr>
  </w:style>
  <w:style w:type="paragraph" w:styleId="TOC7">
    <w:name w:val="toc 7"/>
    <w:basedOn w:val="Normal"/>
    <w:next w:val="Normal"/>
    <w:autoRedefine/>
    <w:uiPriority w:val="39"/>
    <w:semiHidden/>
    <w:unhideWhenUsed/>
    <w:rsid w:val="00A66BCC"/>
    <w:pPr>
      <w:spacing w:after="100"/>
      <w:ind w:left="1320"/>
    </w:pPr>
  </w:style>
  <w:style w:type="paragraph" w:styleId="TOC8">
    <w:name w:val="toc 8"/>
    <w:basedOn w:val="Normal"/>
    <w:next w:val="Normal"/>
    <w:autoRedefine/>
    <w:uiPriority w:val="39"/>
    <w:semiHidden/>
    <w:unhideWhenUsed/>
    <w:rsid w:val="00A66BCC"/>
    <w:pPr>
      <w:spacing w:after="100"/>
      <w:ind w:left="1540"/>
    </w:pPr>
  </w:style>
  <w:style w:type="paragraph" w:styleId="TOC9">
    <w:name w:val="toc 9"/>
    <w:basedOn w:val="Normal"/>
    <w:next w:val="Normal"/>
    <w:autoRedefine/>
    <w:uiPriority w:val="39"/>
    <w:semiHidden/>
    <w:unhideWhenUsed/>
    <w:rsid w:val="00A66BCC"/>
    <w:pPr>
      <w:spacing w:after="100"/>
      <w:ind w:left="1760"/>
    </w:pPr>
  </w:style>
  <w:style w:type="character" w:customStyle="1" w:styleId="Heading4Char">
    <w:name w:val="Heading 4 Char"/>
    <w:basedOn w:val="DefaultParagraphFont"/>
    <w:link w:val="Heading4"/>
    <w:uiPriority w:val="9"/>
    <w:semiHidden/>
    <w:rsid w:val="000A0D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wf.eb.mi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2020-04-10T16:55:00Z</dcterms:created>
  <dcterms:modified xsi:type="dcterms:W3CDTF">2020-04-14T15:34:00Z</dcterms:modified>
</cp:coreProperties>
</file>