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D6433" w14:textId="77777777" w:rsidR="004378C3" w:rsidRDefault="004378C3">
      <w:pPr>
        <w:sectPr w:rsidR="004378C3">
          <w:pgSz w:w="12240" w:h="15840"/>
          <w:pgMar w:top="1440" w:right="1440" w:bottom="1440" w:left="1440" w:header="720" w:footer="720" w:gutter="0"/>
          <w:cols w:space="720"/>
          <w:docGrid w:linePitch="360"/>
        </w:sectPr>
      </w:pPr>
    </w:p>
    <w:p w14:paraId="4CE9C16F" w14:textId="77777777" w:rsidR="004378C3" w:rsidRDefault="004378C3" w:rsidP="00D35C37">
      <w:pPr>
        <w:pStyle w:val="Heading1"/>
      </w:pPr>
      <w:bookmarkStart w:id="0" w:name="_Toc37677676"/>
      <w:bookmarkStart w:id="1" w:name="_Toc37756474"/>
      <w:r w:rsidRPr="007B495C">
        <w:lastRenderedPageBreak/>
        <w:t>PART 2</w:t>
      </w:r>
      <w:r>
        <w:t>34</w:t>
      </w:r>
      <w:r w:rsidRPr="007B495C">
        <w:t xml:space="preserve"> - </w:t>
      </w:r>
      <w:r>
        <w:br/>
      </w:r>
      <w:r w:rsidRPr="003A6429">
        <w:t>Major System Acquisition</w:t>
      </w:r>
      <w:bookmarkEnd w:id="0"/>
      <w:bookmarkEnd w:id="1"/>
      <w:r w:rsidRPr="003A6429">
        <w:tab/>
      </w:r>
    </w:p>
    <w:p w14:paraId="3EAE8F0C" w14:textId="77777777" w:rsidR="004378C3" w:rsidRDefault="004378C3">
      <w:r>
        <w:br w:type="page"/>
      </w:r>
      <w:r>
        <w:lastRenderedPageBreak/>
        <w:br/>
      </w:r>
    </w:p>
    <w:p w14:paraId="49B2A363" w14:textId="77777777" w:rsidR="00A34A0E" w:rsidRPr="001341F8" w:rsidRDefault="00A34A0E" w:rsidP="001341F8">
      <w:pPr>
        <w:jc w:val="center"/>
        <w:rPr>
          <w:b/>
        </w:rPr>
      </w:pPr>
      <w:r w:rsidRPr="001341F8">
        <w:rPr>
          <w:b/>
        </w:rPr>
        <w:t>Table of Contents</w:t>
      </w:r>
    </w:p>
    <w:p w14:paraId="181AFFB6" w14:textId="3CABEFF4" w:rsidR="008A38ED" w:rsidRDefault="008A38ED" w:rsidP="008A38ED">
      <w:pPr>
        <w:pStyle w:val="TOC1"/>
        <w:tabs>
          <w:tab w:val="right" w:leader="dot" w:pos="9350"/>
        </w:tabs>
        <w:rPr>
          <w:rFonts w:asciiTheme="minorHAnsi" w:eastAsiaTheme="minorEastAsia" w:hAnsiTheme="minorHAnsi" w:cstheme="minorBidi"/>
          <w:noProof/>
        </w:rPr>
      </w:pPr>
      <w:r>
        <w:rPr>
          <w:rStyle w:val="Hyperlink"/>
          <w:b/>
          <w:noProof/>
        </w:rPr>
        <w:fldChar w:fldCharType="begin"/>
      </w:r>
      <w:r>
        <w:rPr>
          <w:rStyle w:val="Hyperlink"/>
          <w:b/>
          <w:noProof/>
        </w:rPr>
        <w:instrText xml:space="preserve"> TOC \o "1-4" \n \h \z \u </w:instrText>
      </w:r>
      <w:r>
        <w:rPr>
          <w:rStyle w:val="Hyperlink"/>
          <w:b/>
          <w:noProof/>
        </w:rPr>
        <w:fldChar w:fldCharType="separate"/>
      </w:r>
      <w:hyperlink w:anchor="_Toc37756474" w:history="1">
        <w:r w:rsidRPr="006C0709">
          <w:rPr>
            <w:rStyle w:val="Hyperlink"/>
            <w:noProof/>
          </w:rPr>
          <w:t>PART 234 -  Major System Acquisition</w:t>
        </w:r>
      </w:hyperlink>
    </w:p>
    <w:p w14:paraId="5ED099D2" w14:textId="351DEAE9" w:rsidR="008A38ED" w:rsidRDefault="008A38ED" w:rsidP="008A38ED">
      <w:pPr>
        <w:pStyle w:val="TOC2"/>
        <w:tabs>
          <w:tab w:val="right" w:leader="dot" w:pos="9350"/>
        </w:tabs>
        <w:rPr>
          <w:rFonts w:asciiTheme="minorHAnsi" w:eastAsiaTheme="minorEastAsia" w:hAnsiTheme="minorHAnsi" w:cstheme="minorBidi"/>
          <w:noProof/>
        </w:rPr>
      </w:pPr>
      <w:hyperlink w:anchor="_Toc37756475" w:history="1">
        <w:r w:rsidRPr="006C0709">
          <w:rPr>
            <w:rStyle w:val="Hyperlink"/>
            <w:noProof/>
          </w:rPr>
          <w:t>PGI 234.2—EARNED VALUE MANAGEMENT SYSTEM</w:t>
        </w:r>
      </w:hyperlink>
    </w:p>
    <w:p w14:paraId="03A9E9AE" w14:textId="6EA8C491" w:rsidR="008A38ED" w:rsidRDefault="008A38ED" w:rsidP="008A38ED">
      <w:pPr>
        <w:pStyle w:val="TOC3"/>
        <w:tabs>
          <w:tab w:val="right" w:leader="dot" w:pos="9350"/>
        </w:tabs>
        <w:rPr>
          <w:rFonts w:asciiTheme="minorHAnsi" w:eastAsiaTheme="minorEastAsia" w:hAnsiTheme="minorHAnsi" w:cstheme="minorBidi"/>
          <w:noProof/>
        </w:rPr>
      </w:pPr>
      <w:hyperlink w:anchor="_Toc37756476" w:history="1">
        <w:r w:rsidRPr="006C0709">
          <w:rPr>
            <w:rStyle w:val="Hyperlink"/>
            <w:b/>
            <w:noProof/>
          </w:rPr>
          <w:t>PGI 234.201  Policy.</w:t>
        </w:r>
      </w:hyperlink>
    </w:p>
    <w:p w14:paraId="28766A44" w14:textId="54171113" w:rsidR="008A38ED" w:rsidRDefault="008A38ED" w:rsidP="008A38ED">
      <w:pPr>
        <w:pStyle w:val="TOC2"/>
        <w:tabs>
          <w:tab w:val="right" w:leader="dot" w:pos="9350"/>
        </w:tabs>
        <w:rPr>
          <w:rFonts w:asciiTheme="minorHAnsi" w:eastAsiaTheme="minorEastAsia" w:hAnsiTheme="minorHAnsi" w:cstheme="minorBidi"/>
          <w:noProof/>
        </w:rPr>
      </w:pPr>
      <w:hyperlink w:anchor="_Toc37756477" w:history="1">
        <w:r w:rsidRPr="006C0709">
          <w:rPr>
            <w:rStyle w:val="Hyperlink"/>
            <w:noProof/>
          </w:rPr>
          <w:t>PGI 234.70—ACQUISITION OF MAJOR WEAPON SYSTEMS AS COMMERCIAL ITEMS</w:t>
        </w:r>
      </w:hyperlink>
    </w:p>
    <w:p w14:paraId="61D77311" w14:textId="7FAD7C4E" w:rsidR="008A38ED" w:rsidRDefault="008A38ED" w:rsidP="008A38ED">
      <w:pPr>
        <w:pStyle w:val="TOC3"/>
        <w:tabs>
          <w:tab w:val="right" w:leader="dot" w:pos="9350"/>
        </w:tabs>
        <w:rPr>
          <w:rFonts w:asciiTheme="minorHAnsi" w:eastAsiaTheme="minorEastAsia" w:hAnsiTheme="minorHAnsi" w:cstheme="minorBidi"/>
          <w:noProof/>
        </w:rPr>
      </w:pPr>
      <w:hyperlink w:anchor="_Toc37756478" w:history="1">
        <w:r w:rsidRPr="006C0709">
          <w:rPr>
            <w:rStyle w:val="Hyperlink"/>
            <w:b/>
            <w:noProof/>
          </w:rPr>
          <w:t>PGI 234.7002  Policy.</w:t>
        </w:r>
      </w:hyperlink>
    </w:p>
    <w:p w14:paraId="21662E24" w14:textId="75B6A365" w:rsidR="008A38ED" w:rsidRDefault="008A38ED" w:rsidP="008A38ED">
      <w:pPr>
        <w:pStyle w:val="TOC2"/>
        <w:tabs>
          <w:tab w:val="right" w:leader="dot" w:pos="9350"/>
        </w:tabs>
        <w:rPr>
          <w:rFonts w:asciiTheme="minorHAnsi" w:eastAsiaTheme="minorEastAsia" w:hAnsiTheme="minorHAnsi" w:cstheme="minorBidi"/>
          <w:noProof/>
        </w:rPr>
      </w:pPr>
      <w:hyperlink w:anchor="_Toc37756479" w:history="1">
        <w:r w:rsidRPr="006C0709">
          <w:rPr>
            <w:rStyle w:val="Hyperlink"/>
            <w:noProof/>
          </w:rPr>
          <w:t>PGI 234.71—Cost and Software Data Reporting</w:t>
        </w:r>
      </w:hyperlink>
    </w:p>
    <w:p w14:paraId="6804E22F" w14:textId="013917A1" w:rsidR="008A38ED" w:rsidRDefault="008A38ED" w:rsidP="008A38ED">
      <w:pPr>
        <w:pStyle w:val="TOC3"/>
        <w:tabs>
          <w:tab w:val="right" w:leader="dot" w:pos="9350"/>
        </w:tabs>
        <w:rPr>
          <w:rFonts w:asciiTheme="minorHAnsi" w:eastAsiaTheme="minorEastAsia" w:hAnsiTheme="minorHAnsi" w:cstheme="minorBidi"/>
          <w:noProof/>
        </w:rPr>
      </w:pPr>
      <w:hyperlink w:anchor="_Toc37756480" w:history="1">
        <w:r w:rsidRPr="006C0709">
          <w:rPr>
            <w:rStyle w:val="Hyperlink"/>
            <w:b/>
            <w:noProof/>
          </w:rPr>
          <w:t>PGI 234.7100  Policy.</w:t>
        </w:r>
      </w:hyperlink>
    </w:p>
    <w:p w14:paraId="1E660D60" w14:textId="33E08956" w:rsidR="008A38ED" w:rsidRDefault="008A38ED" w:rsidP="008A38ED">
      <w:pPr>
        <w:pStyle w:val="TOC2"/>
        <w:tabs>
          <w:tab w:val="right" w:leader="dot" w:pos="9350"/>
        </w:tabs>
        <w:rPr>
          <w:rFonts w:asciiTheme="minorHAnsi" w:eastAsiaTheme="minorEastAsia" w:hAnsiTheme="minorHAnsi" w:cstheme="minorBidi"/>
          <w:noProof/>
        </w:rPr>
      </w:pPr>
      <w:hyperlink w:anchor="_Toc37756481" w:history="1">
        <w:r w:rsidRPr="006C0709">
          <w:rPr>
            <w:rStyle w:val="Hyperlink"/>
            <w:noProof/>
          </w:rPr>
          <w:t>The OSD Deputy Director, Cost Assessment, may be contacted at—</w:t>
        </w:r>
      </w:hyperlink>
    </w:p>
    <w:p w14:paraId="4C1BEFB8" w14:textId="7A6E2FCF" w:rsidR="008A38ED" w:rsidRDefault="008A38ED" w:rsidP="008A38ED">
      <w:pPr>
        <w:pStyle w:val="TOC2"/>
        <w:tabs>
          <w:tab w:val="right" w:leader="dot" w:pos="9350"/>
        </w:tabs>
        <w:rPr>
          <w:rFonts w:asciiTheme="minorHAnsi" w:eastAsiaTheme="minorEastAsia" w:hAnsiTheme="minorHAnsi" w:cstheme="minorBidi"/>
          <w:noProof/>
        </w:rPr>
      </w:pPr>
      <w:hyperlink w:anchor="_Toc37756482" w:history="1">
        <w:r w:rsidRPr="006C0709">
          <w:rPr>
            <w:rStyle w:val="Hyperlink"/>
            <w:noProof/>
          </w:rPr>
          <w:t>Defense Cost and Resource Center</w:t>
        </w:r>
      </w:hyperlink>
    </w:p>
    <w:p w14:paraId="5CDED297" w14:textId="66C8497F" w:rsidR="004378C3" w:rsidRPr="004378C3" w:rsidRDefault="008A38ED" w:rsidP="004378C3">
      <w:r>
        <w:rPr>
          <w:rStyle w:val="Hyperlink"/>
          <w:b/>
          <w:noProof/>
        </w:rPr>
        <w:fldChar w:fldCharType="end"/>
      </w:r>
    </w:p>
    <w:p w14:paraId="6B41C3DE" w14:textId="77777777" w:rsidR="004378C3" w:rsidRDefault="004378C3" w:rsidP="00CC4E98">
      <w:pPr>
        <w:jc w:val="center"/>
      </w:pPr>
      <w:r w:rsidRPr="00CB2A8E">
        <w:rPr>
          <w:i/>
          <w:szCs w:val="24"/>
        </w:rPr>
        <w:t>(</w:t>
      </w:r>
      <w:r>
        <w:rPr>
          <w:i/>
          <w:szCs w:val="24"/>
        </w:rPr>
        <w:t>Revised</w:t>
      </w:r>
      <w:r w:rsidRPr="00CB2A8E">
        <w:rPr>
          <w:i/>
          <w:szCs w:val="24"/>
        </w:rPr>
        <w:t xml:space="preserve"> </w:t>
      </w:r>
      <w:r>
        <w:rPr>
          <w:i/>
          <w:szCs w:val="24"/>
        </w:rPr>
        <w:t>May 18,</w:t>
      </w:r>
      <w:r w:rsidRPr="00CB2A8E">
        <w:rPr>
          <w:i/>
          <w:szCs w:val="24"/>
        </w:rPr>
        <w:t xml:space="preserve"> 20</w:t>
      </w:r>
      <w:r>
        <w:rPr>
          <w:i/>
          <w:szCs w:val="24"/>
        </w:rPr>
        <w:t>11</w:t>
      </w:r>
      <w:r w:rsidRPr="00CB2A8E">
        <w:rPr>
          <w:i/>
          <w:szCs w:val="24"/>
        </w:rPr>
        <w:t>)</w:t>
      </w:r>
    </w:p>
    <w:p w14:paraId="550413C2" w14:textId="77777777" w:rsidR="004378C3" w:rsidRDefault="004378C3" w:rsidP="00CC4E98">
      <w:pPr>
        <w:pStyle w:val="Heading2"/>
      </w:pPr>
      <w:r>
        <w:rPr>
          <w:i/>
          <w:szCs w:val="24"/>
        </w:rPr>
        <w:br/>
      </w:r>
      <w:bookmarkStart w:id="2" w:name="_Toc37415848"/>
      <w:bookmarkStart w:id="3" w:name="_Toc37677677"/>
      <w:bookmarkStart w:id="4" w:name="_Toc37756475"/>
      <w:r w:rsidRPr="00CB2A8E">
        <w:rPr>
          <w:szCs w:val="24"/>
        </w:rPr>
        <w:t>PGI 234.2—EARNED VALUE MANAGEMENT SYSTEM</w:t>
      </w:r>
      <w:bookmarkEnd w:id="2"/>
      <w:bookmarkEnd w:id="3"/>
      <w:bookmarkEnd w:id="4"/>
    </w:p>
    <w:p w14:paraId="1876D9E9" w14:textId="77777777" w:rsidR="004378C3" w:rsidRDefault="004378C3" w:rsidP="00CC4E98">
      <w:pPr>
        <w:pStyle w:val="Heading3"/>
      </w:pPr>
      <w:r>
        <w:rPr>
          <w:b/>
          <w:szCs w:val="24"/>
        </w:rPr>
        <w:br/>
      </w:r>
      <w:bookmarkStart w:id="5" w:name="_Toc37415849"/>
      <w:bookmarkStart w:id="6" w:name="_Toc37677678"/>
      <w:bookmarkStart w:id="7" w:name="_Toc37756476"/>
      <w:r w:rsidRPr="00CB2A8E">
        <w:rPr>
          <w:b/>
          <w:szCs w:val="24"/>
        </w:rPr>
        <w:t xml:space="preserve">PGI </w:t>
      </w:r>
      <w:proofErr w:type="gramStart"/>
      <w:r w:rsidRPr="00CB2A8E">
        <w:rPr>
          <w:b/>
          <w:szCs w:val="24"/>
        </w:rPr>
        <w:t>234.201  Policy</w:t>
      </w:r>
      <w:proofErr w:type="gramEnd"/>
      <w:r w:rsidRPr="00CB2A8E">
        <w:rPr>
          <w:b/>
          <w:szCs w:val="24"/>
        </w:rPr>
        <w:t>.</w:t>
      </w:r>
      <w:bookmarkEnd w:id="5"/>
      <w:bookmarkEnd w:id="6"/>
      <w:bookmarkEnd w:id="7"/>
    </w:p>
    <w:p w14:paraId="229290B8" w14:textId="77777777" w:rsidR="004378C3" w:rsidRDefault="004378C3" w:rsidP="00CC4E98">
      <w:pPr>
        <w:pStyle w:val="List2"/>
      </w:pPr>
      <w:r>
        <w:rPr>
          <w:b/>
          <w:szCs w:val="24"/>
        </w:rPr>
        <w:br/>
      </w:r>
      <w:r w:rsidRPr="00CB2A8E">
        <w:t>(1)(iii</w:t>
      </w:r>
      <w:proofErr w:type="gramStart"/>
      <w:r w:rsidRPr="00CB2A8E">
        <w:t>)  When</w:t>
      </w:r>
      <w:proofErr w:type="gramEnd"/>
      <w:r w:rsidRPr="00CB2A8E">
        <w:t xml:space="preserve"> the program manager decides to implement earned value management on contracts and subcontracts valued at less than $20,000,000, a cost-benefit analysis shall be conducted and the results documented in the contract file.  Considerations for determining the effectiveness of applying earned value management in these situations and guidance for tailoring reporting can be found in—</w:t>
      </w:r>
    </w:p>
    <w:p w14:paraId="6BC6AAD9" w14:textId="77777777" w:rsidR="004378C3" w:rsidRDefault="004378C3" w:rsidP="00CC4E98">
      <w:pPr>
        <w:pStyle w:val="List6"/>
      </w:pPr>
      <w:r>
        <w:br/>
      </w:r>
      <w:r w:rsidRPr="00892570">
        <w:rPr>
          <w:i/>
        </w:rPr>
        <w:t>(1)</w:t>
      </w:r>
      <w:r w:rsidRPr="00CB2A8E">
        <w:t xml:space="preserve">  The Defense Acquisition Guidebook, Chapter 11, Section 11.3, at </w:t>
      </w:r>
      <w:hyperlink r:id="rId6" w:history="1">
        <w:r w:rsidRPr="00CB2A8E">
          <w:rPr>
            <w:rStyle w:val="Hyperlink"/>
          </w:rPr>
          <w:t>https://akss.dau.mil/dag/DoD5000.asp?view=document</w:t>
        </w:r>
      </w:hyperlink>
      <w:r w:rsidRPr="00CB2A8E">
        <w:t>; and</w:t>
      </w:r>
    </w:p>
    <w:p w14:paraId="3F953607" w14:textId="77777777" w:rsidR="004378C3" w:rsidRDefault="004378C3" w:rsidP="00CC4E98">
      <w:pPr>
        <w:pStyle w:val="List6"/>
      </w:pPr>
      <w:r>
        <w:lastRenderedPageBreak/>
        <w:br/>
      </w:r>
      <w:r w:rsidRPr="00892570">
        <w:rPr>
          <w:i/>
        </w:rPr>
        <w:t>(</w:t>
      </w:r>
      <w:r>
        <w:rPr>
          <w:i/>
        </w:rPr>
        <w:t>2</w:t>
      </w:r>
      <w:r w:rsidRPr="00892570">
        <w:rPr>
          <w:i/>
        </w:rPr>
        <w:t>)</w:t>
      </w:r>
      <w:r w:rsidRPr="00CB2A8E">
        <w:t xml:space="preserve">  The DoD Earned Value Management Implementation Guide at </w:t>
      </w:r>
      <w:hyperlink r:id="rId7" w:history="1">
        <w:r w:rsidRPr="00CB2A8E">
          <w:rPr>
            <w:rStyle w:val="Hyperlink"/>
          </w:rPr>
          <w:t>https://acc.dau.mil/CommunityBrowser.aspx?id=19557</w:t>
        </w:r>
      </w:hyperlink>
      <w:r w:rsidRPr="00CB2A8E">
        <w:t>.</w:t>
      </w:r>
    </w:p>
    <w:p w14:paraId="5A46734C" w14:textId="77777777" w:rsidR="004378C3" w:rsidRDefault="004378C3" w:rsidP="00CC4E98">
      <w:pPr>
        <w:pStyle w:val="List3"/>
        <w:rPr>
          <w:b/>
        </w:rPr>
      </w:pPr>
      <w:r>
        <w:br/>
      </w:r>
      <w:r w:rsidRPr="00CB2A8E">
        <w:t>(iv)  In extraordinary cases where cost/schedule visibility is required and cannot be obtained using other means, the program manager shall request a waiver for individual contracts from the Milestone Decision Authority.  In these cases, the program manager will conduct a business case analysis that includes rationale as to why a cost or fixed-price incentive contract was not an appropriate contracting vehicle.  Considerations for determining the effectiveness of applying earned value management in these situations and guidance for tailoring reporting can be found in—</w:t>
      </w:r>
    </w:p>
    <w:p w14:paraId="5BC212C2" w14:textId="77777777" w:rsidR="004378C3" w:rsidRDefault="004378C3" w:rsidP="00CC4E98">
      <w:pPr>
        <w:pStyle w:val="List6"/>
      </w:pPr>
      <w:r>
        <w:rPr>
          <w:b/>
        </w:rPr>
        <w:br/>
      </w:r>
      <w:r w:rsidRPr="00892570">
        <w:rPr>
          <w:i/>
        </w:rPr>
        <w:t>(1)</w:t>
      </w:r>
      <w:r w:rsidRPr="00375427">
        <w:t xml:space="preserve">  The Defense Acquisition Guidebook, Chapter 11, Section 11.3, at </w:t>
      </w:r>
      <w:hyperlink r:id="rId8" w:history="1">
        <w:r w:rsidRPr="00375427">
          <w:rPr>
            <w:rStyle w:val="Hyperlink"/>
          </w:rPr>
          <w:t>https://akss.dau.mil/dag/DoD5000.asp?view=document</w:t>
        </w:r>
      </w:hyperlink>
      <w:r w:rsidRPr="00375427">
        <w:t>; and</w:t>
      </w:r>
    </w:p>
    <w:p w14:paraId="3F5688C0" w14:textId="77777777" w:rsidR="004378C3" w:rsidRDefault="004378C3" w:rsidP="00CC4E98">
      <w:pPr>
        <w:pStyle w:val="List6"/>
      </w:pPr>
      <w:r>
        <w:br/>
      </w:r>
      <w:r w:rsidRPr="00892570">
        <w:rPr>
          <w:i/>
        </w:rPr>
        <w:t>(</w:t>
      </w:r>
      <w:r>
        <w:rPr>
          <w:i/>
        </w:rPr>
        <w:t>2</w:t>
      </w:r>
      <w:r w:rsidRPr="00892570">
        <w:rPr>
          <w:i/>
        </w:rPr>
        <w:t>)</w:t>
      </w:r>
      <w:r w:rsidRPr="00CB2A8E">
        <w:t xml:space="preserve">  The DoD Earned Value Management Implementation Guide at </w:t>
      </w:r>
      <w:hyperlink r:id="rId9" w:history="1">
        <w:r w:rsidRPr="00CB2A8E">
          <w:rPr>
            <w:rStyle w:val="Hyperlink"/>
          </w:rPr>
          <w:t>https://acc.dau.mil/CommunityBrowser.aspx?id=19557</w:t>
        </w:r>
      </w:hyperlink>
      <w:r w:rsidRPr="00CB2A8E">
        <w:t>.</w:t>
      </w:r>
    </w:p>
    <w:p w14:paraId="75C8F348" w14:textId="77777777" w:rsidR="004378C3" w:rsidRDefault="004378C3" w:rsidP="00CC4E98">
      <w:pPr>
        <w:pStyle w:val="List2"/>
        <w:rPr>
          <w:b/>
        </w:rPr>
      </w:pPr>
      <w:r>
        <w:br/>
      </w:r>
      <w:r w:rsidRPr="00CB2A8E">
        <w:rPr>
          <w:spacing w:val="-5"/>
          <w:kern w:val="20"/>
        </w:rPr>
        <w:t xml:space="preserve">(2)  The procuring contracting officer shall obtain the assistance of the administrative contracting officer in determining the adequacy of an earned value management system (EVMS) plan that an offeror proposes for compliance with ANSI/EIA-748, under the provision at DFARS 252.234-7001, Notice of Earned Value Management System.  </w:t>
      </w:r>
      <w:r w:rsidRPr="00CB2A8E">
        <w:t xml:space="preserve">The Government will review and approve the offeror’s EVMS plan before contract award.   Instructions for performing EVMS plan reviews can be found at </w:t>
      </w:r>
      <w:hyperlink r:id="rId10" w:history="1">
        <w:r w:rsidRPr="00CB2A8E">
          <w:rPr>
            <w:rStyle w:val="Hyperlink"/>
          </w:rPr>
          <w:t>http://guidebook.dcma.mil/39/instructions.htm</w:t>
        </w:r>
      </w:hyperlink>
      <w:r w:rsidRPr="00CB2A8E">
        <w:rPr>
          <w:color w:val="0000FF"/>
        </w:rPr>
        <w:t>.</w:t>
      </w:r>
    </w:p>
    <w:p w14:paraId="392A0093" w14:textId="77777777" w:rsidR="004378C3" w:rsidRDefault="004378C3" w:rsidP="00CC4E98">
      <w:pPr>
        <w:pStyle w:val="List2"/>
        <w:rPr>
          <w:b/>
        </w:rPr>
      </w:pPr>
      <w:r>
        <w:rPr>
          <w:b/>
          <w:u w:val="double"/>
        </w:rPr>
        <w:br/>
      </w:r>
      <w:r w:rsidRPr="00CB2A8E">
        <w:rPr>
          <w:spacing w:val="-5"/>
          <w:kern w:val="20"/>
        </w:rPr>
        <w:t>(4)  Additional guidance on earned value management can be found in—</w:t>
      </w:r>
    </w:p>
    <w:p w14:paraId="1B64E524" w14:textId="77777777" w:rsidR="004378C3" w:rsidRPr="00372F96" w:rsidRDefault="004378C3" w:rsidP="00CC4E98">
      <w:pPr>
        <w:pStyle w:val="List4"/>
      </w:pPr>
      <w:r>
        <w:rPr>
          <w:b/>
          <w:spacing w:val="-5"/>
          <w:kern w:val="20"/>
        </w:rPr>
        <w:br/>
      </w:r>
      <w:r w:rsidRPr="00372F96">
        <w:t>(</w:t>
      </w:r>
      <w:r>
        <w:t>A</w:t>
      </w:r>
      <w:r w:rsidRPr="00372F96">
        <w:t>)  The G</w:t>
      </w:r>
      <w:r w:rsidRPr="00372F96">
        <w:rPr>
          <w:szCs w:val="24"/>
        </w:rPr>
        <w:t xml:space="preserve">uidebook for Earned Value Management System </w:t>
      </w:r>
      <w:r w:rsidRPr="00372F96">
        <w:t xml:space="preserve">(EVMS) System-Level Surveillance at </w:t>
      </w:r>
      <w:hyperlink r:id="rId11" w:history="1">
        <w:r w:rsidRPr="00086714">
          <w:rPr>
            <w:rStyle w:val="Hyperlink"/>
          </w:rPr>
          <w:t>http://guidebook.dcma.mil/79/instructions.htm</w:t>
        </w:r>
      </w:hyperlink>
      <w:r w:rsidRPr="00372F96">
        <w:t xml:space="preserve">; </w:t>
      </w:r>
    </w:p>
    <w:p w14:paraId="08B75279" w14:textId="77777777" w:rsidR="004378C3" w:rsidRDefault="004378C3" w:rsidP="00CC4E98">
      <w:pPr>
        <w:pStyle w:val="List4"/>
        <w:rPr>
          <w:color w:val="0000FF"/>
          <w:highlight w:val="yellow"/>
        </w:rPr>
      </w:pPr>
      <w:r w:rsidRPr="00372F96">
        <w:t>(</w:t>
      </w:r>
      <w:r>
        <w:t>B</w:t>
      </w:r>
      <w:r w:rsidRPr="00372F96">
        <w:t>)  The G</w:t>
      </w:r>
      <w:r w:rsidRPr="00372F96">
        <w:rPr>
          <w:szCs w:val="24"/>
        </w:rPr>
        <w:t xml:space="preserve">uidebook for Earned Value Management System - Program Analysis at </w:t>
      </w:r>
      <w:hyperlink r:id="rId12" w:history="1">
        <w:r w:rsidRPr="00372F96">
          <w:rPr>
            <w:rStyle w:val="Hyperlink"/>
          </w:rPr>
          <w:t>http://guidebook.dcma.mil/248/guidebook_process.htm</w:t>
        </w:r>
      </w:hyperlink>
      <w:r w:rsidRPr="00372F96">
        <w:t>; and</w:t>
      </w:r>
    </w:p>
    <w:p w14:paraId="7BE3AEDD" w14:textId="77777777" w:rsidR="004378C3" w:rsidRDefault="004378C3" w:rsidP="00CC4E98">
      <w:pPr>
        <w:pStyle w:val="List4"/>
      </w:pPr>
      <w:r>
        <w:rPr>
          <w:color w:val="0000FF"/>
          <w:highlight w:val="yellow"/>
        </w:rPr>
        <w:lastRenderedPageBreak/>
        <w:br/>
      </w:r>
      <w:r w:rsidRPr="00372F96">
        <w:t>(</w:t>
      </w:r>
      <w:r>
        <w:t>C</w:t>
      </w:r>
      <w:r w:rsidRPr="00372F96">
        <w:t xml:space="preserve">)  The Program Managers’ Guide to the Integrated Baseline Review Process (the IBR Guide) at </w:t>
      </w:r>
      <w:hyperlink r:id="rId13" w:history="1">
        <w:r w:rsidRPr="00372F96">
          <w:rPr>
            <w:rStyle w:val="Hyperlink"/>
          </w:rPr>
          <w:t>http://www.acq.osd.mil/pm/currentpolicy/currentpolicy.html</w:t>
        </w:r>
      </w:hyperlink>
      <w:r w:rsidRPr="00372F96">
        <w:t>.</w:t>
      </w:r>
    </w:p>
    <w:p w14:paraId="68B85C5A" w14:textId="77777777" w:rsidR="004378C3" w:rsidRDefault="004378C3" w:rsidP="00CC4E98">
      <w:pPr>
        <w:pStyle w:val="List2"/>
      </w:pPr>
      <w:r>
        <w:rPr>
          <w:color w:val="0000FF"/>
          <w:szCs w:val="24"/>
        </w:rPr>
        <w:br/>
      </w:r>
      <w:r w:rsidRPr="005E245B">
        <w:rPr>
          <w:szCs w:val="24"/>
        </w:rPr>
        <w:t xml:space="preserve">(7)  </w:t>
      </w:r>
      <w:r w:rsidRPr="005E245B">
        <w:rPr>
          <w:i/>
          <w:szCs w:val="24"/>
        </w:rPr>
        <w:t>Disposition of findings</w:t>
      </w:r>
      <w:r w:rsidRPr="005E245B">
        <w:rPr>
          <w:szCs w:val="24"/>
        </w:rPr>
        <w:t>.</w:t>
      </w:r>
    </w:p>
    <w:p w14:paraId="03BBE382" w14:textId="77777777" w:rsidR="004378C3" w:rsidRDefault="004378C3" w:rsidP="00CC4E98">
      <w:pPr>
        <w:pStyle w:val="List3"/>
      </w:pPr>
      <w:r>
        <w:rPr>
          <w:szCs w:val="24"/>
        </w:rPr>
        <w:br/>
      </w:r>
      <w:r w:rsidRPr="005E245B">
        <w:rPr>
          <w:szCs w:val="24"/>
        </w:rPr>
        <w:t xml:space="preserve">(ii)  </w:t>
      </w:r>
      <w:r w:rsidRPr="005E245B">
        <w:rPr>
          <w:i/>
          <w:szCs w:val="24"/>
        </w:rPr>
        <w:t>Initial determination</w:t>
      </w:r>
      <w:r w:rsidRPr="005E245B">
        <w:rPr>
          <w:szCs w:val="24"/>
        </w:rPr>
        <w:t xml:space="preserve">.  </w:t>
      </w:r>
    </w:p>
    <w:p w14:paraId="5A139A89" w14:textId="77777777" w:rsidR="004378C3" w:rsidRDefault="004378C3" w:rsidP="00CC4E98">
      <w:pPr>
        <w:pStyle w:val="List4"/>
      </w:pPr>
      <w:r>
        <w:rPr>
          <w:szCs w:val="24"/>
        </w:rPr>
        <w:br/>
      </w:r>
      <w:r w:rsidRPr="005E245B">
        <w:rPr>
          <w:szCs w:val="24"/>
        </w:rPr>
        <w:t>(B)(</w:t>
      </w:r>
      <w:r w:rsidRPr="005E245B">
        <w:rPr>
          <w:i/>
          <w:szCs w:val="24"/>
        </w:rPr>
        <w:t>1</w:t>
      </w:r>
      <w:r w:rsidRPr="005E245B">
        <w:rPr>
          <w:szCs w:val="24"/>
        </w:rPr>
        <w:t xml:space="preserve">)  Within 10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  </w:t>
      </w:r>
    </w:p>
    <w:p w14:paraId="3D1C6F55" w14:textId="77777777" w:rsidR="004378C3" w:rsidRDefault="004378C3" w:rsidP="00CC4E98">
      <w:pPr>
        <w:pStyle w:val="List6"/>
      </w:pPr>
      <w:r>
        <w:br/>
      </w:r>
      <w:r w:rsidRPr="005E245B">
        <w:t>(</w:t>
      </w:r>
      <w:r w:rsidRPr="005E245B">
        <w:rPr>
          <w:i/>
        </w:rPr>
        <w:t>3</w:t>
      </w:r>
      <w:r w:rsidRPr="005E245B">
        <w:t xml:space="preserve">)  </w:t>
      </w:r>
      <w:r w:rsidRPr="005E245B">
        <w:rPr>
          <w:i/>
        </w:rPr>
        <w:t>Evaluation of contractor's response</w:t>
      </w:r>
      <w:r w:rsidRPr="005E245B">
        <w:t xml:space="preserve">.  Within 30 days of receiving the contractor’s response, the contracting officer, in consultation with the auditor or cognizant functional specialist, should evaluate the contractor’s response and make a final determination. </w:t>
      </w:r>
    </w:p>
    <w:p w14:paraId="06E7E97F" w14:textId="77777777" w:rsidR="004378C3" w:rsidRDefault="004378C3" w:rsidP="00CC4E98">
      <w:pPr>
        <w:pStyle w:val="List3"/>
      </w:pPr>
      <w:r>
        <w:rPr>
          <w:szCs w:val="24"/>
        </w:rPr>
        <w:br/>
      </w:r>
      <w:r w:rsidRPr="005E245B">
        <w:rPr>
          <w:szCs w:val="24"/>
        </w:rPr>
        <w:t xml:space="preserve">(iii)  </w:t>
      </w:r>
      <w:r w:rsidRPr="005E245B">
        <w:rPr>
          <w:i/>
          <w:szCs w:val="24"/>
        </w:rPr>
        <w:t>Final determination</w:t>
      </w:r>
      <w:r w:rsidRPr="005E245B">
        <w:rPr>
          <w:szCs w:val="24"/>
        </w:rPr>
        <w:t xml:space="preserve">. </w:t>
      </w:r>
    </w:p>
    <w:p w14:paraId="09F569E8" w14:textId="77777777" w:rsidR="004378C3" w:rsidRDefault="004378C3" w:rsidP="00CC4E98">
      <w:pPr>
        <w:pStyle w:val="List4"/>
      </w:pPr>
      <w:r>
        <w:rPr>
          <w:szCs w:val="24"/>
        </w:rPr>
        <w:br/>
      </w:r>
      <w:r w:rsidRPr="005E245B">
        <w:rPr>
          <w:szCs w:val="24"/>
        </w:rPr>
        <w:t>(B)(</w:t>
      </w:r>
      <w:r w:rsidRPr="005E245B">
        <w:rPr>
          <w:i/>
          <w:szCs w:val="24"/>
        </w:rPr>
        <w:t>1</w:t>
      </w:r>
      <w:proofErr w:type="gramStart"/>
      <w:r w:rsidRPr="005E245B">
        <w:rPr>
          <w:szCs w:val="24"/>
        </w:rPr>
        <w:t xml:space="preserve">)  </w:t>
      </w:r>
      <w:r w:rsidRPr="005E245B">
        <w:rPr>
          <w:i/>
          <w:szCs w:val="24"/>
        </w:rPr>
        <w:t>Monitoring</w:t>
      </w:r>
      <w:proofErr w:type="gramEnd"/>
      <w:r w:rsidRPr="005E245B">
        <w:rPr>
          <w:i/>
          <w:szCs w:val="24"/>
        </w:rPr>
        <w:t xml:space="preserve"> contractor's corrective action</w:t>
      </w:r>
      <w:r w:rsidRPr="005E245B">
        <w:rPr>
          <w:szCs w:val="24"/>
        </w:rPr>
        <w:t xml:space="preserve">.  The contracting officer and cognizant functional specialist or auditor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bringing the issue to the attention of higher level management, implementing or increasing the withholding in accordance with </w:t>
      </w:r>
      <w:hyperlink r:id="rId14" w:anchor="252.242-7005" w:history="1">
        <w:r w:rsidRPr="002175F0">
          <w:rPr>
            <w:rStyle w:val="Hyperlink"/>
            <w:szCs w:val="24"/>
          </w:rPr>
          <w:t>252.242-7005</w:t>
        </w:r>
      </w:hyperlink>
      <w:r w:rsidRPr="005E245B">
        <w:rPr>
          <w:szCs w:val="24"/>
        </w:rPr>
        <w:t>, Contractor Business Systems.</w:t>
      </w:r>
    </w:p>
    <w:p w14:paraId="26ECA8AC" w14:textId="77777777" w:rsidR="004378C3" w:rsidRDefault="004378C3" w:rsidP="00CC4E98">
      <w:pPr>
        <w:pStyle w:val="List6"/>
      </w:pPr>
      <w:r>
        <w:br/>
      </w:r>
      <w:r w:rsidRPr="005E245B">
        <w:t>(</w:t>
      </w:r>
      <w:r w:rsidRPr="005E245B">
        <w:rPr>
          <w:i/>
        </w:rPr>
        <w:t>2</w:t>
      </w:r>
      <w:r w:rsidRPr="005E245B">
        <w:t xml:space="preserve">)  </w:t>
      </w:r>
      <w:r w:rsidRPr="005E245B">
        <w:rPr>
          <w:i/>
        </w:rPr>
        <w:t>Correction of significant deficiencies</w:t>
      </w:r>
      <w:r w:rsidRPr="005E245B">
        <w:t>.</w:t>
      </w:r>
    </w:p>
    <w:p w14:paraId="600F9B95" w14:textId="77777777" w:rsidR="004378C3" w:rsidRDefault="004378C3" w:rsidP="00CC4E98">
      <w:pPr>
        <w:pStyle w:val="List5"/>
      </w:pPr>
      <w:r>
        <w:rPr>
          <w:szCs w:val="24"/>
        </w:rPr>
        <w:br/>
      </w:r>
      <w:r w:rsidRPr="005E245B">
        <w:rPr>
          <w:szCs w:val="24"/>
        </w:rPr>
        <w:t>(</w:t>
      </w:r>
      <w:proofErr w:type="spellStart"/>
      <w:r w:rsidRPr="005E245B">
        <w:rPr>
          <w:i/>
          <w:szCs w:val="24"/>
        </w:rPr>
        <w:t>i</w:t>
      </w:r>
      <w:proofErr w:type="spellEnd"/>
      <w:r w:rsidRPr="005E245B">
        <w:rPr>
          <w:szCs w:val="24"/>
        </w:rPr>
        <w:t>)  When the contractor notifies the contracting officer that the contractor has corrected the significant deficiencies, the contracting officer shall request the cognizant functional specialist or auditor to review the correction to determine if the deficiencies have been resolved.</w:t>
      </w:r>
    </w:p>
    <w:p w14:paraId="51D09FCF" w14:textId="77777777" w:rsidR="004378C3" w:rsidRDefault="004378C3" w:rsidP="00CC4E98">
      <w:pPr>
        <w:pStyle w:val="List5"/>
      </w:pPr>
      <w:r>
        <w:rPr>
          <w:szCs w:val="24"/>
        </w:rPr>
        <w:lastRenderedPageBreak/>
        <w:br/>
      </w:r>
      <w:r w:rsidRPr="005E245B">
        <w:rPr>
          <w:szCs w:val="24"/>
        </w:rPr>
        <w:t>(</w:t>
      </w:r>
      <w:r w:rsidRPr="005E245B">
        <w:rPr>
          <w:i/>
          <w:szCs w:val="24"/>
        </w:rPr>
        <w:t>ii</w:t>
      </w:r>
      <w:r w:rsidRPr="005E245B">
        <w:rPr>
          <w:szCs w:val="24"/>
        </w:rPr>
        <w:t>)  The contracting officer shall determine if the contractor has corrected the deficiencies.</w:t>
      </w:r>
    </w:p>
    <w:p w14:paraId="4B8FABA1" w14:textId="77777777" w:rsidR="004378C3" w:rsidRPr="00CB2A8E" w:rsidRDefault="004378C3" w:rsidP="00CC4E98">
      <w:pPr>
        <w:pStyle w:val="List7"/>
      </w:pPr>
      <w:r>
        <w:br/>
      </w:r>
      <w:r w:rsidRPr="005E245B">
        <w:t>(</w:t>
      </w:r>
      <w:r w:rsidRPr="005E245B">
        <w:rPr>
          <w:i/>
        </w:rPr>
        <w:t>iii</w:t>
      </w:r>
      <w:r w:rsidRPr="005E245B">
        <w:t>)  If the contracting officer determines the contractor has corrected the deficiencies, the contracting officer’s notification shall be sent to the cognizant functional specialist; auditor; payment office; appropriate action officers at the requiring activities; and each contracting and contract administration office having substantial business with the contractor as applicable.</w:t>
      </w:r>
      <w:r>
        <w:rPr>
          <w:b/>
        </w:rPr>
        <w:tab/>
      </w:r>
    </w:p>
    <w:p w14:paraId="61B81AC0" w14:textId="77777777" w:rsidR="004378C3" w:rsidRDefault="004378C3">
      <w:pPr>
        <w:sectPr w:rsidR="004378C3" w:rsidSect="008D7E4B">
          <w:headerReference w:type="default" r:id="rId15"/>
          <w:footerReference w:type="default" r:id="rId16"/>
          <w:pgSz w:w="12240" w:h="15840"/>
          <w:pgMar w:top="1440" w:right="1440" w:bottom="1440" w:left="1440" w:header="720" w:footer="720" w:gutter="0"/>
          <w:cols w:space="720"/>
          <w:docGrid w:linePitch="360"/>
        </w:sectPr>
      </w:pPr>
    </w:p>
    <w:p w14:paraId="6EE71ABA" w14:textId="77777777" w:rsidR="004378C3" w:rsidRDefault="004378C3" w:rsidP="00496B29">
      <w:pPr>
        <w:jc w:val="center"/>
      </w:pPr>
      <w:r w:rsidRPr="009037B9">
        <w:rPr>
          <w:i/>
          <w:szCs w:val="24"/>
        </w:rPr>
        <w:lastRenderedPageBreak/>
        <w:t>(</w:t>
      </w:r>
      <w:r>
        <w:rPr>
          <w:i/>
          <w:szCs w:val="24"/>
        </w:rPr>
        <w:t>Add</w:t>
      </w:r>
      <w:r w:rsidRPr="009037B9">
        <w:rPr>
          <w:i/>
          <w:szCs w:val="24"/>
        </w:rPr>
        <w:t xml:space="preserve">ed </w:t>
      </w:r>
      <w:r>
        <w:rPr>
          <w:i/>
          <w:szCs w:val="24"/>
        </w:rPr>
        <w:t>October 4</w:t>
      </w:r>
      <w:r w:rsidRPr="009037B9">
        <w:rPr>
          <w:i/>
          <w:szCs w:val="24"/>
        </w:rPr>
        <w:t>, 2006)</w:t>
      </w:r>
    </w:p>
    <w:p w14:paraId="32F94FC0" w14:textId="77777777" w:rsidR="004378C3" w:rsidRDefault="004378C3" w:rsidP="00496B29">
      <w:pPr>
        <w:pStyle w:val="Heading2"/>
      </w:pPr>
      <w:r>
        <w:rPr>
          <w:i/>
          <w:szCs w:val="24"/>
        </w:rPr>
        <w:br/>
      </w:r>
      <w:bookmarkStart w:id="8" w:name="_Toc37415850"/>
      <w:bookmarkStart w:id="9" w:name="_Toc37677679"/>
      <w:bookmarkStart w:id="10" w:name="_Toc37756477"/>
      <w:r w:rsidRPr="007A1FA9">
        <w:rPr>
          <w:szCs w:val="24"/>
        </w:rPr>
        <w:t>PGI 234.70—ACQUISITION OF MAJOR WEAPON SYSTEMS AS COMMERCIAL ITEMS</w:t>
      </w:r>
      <w:bookmarkEnd w:id="8"/>
      <w:bookmarkEnd w:id="9"/>
      <w:bookmarkEnd w:id="10"/>
    </w:p>
    <w:p w14:paraId="21754E18" w14:textId="77777777" w:rsidR="004378C3" w:rsidRDefault="004378C3" w:rsidP="00496B29">
      <w:pPr>
        <w:pStyle w:val="Heading3"/>
      </w:pPr>
      <w:r>
        <w:rPr>
          <w:b/>
          <w:szCs w:val="24"/>
        </w:rPr>
        <w:br/>
      </w:r>
      <w:bookmarkStart w:id="11" w:name="_Toc37415851"/>
      <w:bookmarkStart w:id="12" w:name="_Toc37677680"/>
      <w:bookmarkStart w:id="13" w:name="_Toc37756478"/>
      <w:r w:rsidRPr="007A1FA9">
        <w:rPr>
          <w:b/>
          <w:szCs w:val="24"/>
        </w:rPr>
        <w:t xml:space="preserve">PGI </w:t>
      </w:r>
      <w:r w:rsidRPr="00496B29">
        <w:rPr>
          <w:b/>
        </w:rPr>
        <w:t xml:space="preserve">234.7002  </w:t>
      </w:r>
      <w:r w:rsidRPr="007A1FA9">
        <w:rPr>
          <w:b/>
          <w:szCs w:val="24"/>
        </w:rPr>
        <w:t>Policy.</w:t>
      </w:r>
      <w:bookmarkEnd w:id="11"/>
      <w:bookmarkEnd w:id="12"/>
      <w:bookmarkEnd w:id="13"/>
    </w:p>
    <w:p w14:paraId="2C41C44A" w14:textId="77777777" w:rsidR="004378C3" w:rsidRDefault="004378C3" w:rsidP="00496B29">
      <w:r>
        <w:rPr>
          <w:b/>
          <w:szCs w:val="24"/>
        </w:rPr>
        <w:br/>
      </w:r>
      <w:r>
        <w:rPr>
          <w:szCs w:val="24"/>
        </w:rPr>
        <w:tab/>
      </w:r>
      <w:r w:rsidRPr="007A1FA9">
        <w:rPr>
          <w:szCs w:val="24"/>
        </w:rPr>
        <w:t>Departments and agencies shall obtain a determination by the Secretary of Defense and shall notify the congressional defense committees before acquiring a major weapon system as a commercial item.</w:t>
      </w:r>
    </w:p>
    <w:p w14:paraId="72140EFD" w14:textId="77777777" w:rsidR="004378C3" w:rsidRPr="007A1FA9" w:rsidRDefault="004378C3" w:rsidP="00496B29">
      <w:r>
        <w:br/>
      </w:r>
    </w:p>
    <w:p w14:paraId="06900463" w14:textId="77777777" w:rsidR="004378C3" w:rsidRDefault="004378C3">
      <w:pPr>
        <w:sectPr w:rsidR="004378C3" w:rsidSect="009E0529">
          <w:headerReference w:type="default" r:id="rId17"/>
          <w:footerReference w:type="default" r:id="rId18"/>
          <w:pgSz w:w="12240" w:h="15840"/>
          <w:pgMar w:top="1440" w:right="1440" w:bottom="1440" w:left="1440" w:header="720" w:footer="720" w:gutter="0"/>
          <w:cols w:space="720"/>
          <w:docGrid w:linePitch="360"/>
        </w:sectPr>
      </w:pPr>
    </w:p>
    <w:p w14:paraId="5E0502D5" w14:textId="77777777" w:rsidR="004378C3" w:rsidRDefault="004378C3" w:rsidP="00784EC7">
      <w:pPr>
        <w:jc w:val="center"/>
      </w:pPr>
      <w:r w:rsidRPr="009037B9">
        <w:rPr>
          <w:i/>
          <w:szCs w:val="24"/>
        </w:rPr>
        <w:lastRenderedPageBreak/>
        <w:t>(</w:t>
      </w:r>
      <w:r>
        <w:rPr>
          <w:i/>
          <w:szCs w:val="24"/>
        </w:rPr>
        <w:t>Revised September 9, 2013</w:t>
      </w:r>
      <w:r w:rsidRPr="009037B9">
        <w:rPr>
          <w:i/>
          <w:szCs w:val="24"/>
        </w:rPr>
        <w:t>)</w:t>
      </w:r>
    </w:p>
    <w:p w14:paraId="014AA06A" w14:textId="77777777" w:rsidR="004378C3" w:rsidRDefault="004378C3" w:rsidP="00784EC7">
      <w:pPr>
        <w:pStyle w:val="Heading2"/>
      </w:pPr>
      <w:r>
        <w:rPr>
          <w:i/>
          <w:szCs w:val="24"/>
        </w:rPr>
        <w:br/>
      </w:r>
      <w:bookmarkStart w:id="14" w:name="_Toc37415852"/>
      <w:bookmarkStart w:id="15" w:name="_Toc37677681"/>
      <w:bookmarkStart w:id="16" w:name="_Toc37756479"/>
      <w:r w:rsidRPr="007A1FA9">
        <w:rPr>
          <w:szCs w:val="24"/>
        </w:rPr>
        <w:t>PGI 234.7</w:t>
      </w:r>
      <w:r>
        <w:rPr>
          <w:szCs w:val="24"/>
        </w:rPr>
        <w:t>1</w:t>
      </w:r>
      <w:r w:rsidRPr="007A1FA9">
        <w:rPr>
          <w:szCs w:val="24"/>
        </w:rPr>
        <w:t>—</w:t>
      </w:r>
      <w:r w:rsidRPr="008161E3">
        <w:t>Cost and Software Data Reporting</w:t>
      </w:r>
      <w:bookmarkEnd w:id="14"/>
      <w:bookmarkEnd w:id="15"/>
      <w:bookmarkEnd w:id="16"/>
      <w:r w:rsidRPr="007A1FA9">
        <w:rPr>
          <w:szCs w:val="24"/>
        </w:rPr>
        <w:t xml:space="preserve"> </w:t>
      </w:r>
    </w:p>
    <w:p w14:paraId="26F8BFBA" w14:textId="77777777" w:rsidR="004378C3" w:rsidRDefault="004378C3" w:rsidP="00784EC7">
      <w:pPr>
        <w:pStyle w:val="Heading3"/>
      </w:pPr>
      <w:r>
        <w:rPr>
          <w:b/>
        </w:rPr>
        <w:br/>
      </w:r>
      <w:bookmarkStart w:id="17" w:name="_Toc37415853"/>
      <w:bookmarkStart w:id="18" w:name="_Toc37677682"/>
      <w:bookmarkStart w:id="19" w:name="_Toc37756480"/>
      <w:r w:rsidRPr="007A1FA9">
        <w:rPr>
          <w:b/>
        </w:rPr>
        <w:t>PGI 234.7</w:t>
      </w:r>
      <w:r>
        <w:rPr>
          <w:b/>
        </w:rPr>
        <w:t>100</w:t>
      </w:r>
      <w:r w:rsidRPr="007A1FA9">
        <w:rPr>
          <w:b/>
        </w:rPr>
        <w:t xml:space="preserve">  Policy.</w:t>
      </w:r>
      <w:bookmarkEnd w:id="17"/>
      <w:bookmarkEnd w:id="18"/>
      <w:bookmarkEnd w:id="19"/>
    </w:p>
    <w:p w14:paraId="2FE00569" w14:textId="77777777" w:rsidR="004378C3" w:rsidRDefault="004378C3" w:rsidP="00784EC7">
      <w:pPr>
        <w:pStyle w:val="Heading2"/>
      </w:pPr>
      <w:bookmarkStart w:id="20" w:name="_Toc37415854"/>
      <w:bookmarkStart w:id="21" w:name="_Toc37677683"/>
      <w:bookmarkStart w:id="22" w:name="_Toc37756481"/>
      <w:r w:rsidRPr="008161E3">
        <w:t>The OSD Deputy Director, Cost Assessment, may be contacted at—</w:t>
      </w:r>
      <w:bookmarkEnd w:id="20"/>
      <w:bookmarkEnd w:id="21"/>
      <w:bookmarkEnd w:id="22"/>
    </w:p>
    <w:p w14:paraId="403C4D05" w14:textId="77777777" w:rsidR="004378C3" w:rsidRPr="008161E3" w:rsidRDefault="004378C3" w:rsidP="00784EC7">
      <w:pPr>
        <w:pStyle w:val="Heading2"/>
        <w:rPr>
          <w:bCs w:val="0"/>
        </w:rPr>
      </w:pPr>
      <w:r>
        <w:br/>
      </w:r>
      <w:bookmarkStart w:id="23" w:name="_Toc37415855"/>
      <w:bookmarkStart w:id="24" w:name="_Toc37677684"/>
      <w:bookmarkStart w:id="25" w:name="_Toc37756482"/>
      <w:r w:rsidRPr="008161E3">
        <w:t xml:space="preserve">Defense Cost and </w:t>
      </w:r>
      <w:smartTag w:uri="urn:schemas-microsoft-com:office:smarttags" w:element="place">
        <w:smartTag w:uri="urn:schemas-microsoft-com:office:smarttags" w:element="PlaceName">
          <w:r w:rsidRPr="008161E3">
            <w:t>Resource</w:t>
          </w:r>
        </w:smartTag>
        <w:r w:rsidRPr="008161E3">
          <w:t xml:space="preserve"> </w:t>
        </w:r>
        <w:smartTag w:uri="urn:schemas-microsoft-com:office:smarttags" w:element="PlaceType">
          <w:r w:rsidRPr="008161E3">
            <w:t>Center</w:t>
          </w:r>
        </w:smartTag>
      </w:smartTag>
      <w:bookmarkEnd w:id="23"/>
      <w:bookmarkEnd w:id="24"/>
      <w:bookmarkEnd w:id="25"/>
    </w:p>
    <w:p w14:paraId="6463A007" w14:textId="77777777" w:rsidR="004378C3" w:rsidRPr="008161E3" w:rsidRDefault="004378C3" w:rsidP="00784EC7">
      <w:pPr>
        <w:rPr>
          <w:b/>
        </w:rPr>
      </w:pPr>
      <w:r w:rsidRPr="008161E3">
        <w:t>201 12th Street, Suite 220</w:t>
      </w:r>
    </w:p>
    <w:p w14:paraId="5CFF2194" w14:textId="77777777" w:rsidR="004378C3" w:rsidRPr="008161E3" w:rsidRDefault="004378C3" w:rsidP="00F11B90">
      <w:pPr>
        <w:rPr>
          <w:b/>
          <w:bCs/>
        </w:rPr>
      </w:pPr>
      <w:r w:rsidRPr="008161E3">
        <w:rPr>
          <w:bCs/>
        </w:rPr>
        <w:t>Arlington, VA 22202-5408</w:t>
      </w:r>
    </w:p>
    <w:p w14:paraId="42B82054" w14:textId="77777777" w:rsidR="004378C3" w:rsidRPr="008161E3" w:rsidRDefault="004378C3" w:rsidP="00F11B90">
      <w:pPr>
        <w:rPr>
          <w:b/>
          <w:bCs/>
        </w:rPr>
      </w:pPr>
      <w:r w:rsidRPr="008161E3">
        <w:rPr>
          <w:bCs/>
        </w:rPr>
        <w:t>703–601–4850</w:t>
      </w:r>
    </w:p>
    <w:p w14:paraId="2CBD1022" w14:textId="77777777" w:rsidR="004378C3" w:rsidRPr="008161E3" w:rsidRDefault="004378C3" w:rsidP="00F11B90">
      <w:pPr>
        <w:rPr>
          <w:b/>
          <w:bCs/>
        </w:rPr>
      </w:pPr>
      <w:r w:rsidRPr="008161E3">
        <w:rPr>
          <w:bCs/>
        </w:rPr>
        <w:t>703–604–1012 (fax)</w:t>
      </w:r>
    </w:p>
    <w:p w14:paraId="6C20A51E" w14:textId="77777777" w:rsidR="004378C3" w:rsidRPr="008161E3" w:rsidRDefault="004378C3" w:rsidP="00F11B90">
      <w:pPr>
        <w:rPr>
          <w:b/>
          <w:bCs/>
        </w:rPr>
      </w:pPr>
      <w:r w:rsidRPr="008161E3">
        <w:rPr>
          <w:bCs/>
        </w:rPr>
        <w:t>DSN: 329–4850</w:t>
      </w:r>
    </w:p>
    <w:p w14:paraId="3B6B55A7" w14:textId="77777777" w:rsidR="004378C3" w:rsidRPr="00F11B90" w:rsidRDefault="004378C3" w:rsidP="00ED3E96">
      <w:pPr>
        <w:tabs>
          <w:tab w:val="bar" w:pos="10080"/>
        </w:tabs>
        <w:rPr>
          <w:b/>
          <w:bCs/>
        </w:rPr>
      </w:pPr>
      <w:r w:rsidRPr="00F11B90">
        <w:rPr>
          <w:color w:val="0000FF"/>
          <w:szCs w:val="24"/>
          <w:u w:val="single"/>
        </w:rPr>
        <w:t>osd.pentagon.cape.mbx.dcarc@mail.mil</w:t>
      </w:r>
    </w:p>
    <w:p w14:paraId="1FC1B4EC" w14:textId="77777777" w:rsidR="004378C3" w:rsidRDefault="0051632E" w:rsidP="00784EC7">
      <w:hyperlink r:id="rId19" w:history="1">
        <w:r w:rsidR="004378C3" w:rsidRPr="002E1DDB">
          <w:rPr>
            <w:rStyle w:val="Hyperlink"/>
            <w:bCs/>
          </w:rPr>
          <w:t>http://dcarc.pae.osd.mil</w:t>
        </w:r>
      </w:hyperlink>
      <w:r w:rsidR="004378C3">
        <w:rPr>
          <w:bCs/>
        </w:rPr>
        <w:t xml:space="preserve"> </w:t>
      </w:r>
      <w:r w:rsidR="004378C3">
        <w:rPr>
          <w:szCs w:val="24"/>
        </w:rPr>
        <w:t xml:space="preserve"> </w:t>
      </w:r>
    </w:p>
    <w:p w14:paraId="65467FA0" w14:textId="77777777" w:rsidR="004378C3" w:rsidRPr="007A1FA9" w:rsidRDefault="004378C3" w:rsidP="00F11B90">
      <w:pPr>
        <w:rPr>
          <w:b/>
          <w:szCs w:val="24"/>
        </w:rPr>
      </w:pPr>
      <w:r>
        <w:rPr>
          <w:szCs w:val="24"/>
        </w:rPr>
        <w:br/>
      </w:r>
    </w:p>
    <w:p w14:paraId="5C9AF850" w14:textId="77777777" w:rsidR="00850595" w:rsidRDefault="00850595"/>
    <w:sectPr w:rsidR="00850595" w:rsidSect="007077E5">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C2E11" w14:textId="77777777" w:rsidR="0051632E" w:rsidRDefault="0051632E">
      <w:pPr>
        <w:spacing w:after="0" w:line="240" w:lineRule="auto"/>
      </w:pPr>
      <w:r>
        <w:separator/>
      </w:r>
    </w:p>
  </w:endnote>
  <w:endnote w:type="continuationSeparator" w:id="0">
    <w:p w14:paraId="0B64AABB" w14:textId="77777777" w:rsidR="0051632E" w:rsidRDefault="00516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03FC8" w14:textId="77777777" w:rsidR="00EA2A28" w:rsidRDefault="0051632E">
    <w:pPr>
      <w:pStyle w:val="Footer"/>
      <w:rPr>
        <w:rFonts w:ascii="Century Schoolbook" w:hAnsi="Century Schoolbook"/>
        <w:sz w:val="20"/>
      </w:rPr>
    </w:pPr>
  </w:p>
  <w:p w14:paraId="5B7BC754" w14:textId="77777777" w:rsidR="00EA2A28" w:rsidRDefault="0051632E">
    <w:pPr>
      <w:pStyle w:val="Footer"/>
      <w:tabs>
        <w:tab w:val="clear" w:pos="8640"/>
      </w:tabs>
      <w:rPr>
        <w:rFonts w:ascii="Century Schoolbook" w:hAnsi="Century Schoolbook"/>
        <w:b/>
        <w:sz w:val="20"/>
      </w:rPr>
    </w:pPr>
  </w:p>
  <w:p w14:paraId="369ABC08" w14:textId="77777777" w:rsidR="00EA2A28" w:rsidRPr="00BC71C0" w:rsidRDefault="004378C3">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23</w:t>
    </w:r>
    <w:r>
      <w:rPr>
        <w:szCs w:val="22"/>
      </w:rPr>
      <w:t>4</w:t>
    </w:r>
    <w:r w:rsidRPr="00BC71C0">
      <w:rPr>
        <w:szCs w:val="22"/>
      </w:rPr>
      <w:t>.</w:t>
    </w:r>
    <w:r>
      <w:rPr>
        <w:szCs w:val="22"/>
      </w:rPr>
      <w:t>2</w:t>
    </w:r>
    <w:r w:rsidRPr="00BC71C0">
      <w:rPr>
        <w:szCs w:val="22"/>
      </w:rPr>
      <w:t>-</w:t>
    </w:r>
    <w:r w:rsidRPr="00BC71C0">
      <w:rPr>
        <w:szCs w:val="22"/>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D0863" w14:textId="77777777" w:rsidR="00677A6A" w:rsidRDefault="0051632E">
    <w:pPr>
      <w:pStyle w:val="Footer"/>
      <w:rPr>
        <w:rFonts w:ascii="Century Schoolbook" w:hAnsi="Century Schoolbook"/>
        <w:sz w:val="20"/>
      </w:rPr>
    </w:pPr>
  </w:p>
  <w:p w14:paraId="4DC7A537" w14:textId="77777777" w:rsidR="00677A6A" w:rsidRDefault="0051632E">
    <w:pPr>
      <w:pStyle w:val="Footer"/>
      <w:tabs>
        <w:tab w:val="clear" w:pos="8640"/>
      </w:tabs>
      <w:rPr>
        <w:rFonts w:ascii="Century Schoolbook" w:hAnsi="Century Schoolbook"/>
        <w:b/>
        <w:sz w:val="20"/>
      </w:rPr>
    </w:pPr>
  </w:p>
  <w:p w14:paraId="7F1A145B" w14:textId="77777777" w:rsidR="00677A6A" w:rsidRPr="00BC71C0" w:rsidRDefault="004378C3">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23</w:t>
    </w:r>
    <w:r>
      <w:rPr>
        <w:szCs w:val="22"/>
      </w:rPr>
      <w:t>4</w:t>
    </w:r>
    <w:r w:rsidRPr="00BC71C0">
      <w:rPr>
        <w:szCs w:val="22"/>
      </w:rPr>
      <w:t>.</w:t>
    </w:r>
    <w:r>
      <w:rPr>
        <w:szCs w:val="22"/>
      </w:rPr>
      <w:t>7</w:t>
    </w:r>
    <w:r w:rsidRPr="00BC71C0">
      <w:rPr>
        <w:szCs w:val="22"/>
      </w:rPr>
      <w:t>0-</w:t>
    </w:r>
    <w:r w:rsidRPr="00BC71C0">
      <w:rPr>
        <w:szCs w:val="22"/>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0546F" w14:textId="77777777" w:rsidR="00677A6A" w:rsidRDefault="0051632E">
    <w:pPr>
      <w:pStyle w:val="Footer"/>
      <w:rPr>
        <w:rFonts w:ascii="Century Schoolbook" w:hAnsi="Century Schoolbook"/>
        <w:sz w:val="20"/>
      </w:rPr>
    </w:pPr>
  </w:p>
  <w:p w14:paraId="2443E0FF" w14:textId="77777777" w:rsidR="00677A6A" w:rsidRDefault="0051632E">
    <w:pPr>
      <w:pStyle w:val="Footer"/>
      <w:tabs>
        <w:tab w:val="clear" w:pos="8640"/>
      </w:tabs>
      <w:rPr>
        <w:rFonts w:ascii="Century Schoolbook" w:hAnsi="Century Schoolbook"/>
        <w:b/>
        <w:sz w:val="20"/>
      </w:rPr>
    </w:pPr>
  </w:p>
  <w:p w14:paraId="5B1B52BA" w14:textId="77777777" w:rsidR="00677A6A" w:rsidRPr="00BC71C0" w:rsidRDefault="004378C3">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23</w:t>
    </w:r>
    <w:r>
      <w:rPr>
        <w:szCs w:val="22"/>
      </w:rPr>
      <w:t>4</w:t>
    </w:r>
    <w:r w:rsidRPr="00BC71C0">
      <w:rPr>
        <w:szCs w:val="22"/>
      </w:rPr>
      <w:t>.</w:t>
    </w:r>
    <w:r>
      <w:rPr>
        <w:szCs w:val="22"/>
      </w:rPr>
      <w:t>71</w:t>
    </w:r>
    <w:r w:rsidRPr="00BC71C0">
      <w:rPr>
        <w:szCs w:val="22"/>
      </w:rPr>
      <w:t>-</w:t>
    </w:r>
    <w:r w:rsidRPr="00BC71C0">
      <w:rPr>
        <w:szCs w:val="22"/>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9C1C0F" w14:textId="77777777" w:rsidR="0051632E" w:rsidRDefault="0051632E">
      <w:pPr>
        <w:spacing w:after="0" w:line="240" w:lineRule="auto"/>
      </w:pPr>
      <w:r>
        <w:separator/>
      </w:r>
    </w:p>
  </w:footnote>
  <w:footnote w:type="continuationSeparator" w:id="0">
    <w:p w14:paraId="0C8B8778" w14:textId="77777777" w:rsidR="0051632E" w:rsidRDefault="005163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CF3D7" w14:textId="77777777" w:rsidR="00EA2A28" w:rsidRDefault="004378C3" w:rsidP="003E6AA4">
    <w:pPr>
      <w:pStyle w:val="Header"/>
      <w:tabs>
        <w:tab w:val="clear" w:pos="8640"/>
        <w:tab w:val="left" w:pos="4590"/>
      </w:tabs>
      <w:jc w:val="center"/>
      <w:rPr>
        <w:sz w:val="28"/>
        <w:szCs w:val="28"/>
      </w:rPr>
    </w:pPr>
    <w:r w:rsidRPr="002B1BC7">
      <w:rPr>
        <w:sz w:val="28"/>
        <w:szCs w:val="28"/>
      </w:rPr>
      <w:t>DFARS Procedures, Guidance, and Information</w:t>
    </w:r>
  </w:p>
  <w:p w14:paraId="65E34D41" w14:textId="77777777" w:rsidR="00EA2A28" w:rsidRPr="002B1BC7" w:rsidRDefault="0051632E" w:rsidP="003E6AA4">
    <w:pPr>
      <w:pStyle w:val="Header"/>
      <w:tabs>
        <w:tab w:val="clear" w:pos="8640"/>
        <w:tab w:val="left" w:pos="4590"/>
      </w:tabs>
      <w:jc w:val="center"/>
      <w:rPr>
        <w:sz w:val="28"/>
        <w:szCs w:val="28"/>
      </w:rPr>
    </w:pPr>
  </w:p>
  <w:p w14:paraId="5C17A1C2" w14:textId="77777777" w:rsidR="00EA2A28" w:rsidRPr="00BC71C0" w:rsidRDefault="004378C3">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23</w:t>
    </w:r>
    <w:r>
      <w:rPr>
        <w:szCs w:val="24"/>
      </w:rPr>
      <w:t>4</w:t>
    </w:r>
    <w:r w:rsidRPr="00BC71C0">
      <w:rPr>
        <w:szCs w:val="24"/>
      </w:rPr>
      <w:t>—</w:t>
    </w:r>
    <w:r>
      <w:rPr>
        <w:szCs w:val="24"/>
      </w:rPr>
      <w:t xml:space="preserve">Major System Acquisition             </w:t>
    </w:r>
  </w:p>
  <w:p w14:paraId="11A585F1" w14:textId="77777777" w:rsidR="00EA2A28" w:rsidRDefault="0051632E">
    <w:pPr>
      <w:pStyle w:val="Header"/>
      <w:tabs>
        <w:tab w:val="clear" w:pos="8640"/>
        <w:tab w:val="right" w:pos="9260"/>
      </w:tabs>
      <w:spacing w:before="20" w:line="20" w:lineRule="exact"/>
      <w:rPr>
        <w:rFonts w:ascii="Geneva" w:hAnsi="Geneva"/>
        <w:b/>
        <w:position w:val="6"/>
        <w:sz w:val="18"/>
      </w:rPr>
    </w:pPr>
  </w:p>
  <w:p w14:paraId="161028B3" w14:textId="77777777" w:rsidR="00EA2A28" w:rsidRDefault="0051632E">
    <w:pPr>
      <w:pStyle w:val="Header"/>
      <w:tabs>
        <w:tab w:val="clear" w:pos="8640"/>
        <w:tab w:val="right" w:pos="9260"/>
      </w:tabs>
      <w:rPr>
        <w:rFonts w:ascii="Century Schoolbook" w:hAnsi="Century Schoolbook"/>
        <w:b/>
        <w:sz w:val="20"/>
      </w:rPr>
    </w:pPr>
  </w:p>
  <w:p w14:paraId="04F60CB5" w14:textId="77777777" w:rsidR="00EA2A28" w:rsidRDefault="0051632E">
    <w:pPr>
      <w:pStyle w:val="Header"/>
      <w:rPr>
        <w:rFonts w:ascii="Century Schoolbook" w:hAnsi="Century Schoolbook"/>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28F56" w14:textId="77777777" w:rsidR="00677A6A" w:rsidRDefault="004378C3" w:rsidP="003E6AA4">
    <w:pPr>
      <w:pStyle w:val="Header"/>
      <w:tabs>
        <w:tab w:val="clear" w:pos="8640"/>
        <w:tab w:val="left" w:pos="4590"/>
      </w:tabs>
      <w:jc w:val="center"/>
      <w:rPr>
        <w:sz w:val="28"/>
        <w:szCs w:val="28"/>
      </w:rPr>
    </w:pPr>
    <w:r w:rsidRPr="002B1BC7">
      <w:rPr>
        <w:sz w:val="28"/>
        <w:szCs w:val="28"/>
      </w:rPr>
      <w:t>DFARS Procedures, Guidance, and Information</w:t>
    </w:r>
  </w:p>
  <w:p w14:paraId="1741CE35" w14:textId="77777777" w:rsidR="00BC71C0" w:rsidRPr="002B1BC7" w:rsidRDefault="0051632E" w:rsidP="003E6AA4">
    <w:pPr>
      <w:pStyle w:val="Header"/>
      <w:tabs>
        <w:tab w:val="clear" w:pos="8640"/>
        <w:tab w:val="left" w:pos="4590"/>
      </w:tabs>
      <w:jc w:val="center"/>
      <w:rPr>
        <w:sz w:val="28"/>
        <w:szCs w:val="28"/>
      </w:rPr>
    </w:pPr>
  </w:p>
  <w:p w14:paraId="52907350" w14:textId="77777777" w:rsidR="00677A6A" w:rsidRPr="00BC71C0" w:rsidRDefault="004378C3">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23</w:t>
    </w:r>
    <w:r>
      <w:rPr>
        <w:szCs w:val="24"/>
      </w:rPr>
      <w:t>4</w:t>
    </w:r>
    <w:r w:rsidRPr="00BC71C0">
      <w:rPr>
        <w:szCs w:val="24"/>
      </w:rPr>
      <w:t>—</w:t>
    </w:r>
    <w:r>
      <w:rPr>
        <w:szCs w:val="24"/>
      </w:rPr>
      <w:t xml:space="preserve">Major System Acquisition             </w:t>
    </w:r>
  </w:p>
  <w:p w14:paraId="0AA4966A" w14:textId="77777777" w:rsidR="00677A6A" w:rsidRDefault="0051632E">
    <w:pPr>
      <w:pStyle w:val="Header"/>
      <w:tabs>
        <w:tab w:val="clear" w:pos="8640"/>
        <w:tab w:val="right" w:pos="9260"/>
      </w:tabs>
      <w:spacing w:before="20" w:line="20" w:lineRule="exact"/>
      <w:rPr>
        <w:rFonts w:ascii="Geneva" w:hAnsi="Geneva"/>
        <w:b/>
        <w:position w:val="6"/>
        <w:sz w:val="18"/>
      </w:rPr>
    </w:pPr>
  </w:p>
  <w:p w14:paraId="672B0585" w14:textId="77777777" w:rsidR="00677A6A" w:rsidRDefault="0051632E">
    <w:pPr>
      <w:pStyle w:val="Header"/>
      <w:tabs>
        <w:tab w:val="clear" w:pos="8640"/>
        <w:tab w:val="right" w:pos="9260"/>
      </w:tabs>
      <w:rPr>
        <w:rFonts w:ascii="Century Schoolbook" w:hAnsi="Century Schoolbook"/>
        <w:b/>
        <w:sz w:val="20"/>
      </w:rPr>
    </w:pPr>
  </w:p>
  <w:p w14:paraId="787FB52D" w14:textId="77777777" w:rsidR="00677A6A" w:rsidRDefault="0051632E">
    <w:pPr>
      <w:pStyle w:val="Header"/>
      <w:rPr>
        <w:rFonts w:ascii="Century Schoolbook" w:hAnsi="Century Schoolbook"/>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236EB" w14:textId="77777777" w:rsidR="00677A6A" w:rsidRDefault="004378C3" w:rsidP="003E6AA4">
    <w:pPr>
      <w:pStyle w:val="Header"/>
      <w:tabs>
        <w:tab w:val="clear" w:pos="8640"/>
        <w:tab w:val="left" w:pos="4590"/>
      </w:tabs>
      <w:jc w:val="center"/>
      <w:rPr>
        <w:sz w:val="28"/>
        <w:szCs w:val="28"/>
      </w:rPr>
    </w:pPr>
    <w:r w:rsidRPr="002B1BC7">
      <w:rPr>
        <w:sz w:val="28"/>
        <w:szCs w:val="28"/>
      </w:rPr>
      <w:t>DFARS Procedures, Guidance, and Information</w:t>
    </w:r>
  </w:p>
  <w:p w14:paraId="4191B6EE" w14:textId="77777777" w:rsidR="00BC71C0" w:rsidRPr="002B1BC7" w:rsidRDefault="0051632E" w:rsidP="003E6AA4">
    <w:pPr>
      <w:pStyle w:val="Header"/>
      <w:tabs>
        <w:tab w:val="clear" w:pos="8640"/>
        <w:tab w:val="left" w:pos="4590"/>
      </w:tabs>
      <w:jc w:val="center"/>
      <w:rPr>
        <w:sz w:val="28"/>
        <w:szCs w:val="28"/>
      </w:rPr>
    </w:pPr>
  </w:p>
  <w:p w14:paraId="0E238EF9" w14:textId="77777777" w:rsidR="00677A6A" w:rsidRPr="00BC71C0" w:rsidRDefault="004378C3">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23</w:t>
    </w:r>
    <w:r>
      <w:rPr>
        <w:szCs w:val="24"/>
      </w:rPr>
      <w:t>4</w:t>
    </w:r>
    <w:r w:rsidRPr="00BC71C0">
      <w:rPr>
        <w:szCs w:val="24"/>
      </w:rPr>
      <w:t>—</w:t>
    </w:r>
    <w:r>
      <w:rPr>
        <w:szCs w:val="24"/>
      </w:rPr>
      <w:t>Major System Acquisition</w:t>
    </w:r>
  </w:p>
  <w:p w14:paraId="05309704" w14:textId="77777777" w:rsidR="00677A6A" w:rsidRDefault="0051632E">
    <w:pPr>
      <w:pStyle w:val="Header"/>
      <w:tabs>
        <w:tab w:val="clear" w:pos="8640"/>
        <w:tab w:val="right" w:pos="9260"/>
      </w:tabs>
      <w:spacing w:before="20" w:line="20" w:lineRule="exact"/>
      <w:rPr>
        <w:rFonts w:ascii="Geneva" w:hAnsi="Geneva"/>
        <w:b/>
        <w:position w:val="6"/>
        <w:sz w:val="18"/>
      </w:rPr>
    </w:pPr>
  </w:p>
  <w:p w14:paraId="341E1C8A" w14:textId="77777777" w:rsidR="00677A6A" w:rsidRDefault="0051632E">
    <w:pPr>
      <w:pStyle w:val="Header"/>
      <w:tabs>
        <w:tab w:val="clear" w:pos="8640"/>
        <w:tab w:val="right" w:pos="9260"/>
      </w:tabs>
      <w:rPr>
        <w:rFonts w:ascii="Century Schoolbook" w:hAnsi="Century Schoolbook"/>
        <w:b/>
        <w:sz w:val="20"/>
      </w:rPr>
    </w:pPr>
  </w:p>
  <w:p w14:paraId="0239BACB" w14:textId="77777777" w:rsidR="00677A6A" w:rsidRDefault="0051632E">
    <w:pPr>
      <w:pStyle w:val="Header"/>
      <w:rPr>
        <w:rFonts w:ascii="Century Schoolbook" w:hAnsi="Century Schoolbook"/>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8C3"/>
    <w:rsid w:val="001341F8"/>
    <w:rsid w:val="004378C3"/>
    <w:rsid w:val="00505901"/>
    <w:rsid w:val="0051632E"/>
    <w:rsid w:val="007D6208"/>
    <w:rsid w:val="00850595"/>
    <w:rsid w:val="008A38ED"/>
    <w:rsid w:val="00A34A0E"/>
    <w:rsid w:val="00B8095C"/>
    <w:rsid w:val="00BE3A2F"/>
    <w:rsid w:val="00BF48DE"/>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0CE3AD0"/>
  <w15:chartTrackingRefBased/>
  <w15:docId w15:val="{3E2E38F6-D217-4670-830C-194A79F3A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rPr>
  </w:style>
  <w:style w:type="paragraph" w:styleId="Heading1">
    <w:name w:val="heading 1"/>
    <w:basedOn w:val="Normal"/>
    <w:next w:val="Normal"/>
    <w:link w:val="Heading1Char"/>
    <w:uiPriority w:val="9"/>
    <w:qFormat/>
    <w:rsid w:val="004378C3"/>
    <w:pPr>
      <w:keepNext/>
      <w:keepLines/>
      <w:spacing w:before="240" w:after="0" w:afterAutospacing="1" w:line="240" w:lineRule="auto"/>
      <w:jc w:val="center"/>
      <w:outlineLvl w:val="0"/>
    </w:pPr>
    <w:rPr>
      <w:rFonts w:eastAsiaTheme="majorEastAsia"/>
      <w:b/>
      <w:color w:val="000000" w:themeColor="text1"/>
      <w:sz w:val="28"/>
      <w:szCs w:val="32"/>
    </w:rPr>
  </w:style>
  <w:style w:type="paragraph" w:styleId="Heading2">
    <w:name w:val="heading 2"/>
    <w:link w:val="Heading2Char"/>
    <w:uiPriority w:val="9"/>
    <w:semiHidden/>
    <w:unhideWhenUsed/>
    <w:qFormat/>
    <w:rsid w:val="004378C3"/>
    <w:pPr>
      <w:keepNext/>
      <w:spacing w:before="240" w:after="60" w:line="240" w:lineRule="auto"/>
      <w:outlineLvl w:val="1"/>
    </w:pPr>
    <w:rPr>
      <w:rFonts w:ascii="Arial" w:eastAsiaTheme="majorEastAsia" w:hAnsi="Arial" w:cs="Arial"/>
      <w:b/>
      <w:bCs/>
      <w:iCs/>
      <w:sz w:val="28"/>
      <w:szCs w:val="28"/>
    </w:rPr>
  </w:style>
  <w:style w:type="paragraph" w:styleId="Heading3">
    <w:name w:val="heading 3"/>
    <w:basedOn w:val="Normal"/>
    <w:next w:val="Normal"/>
    <w:link w:val="Heading3Char"/>
    <w:qFormat/>
    <w:rsid w:val="004378C3"/>
    <w:pPr>
      <w:keepNext/>
      <w:tabs>
        <w:tab w:val="left" w:pos="1000"/>
      </w:tabs>
      <w:spacing w:before="120" w:after="120" w:afterAutospacing="1" w:line="240" w:lineRule="auto"/>
      <w:outlineLvl w:val="2"/>
    </w:pPr>
    <w:rPr>
      <w:rFonts w:eastAsia="Times New Roman"/>
      <w:szCs w:val="20"/>
    </w:rPr>
  </w:style>
  <w:style w:type="paragraph" w:styleId="Heading4">
    <w:name w:val="heading 4"/>
    <w:basedOn w:val="Normal"/>
    <w:next w:val="Normal"/>
    <w:link w:val="Heading4Char"/>
    <w:uiPriority w:val="9"/>
    <w:semiHidden/>
    <w:unhideWhenUsed/>
    <w:qFormat/>
    <w:rsid w:val="00A34A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8C3"/>
    <w:rPr>
      <w:rFonts w:ascii="Arial" w:eastAsiaTheme="majorEastAsia" w:hAnsi="Arial" w:cs="Arial"/>
      <w:b/>
      <w:color w:val="000000" w:themeColor="text1"/>
      <w:sz w:val="28"/>
      <w:szCs w:val="32"/>
    </w:rPr>
  </w:style>
  <w:style w:type="character" w:customStyle="1" w:styleId="Heading2Char">
    <w:name w:val="Heading 2 Char"/>
    <w:basedOn w:val="DefaultParagraphFont"/>
    <w:link w:val="Heading2"/>
    <w:uiPriority w:val="9"/>
    <w:semiHidden/>
    <w:rsid w:val="004378C3"/>
    <w:rPr>
      <w:rFonts w:ascii="Arial" w:eastAsiaTheme="majorEastAsia" w:hAnsi="Arial" w:cs="Arial"/>
      <w:b/>
      <w:bCs/>
      <w:iCs/>
      <w:sz w:val="28"/>
      <w:szCs w:val="28"/>
    </w:rPr>
  </w:style>
  <w:style w:type="character" w:customStyle="1" w:styleId="Heading3Char">
    <w:name w:val="Heading 3 Char"/>
    <w:basedOn w:val="DefaultParagraphFont"/>
    <w:link w:val="Heading3"/>
    <w:rsid w:val="004378C3"/>
    <w:rPr>
      <w:rFonts w:ascii="Arial" w:eastAsia="Times New Roman" w:hAnsi="Arial" w:cs="Arial"/>
      <w:szCs w:val="20"/>
    </w:rPr>
  </w:style>
  <w:style w:type="paragraph" w:styleId="Footer">
    <w:name w:val="footer"/>
    <w:basedOn w:val="Normal"/>
    <w:link w:val="FooterChar"/>
    <w:rsid w:val="004378C3"/>
    <w:pPr>
      <w:tabs>
        <w:tab w:val="left" w:pos="1000"/>
        <w:tab w:val="center" w:pos="4320"/>
        <w:tab w:val="right" w:pos="8640"/>
      </w:tabs>
      <w:spacing w:before="120" w:after="100" w:afterAutospacing="1" w:line="240" w:lineRule="auto"/>
    </w:pPr>
    <w:rPr>
      <w:rFonts w:eastAsia="Times New Roman"/>
      <w:szCs w:val="20"/>
    </w:rPr>
  </w:style>
  <w:style w:type="character" w:customStyle="1" w:styleId="FooterChar">
    <w:name w:val="Footer Char"/>
    <w:basedOn w:val="DefaultParagraphFont"/>
    <w:link w:val="Footer"/>
    <w:uiPriority w:val="99"/>
    <w:rsid w:val="004378C3"/>
    <w:rPr>
      <w:rFonts w:ascii="Arial" w:eastAsia="Times New Roman" w:hAnsi="Arial" w:cs="Arial"/>
      <w:szCs w:val="20"/>
    </w:rPr>
  </w:style>
  <w:style w:type="paragraph" w:styleId="Header">
    <w:name w:val="header"/>
    <w:basedOn w:val="Normal"/>
    <w:link w:val="HeaderChar"/>
    <w:rsid w:val="004378C3"/>
    <w:pPr>
      <w:tabs>
        <w:tab w:val="left" w:pos="1000"/>
        <w:tab w:val="center" w:pos="4320"/>
        <w:tab w:val="right" w:pos="8640"/>
      </w:tabs>
      <w:spacing w:before="120" w:after="100" w:afterAutospacing="1" w:line="240" w:lineRule="auto"/>
    </w:pPr>
    <w:rPr>
      <w:rFonts w:eastAsia="Times New Roman"/>
      <w:szCs w:val="20"/>
    </w:rPr>
  </w:style>
  <w:style w:type="character" w:customStyle="1" w:styleId="HeaderChar">
    <w:name w:val="Header Char"/>
    <w:basedOn w:val="DefaultParagraphFont"/>
    <w:link w:val="Header"/>
    <w:rsid w:val="004378C3"/>
    <w:rPr>
      <w:rFonts w:ascii="Arial" w:eastAsia="Times New Roman" w:hAnsi="Arial" w:cs="Arial"/>
      <w:szCs w:val="20"/>
    </w:rPr>
  </w:style>
  <w:style w:type="character" w:styleId="Hyperlink">
    <w:name w:val="Hyperlink"/>
    <w:basedOn w:val="DefaultParagraphFont"/>
    <w:uiPriority w:val="99"/>
    <w:rsid w:val="004378C3"/>
    <w:rPr>
      <w:color w:val="0000FF"/>
      <w:u w:val="single"/>
    </w:rPr>
  </w:style>
  <w:style w:type="paragraph" w:styleId="List2">
    <w:name w:val="List 2"/>
    <w:rsid w:val="004378C3"/>
    <w:pPr>
      <w:spacing w:after="0" w:line="240" w:lineRule="auto"/>
      <w:ind w:left="720" w:hanging="360"/>
      <w:contextualSpacing/>
    </w:pPr>
    <w:rPr>
      <w:rFonts w:ascii="Arial" w:eastAsia="Times New Roman" w:hAnsi="Arial" w:cs="Arial"/>
      <w:szCs w:val="20"/>
    </w:rPr>
  </w:style>
  <w:style w:type="paragraph" w:styleId="List3">
    <w:name w:val="List 3"/>
    <w:rsid w:val="004378C3"/>
    <w:pPr>
      <w:spacing w:after="0" w:line="240" w:lineRule="auto"/>
      <w:ind w:left="1080" w:hanging="360"/>
      <w:contextualSpacing/>
    </w:pPr>
    <w:rPr>
      <w:rFonts w:ascii="Arial" w:eastAsia="Times New Roman" w:hAnsi="Arial" w:cs="Arial"/>
      <w:szCs w:val="20"/>
    </w:rPr>
  </w:style>
  <w:style w:type="paragraph" w:styleId="List4">
    <w:name w:val="List 4"/>
    <w:rsid w:val="004378C3"/>
    <w:pPr>
      <w:spacing w:after="0" w:line="240" w:lineRule="auto"/>
      <w:ind w:left="1440" w:hanging="360"/>
      <w:contextualSpacing/>
    </w:pPr>
    <w:rPr>
      <w:rFonts w:ascii="Arial" w:eastAsia="Times New Roman" w:hAnsi="Arial" w:cs="Arial"/>
      <w:szCs w:val="20"/>
    </w:rPr>
  </w:style>
  <w:style w:type="paragraph" w:styleId="List5">
    <w:name w:val="List 5"/>
    <w:basedOn w:val="Normal"/>
    <w:link w:val="List5Char"/>
    <w:rsid w:val="004378C3"/>
    <w:pPr>
      <w:tabs>
        <w:tab w:val="left" w:pos="1000"/>
      </w:tabs>
      <w:spacing w:before="120" w:after="100" w:afterAutospacing="1" w:line="240" w:lineRule="auto"/>
      <w:ind w:left="1800" w:hanging="360"/>
      <w:contextualSpacing/>
    </w:pPr>
    <w:rPr>
      <w:rFonts w:eastAsia="Times New Roman"/>
      <w:szCs w:val="20"/>
    </w:rPr>
  </w:style>
  <w:style w:type="paragraph" w:customStyle="1" w:styleId="List6">
    <w:name w:val="List 6"/>
    <w:basedOn w:val="List2"/>
    <w:link w:val="List6Char"/>
    <w:rsid w:val="004378C3"/>
    <w:pPr>
      <w:spacing w:after="160" w:line="259" w:lineRule="auto"/>
      <w:ind w:firstLine="0"/>
    </w:pPr>
    <w:rPr>
      <w:szCs w:val="24"/>
    </w:rPr>
  </w:style>
  <w:style w:type="character" w:customStyle="1" w:styleId="List5Char">
    <w:name w:val="List 5 Char"/>
    <w:basedOn w:val="DefaultParagraphFont"/>
    <w:link w:val="List5"/>
    <w:rsid w:val="004378C3"/>
    <w:rPr>
      <w:rFonts w:ascii="Arial" w:eastAsia="Times New Roman" w:hAnsi="Arial" w:cs="Arial"/>
      <w:szCs w:val="20"/>
    </w:rPr>
  </w:style>
  <w:style w:type="character" w:customStyle="1" w:styleId="List6Char">
    <w:name w:val="List 6 Char"/>
    <w:basedOn w:val="List5Char"/>
    <w:link w:val="List6"/>
    <w:rsid w:val="004378C3"/>
    <w:rPr>
      <w:rFonts w:ascii="Arial" w:eastAsia="Times New Roman" w:hAnsi="Arial" w:cs="Arial"/>
      <w:szCs w:val="24"/>
    </w:rPr>
  </w:style>
  <w:style w:type="paragraph" w:customStyle="1" w:styleId="List7">
    <w:name w:val="List 7"/>
    <w:basedOn w:val="List2"/>
    <w:link w:val="List7Char"/>
    <w:rsid w:val="004378C3"/>
    <w:pPr>
      <w:ind w:left="2880" w:firstLine="0"/>
    </w:pPr>
    <w:rPr>
      <w:szCs w:val="24"/>
    </w:rPr>
  </w:style>
  <w:style w:type="character" w:customStyle="1" w:styleId="List7Char">
    <w:name w:val="List 7 Char"/>
    <w:basedOn w:val="List6Char"/>
    <w:link w:val="List7"/>
    <w:rsid w:val="004378C3"/>
    <w:rPr>
      <w:rFonts w:ascii="Arial" w:eastAsia="Times New Roman" w:hAnsi="Arial" w:cs="Arial"/>
      <w:szCs w:val="24"/>
    </w:rPr>
  </w:style>
  <w:style w:type="paragraph" w:styleId="TOC1">
    <w:name w:val="toc 1"/>
    <w:basedOn w:val="Normal"/>
    <w:next w:val="Normal"/>
    <w:autoRedefine/>
    <w:uiPriority w:val="39"/>
    <w:unhideWhenUsed/>
    <w:rsid w:val="004378C3"/>
    <w:pPr>
      <w:spacing w:after="100"/>
    </w:pPr>
  </w:style>
  <w:style w:type="paragraph" w:styleId="TOC2">
    <w:name w:val="toc 2"/>
    <w:basedOn w:val="Normal"/>
    <w:next w:val="Normal"/>
    <w:autoRedefine/>
    <w:uiPriority w:val="39"/>
    <w:unhideWhenUsed/>
    <w:rsid w:val="004378C3"/>
    <w:pPr>
      <w:spacing w:after="100"/>
      <w:ind w:left="220"/>
    </w:pPr>
  </w:style>
  <w:style w:type="paragraph" w:styleId="TOC3">
    <w:name w:val="toc 3"/>
    <w:basedOn w:val="Normal"/>
    <w:next w:val="Normal"/>
    <w:autoRedefine/>
    <w:uiPriority w:val="39"/>
    <w:unhideWhenUsed/>
    <w:rsid w:val="004378C3"/>
    <w:pPr>
      <w:spacing w:after="100"/>
      <w:ind w:left="440"/>
    </w:pPr>
  </w:style>
  <w:style w:type="paragraph" w:styleId="TOC4">
    <w:name w:val="toc 4"/>
    <w:basedOn w:val="Normal"/>
    <w:next w:val="Normal"/>
    <w:autoRedefine/>
    <w:uiPriority w:val="39"/>
    <w:semiHidden/>
    <w:unhideWhenUsed/>
    <w:rsid w:val="004378C3"/>
    <w:pPr>
      <w:spacing w:after="100"/>
      <w:ind w:left="660"/>
    </w:pPr>
  </w:style>
  <w:style w:type="paragraph" w:styleId="TOC5">
    <w:name w:val="toc 5"/>
    <w:basedOn w:val="Normal"/>
    <w:next w:val="Normal"/>
    <w:autoRedefine/>
    <w:uiPriority w:val="39"/>
    <w:semiHidden/>
    <w:unhideWhenUsed/>
    <w:rsid w:val="004378C3"/>
    <w:pPr>
      <w:spacing w:after="100"/>
      <w:ind w:left="880"/>
    </w:pPr>
  </w:style>
  <w:style w:type="paragraph" w:styleId="TOC6">
    <w:name w:val="toc 6"/>
    <w:basedOn w:val="Normal"/>
    <w:next w:val="Normal"/>
    <w:autoRedefine/>
    <w:uiPriority w:val="39"/>
    <w:semiHidden/>
    <w:unhideWhenUsed/>
    <w:rsid w:val="004378C3"/>
    <w:pPr>
      <w:spacing w:after="100"/>
      <w:ind w:left="1100"/>
    </w:pPr>
  </w:style>
  <w:style w:type="paragraph" w:styleId="TOC7">
    <w:name w:val="toc 7"/>
    <w:basedOn w:val="Normal"/>
    <w:next w:val="Normal"/>
    <w:autoRedefine/>
    <w:uiPriority w:val="39"/>
    <w:semiHidden/>
    <w:unhideWhenUsed/>
    <w:rsid w:val="004378C3"/>
    <w:pPr>
      <w:spacing w:after="100"/>
      <w:ind w:left="1320"/>
    </w:pPr>
  </w:style>
  <w:style w:type="paragraph" w:styleId="TOC8">
    <w:name w:val="toc 8"/>
    <w:basedOn w:val="Normal"/>
    <w:next w:val="Normal"/>
    <w:autoRedefine/>
    <w:uiPriority w:val="39"/>
    <w:semiHidden/>
    <w:unhideWhenUsed/>
    <w:rsid w:val="004378C3"/>
    <w:pPr>
      <w:spacing w:after="100"/>
      <w:ind w:left="1540"/>
    </w:pPr>
  </w:style>
  <w:style w:type="paragraph" w:styleId="TOC9">
    <w:name w:val="toc 9"/>
    <w:basedOn w:val="Normal"/>
    <w:next w:val="Normal"/>
    <w:autoRedefine/>
    <w:uiPriority w:val="39"/>
    <w:semiHidden/>
    <w:unhideWhenUsed/>
    <w:rsid w:val="004378C3"/>
    <w:pPr>
      <w:spacing w:after="100"/>
      <w:ind w:left="1760"/>
    </w:pPr>
  </w:style>
  <w:style w:type="character" w:customStyle="1" w:styleId="Heading4Char">
    <w:name w:val="Heading 4 Char"/>
    <w:basedOn w:val="DefaultParagraphFont"/>
    <w:link w:val="Heading4"/>
    <w:uiPriority w:val="9"/>
    <w:semiHidden/>
    <w:rsid w:val="00A34A0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ss.dau.mil/dag/DoD5000.asp?view=document" TargetMode="External"/><Relationship Id="rId13" Type="http://schemas.openxmlformats.org/officeDocument/2006/relationships/hyperlink" Target="http://www.acq.osd.mil/pm/currentpolicy/currentpolicy.html" TargetMode="External"/><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hyperlink" Target="https://acc.dau.mil/CommunityBrowser.aspx?id=19557" TargetMode="External"/><Relationship Id="rId12" Type="http://schemas.openxmlformats.org/officeDocument/2006/relationships/hyperlink" Target="http://guidebook.dcma.mil/248/guidebook_process.htm"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s://akss.dau.mil/dag/DoD5000.asp?view=document" TargetMode="External"/><Relationship Id="rId11" Type="http://schemas.openxmlformats.org/officeDocument/2006/relationships/hyperlink" Target="http://guidebook.dcma.mil/79/instructions.htm" TargetMode="External"/><Relationship Id="rId5" Type="http://schemas.openxmlformats.org/officeDocument/2006/relationships/endnotes" Target="endnot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guidebook.dcma.mil/39/instructions.htm" TargetMode="External"/><Relationship Id="rId19" Type="http://schemas.openxmlformats.org/officeDocument/2006/relationships/hyperlink" Target="http://dcarc.pae.osd.mil" TargetMode="External"/><Relationship Id="rId4" Type="http://schemas.openxmlformats.org/officeDocument/2006/relationships/footnotes" Target="footnotes.xml"/><Relationship Id="rId9" Type="http://schemas.openxmlformats.org/officeDocument/2006/relationships/hyperlink" Target="https://acc.dau.mil/CommunityBrowser.aspx?id=19557" TargetMode="External"/><Relationship Id="rId14" Type="http://schemas.openxmlformats.org/officeDocument/2006/relationships/hyperlink" Target="http://www.acq.osd.mil/dpap/dars/dfars/html/current/252242.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1006</Words>
  <Characters>5738</Characters>
  <Application>Microsoft Office Word</Application>
  <DocSecurity>0</DocSecurity>
  <Lines>47</Lines>
  <Paragraphs>13</Paragraphs>
  <ScaleCrop>false</ScaleCrop>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4</cp:revision>
  <dcterms:created xsi:type="dcterms:W3CDTF">2020-04-10T16:55:00Z</dcterms:created>
  <dcterms:modified xsi:type="dcterms:W3CDTF">2020-04-14T15:34:00Z</dcterms:modified>
</cp:coreProperties>
</file>