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4593D" w14:textId="77777777" w:rsidR="0055223D" w:rsidRDefault="0055223D">
      <w:pPr>
        <w:sectPr w:rsidR="0055223D">
          <w:pgSz w:w="12240" w:h="15840"/>
          <w:pgMar w:top="1440" w:right="1440" w:bottom="1440" w:left="1440" w:header="720" w:footer="720" w:gutter="0"/>
          <w:cols w:space="720"/>
          <w:docGrid w:linePitch="360"/>
        </w:sectPr>
      </w:pPr>
    </w:p>
    <w:p w14:paraId="78203566" w14:textId="77777777" w:rsidR="0055223D" w:rsidRDefault="0055223D" w:rsidP="009C080E">
      <w:pPr>
        <w:pStyle w:val="Heading1"/>
      </w:pPr>
      <w:bookmarkStart w:id="0" w:name="_Toc37677687"/>
      <w:bookmarkStart w:id="1" w:name="_Toc37756540"/>
      <w:r w:rsidRPr="007B495C">
        <w:lastRenderedPageBreak/>
        <w:t>PART 2</w:t>
      </w:r>
      <w:r>
        <w:t>36</w:t>
      </w:r>
      <w:r w:rsidRPr="007B495C">
        <w:t xml:space="preserve"> - </w:t>
      </w:r>
      <w:r>
        <w:br/>
      </w:r>
      <w:r w:rsidRPr="00A530FB">
        <w:t>Construction and Architect -- Engineer Contracts</w:t>
      </w:r>
      <w:bookmarkEnd w:id="0"/>
      <w:bookmarkEnd w:id="1"/>
    </w:p>
    <w:p w14:paraId="06AD8BC2" w14:textId="77777777" w:rsidR="0055223D" w:rsidRDefault="0055223D">
      <w:r>
        <w:br w:type="page"/>
      </w:r>
      <w:r>
        <w:lastRenderedPageBreak/>
        <w:br/>
      </w:r>
    </w:p>
    <w:p w14:paraId="4AD75523" w14:textId="77777777" w:rsidR="00E55220" w:rsidRPr="00963A6B" w:rsidRDefault="00E55220" w:rsidP="00963A6B">
      <w:pPr>
        <w:jc w:val="center"/>
        <w:rPr>
          <w:b/>
        </w:rPr>
      </w:pPr>
      <w:r w:rsidRPr="00963A6B">
        <w:rPr>
          <w:b/>
        </w:rPr>
        <w:t>Table of Contents</w:t>
      </w:r>
    </w:p>
    <w:p w14:paraId="37FE7452" w14:textId="420AB3BE" w:rsidR="00BC4A57" w:rsidRDefault="00BC4A57" w:rsidP="00BC4A57">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540" w:history="1">
        <w:r w:rsidRPr="006E6535">
          <w:rPr>
            <w:rStyle w:val="Hyperlink"/>
            <w:noProof/>
          </w:rPr>
          <w:t>PART 236 -  Construction and Architect -- Engineer Contracts</w:t>
        </w:r>
      </w:hyperlink>
    </w:p>
    <w:p w14:paraId="37C13499" w14:textId="6B150BFF" w:rsidR="00BC4A57" w:rsidRDefault="00BC4A57" w:rsidP="00BC4A57">
      <w:pPr>
        <w:pStyle w:val="TOC2"/>
        <w:tabs>
          <w:tab w:val="right" w:leader="dot" w:pos="9350"/>
        </w:tabs>
        <w:rPr>
          <w:rFonts w:asciiTheme="minorHAnsi" w:eastAsiaTheme="minorEastAsia" w:hAnsiTheme="minorHAnsi" w:cstheme="minorBidi"/>
          <w:noProof/>
        </w:rPr>
      </w:pPr>
      <w:hyperlink w:anchor="_Toc37756541" w:history="1">
        <w:r w:rsidRPr="006E6535">
          <w:rPr>
            <w:rStyle w:val="Hyperlink"/>
            <w:noProof/>
          </w:rPr>
          <w:t>PGI 236.2—SPECIAL ASPECTS OF CONTRACTING FOR CONSTRUCTION</w:t>
        </w:r>
      </w:hyperlink>
    </w:p>
    <w:p w14:paraId="0A0BB504" w14:textId="64291C33" w:rsidR="00BC4A57" w:rsidRDefault="00BC4A57" w:rsidP="00BC4A57">
      <w:pPr>
        <w:pStyle w:val="TOC3"/>
        <w:tabs>
          <w:tab w:val="right" w:leader="dot" w:pos="9350"/>
        </w:tabs>
        <w:rPr>
          <w:rFonts w:asciiTheme="minorHAnsi" w:eastAsiaTheme="minorEastAsia" w:hAnsiTheme="minorHAnsi" w:cstheme="minorBidi"/>
          <w:noProof/>
        </w:rPr>
      </w:pPr>
      <w:hyperlink w:anchor="_Toc37756542" w:history="1">
        <w:r w:rsidRPr="006E6535">
          <w:rPr>
            <w:rStyle w:val="Hyperlink"/>
            <w:b/>
            <w:noProof/>
          </w:rPr>
          <w:t>PGI 236.203  Government estimate of construction costs.</w:t>
        </w:r>
      </w:hyperlink>
    </w:p>
    <w:p w14:paraId="7E2C0F59" w14:textId="5FCEB753" w:rsidR="00BC4A57" w:rsidRDefault="00BC4A57" w:rsidP="00BC4A57">
      <w:pPr>
        <w:pStyle w:val="TOC3"/>
        <w:tabs>
          <w:tab w:val="right" w:leader="dot" w:pos="9350"/>
        </w:tabs>
        <w:rPr>
          <w:rFonts w:asciiTheme="minorHAnsi" w:eastAsiaTheme="minorEastAsia" w:hAnsiTheme="minorHAnsi" w:cstheme="minorBidi"/>
          <w:noProof/>
        </w:rPr>
      </w:pPr>
      <w:hyperlink w:anchor="_Toc37756543" w:history="1">
        <w:r w:rsidRPr="006E6535">
          <w:rPr>
            <w:rStyle w:val="Hyperlink"/>
            <w:b/>
            <w:noProof/>
          </w:rPr>
          <w:t>PGI 236.213  Special procedures for sealed bidding in construction contracting.</w:t>
        </w:r>
      </w:hyperlink>
    </w:p>
    <w:p w14:paraId="7B55D2AC" w14:textId="173BCC6F" w:rsidR="00BC4A57" w:rsidRDefault="00BC4A57" w:rsidP="00BC4A57">
      <w:pPr>
        <w:pStyle w:val="TOC3"/>
        <w:tabs>
          <w:tab w:val="right" w:leader="dot" w:pos="9350"/>
        </w:tabs>
        <w:rPr>
          <w:rFonts w:asciiTheme="minorHAnsi" w:eastAsiaTheme="minorEastAsia" w:hAnsiTheme="minorHAnsi" w:cstheme="minorBidi"/>
          <w:noProof/>
        </w:rPr>
      </w:pPr>
      <w:hyperlink w:anchor="_Toc37756544" w:history="1">
        <w:r w:rsidRPr="006E6535">
          <w:rPr>
            <w:rStyle w:val="Hyperlink"/>
            <w:b/>
            <w:noProof/>
          </w:rPr>
          <w:t>PGI 236.273  Construction in foreign countries.</w:t>
        </w:r>
      </w:hyperlink>
    </w:p>
    <w:p w14:paraId="26800EBE" w14:textId="69E915A6" w:rsidR="00BC4A57" w:rsidRDefault="00BC4A57" w:rsidP="00BC4A57">
      <w:pPr>
        <w:pStyle w:val="TOC2"/>
        <w:tabs>
          <w:tab w:val="right" w:leader="dot" w:pos="9350"/>
        </w:tabs>
        <w:rPr>
          <w:rFonts w:asciiTheme="minorHAnsi" w:eastAsiaTheme="minorEastAsia" w:hAnsiTheme="minorHAnsi" w:cstheme="minorBidi"/>
          <w:noProof/>
        </w:rPr>
      </w:pPr>
      <w:hyperlink w:anchor="_Toc37756545" w:history="1">
        <w:r w:rsidRPr="006E6535">
          <w:rPr>
            <w:rStyle w:val="Hyperlink"/>
            <w:noProof/>
          </w:rPr>
          <w:t>PGI 236.6—ARCHITECT-ENGINEER SERVICES</w:t>
        </w:r>
      </w:hyperlink>
    </w:p>
    <w:p w14:paraId="19C2450D" w14:textId="79DCA0FD" w:rsidR="00BC4A57" w:rsidRDefault="00BC4A57" w:rsidP="00BC4A57">
      <w:pPr>
        <w:pStyle w:val="TOC3"/>
        <w:tabs>
          <w:tab w:val="right" w:leader="dot" w:pos="9350"/>
        </w:tabs>
        <w:rPr>
          <w:rFonts w:asciiTheme="minorHAnsi" w:eastAsiaTheme="minorEastAsia" w:hAnsiTheme="minorHAnsi" w:cstheme="minorBidi"/>
          <w:noProof/>
        </w:rPr>
      </w:pPr>
      <w:hyperlink w:anchor="_Toc37756546" w:history="1">
        <w:r w:rsidRPr="006E6535">
          <w:rPr>
            <w:rStyle w:val="Hyperlink"/>
            <w:b/>
            <w:noProof/>
          </w:rPr>
          <w:t>PGI 236.602  Selection of firms for architect-engineer contracts.</w:t>
        </w:r>
      </w:hyperlink>
    </w:p>
    <w:p w14:paraId="4CDFB5C6" w14:textId="7A35DCD5" w:rsidR="00BC4A57" w:rsidRDefault="00BC4A57" w:rsidP="00BC4A57">
      <w:pPr>
        <w:pStyle w:val="TOC4"/>
        <w:tabs>
          <w:tab w:val="right" w:leader="dot" w:pos="9350"/>
        </w:tabs>
        <w:rPr>
          <w:rFonts w:asciiTheme="minorHAnsi" w:eastAsiaTheme="minorEastAsia" w:hAnsiTheme="minorHAnsi" w:cstheme="minorBidi"/>
          <w:noProof/>
        </w:rPr>
      </w:pPr>
      <w:hyperlink w:anchor="_Toc37756547" w:history="1">
        <w:r w:rsidRPr="006E6535">
          <w:rPr>
            <w:rStyle w:val="Hyperlink"/>
            <w:b/>
            <w:noProof/>
          </w:rPr>
          <w:t>PGI 236.602-1  Selection criteria.</w:t>
        </w:r>
      </w:hyperlink>
    </w:p>
    <w:p w14:paraId="4D1C6681" w14:textId="3D4D53A8" w:rsidR="0055223D" w:rsidRPr="0055223D" w:rsidRDefault="00BC4A57" w:rsidP="0055223D">
      <w:r>
        <w:rPr>
          <w:rStyle w:val="Hyperlink"/>
          <w:b/>
          <w:noProof/>
        </w:rPr>
        <w:fldChar w:fldCharType="end"/>
      </w:r>
    </w:p>
    <w:p w14:paraId="5595483E" w14:textId="77777777" w:rsidR="0055223D" w:rsidRDefault="0055223D" w:rsidP="0019239A">
      <w:pPr>
        <w:jc w:val="center"/>
      </w:pPr>
      <w:r w:rsidRPr="00421A25">
        <w:rPr>
          <w:i/>
          <w:szCs w:val="24"/>
        </w:rPr>
        <w:t>(</w:t>
      </w:r>
      <w:r>
        <w:rPr>
          <w:i/>
          <w:szCs w:val="24"/>
        </w:rPr>
        <w:t>Revised June 24, 2014</w:t>
      </w:r>
      <w:r w:rsidRPr="00421A25">
        <w:rPr>
          <w:i/>
          <w:szCs w:val="24"/>
        </w:rPr>
        <w:t>)</w:t>
      </w:r>
    </w:p>
    <w:p w14:paraId="5B014325" w14:textId="77777777" w:rsidR="0055223D" w:rsidRDefault="0055223D" w:rsidP="0019239A">
      <w:pPr>
        <w:pStyle w:val="Heading2"/>
      </w:pPr>
      <w:r>
        <w:rPr>
          <w:i/>
          <w:szCs w:val="24"/>
        </w:rPr>
        <w:br/>
      </w:r>
      <w:bookmarkStart w:id="2" w:name="_Toc37415857"/>
      <w:bookmarkStart w:id="3" w:name="_Toc37677688"/>
      <w:bookmarkStart w:id="4" w:name="BM236_2"/>
      <w:bookmarkStart w:id="5" w:name="_Toc37756541"/>
      <w:r w:rsidRPr="00421A25">
        <w:rPr>
          <w:szCs w:val="24"/>
        </w:rPr>
        <w:t>PGI 236.2—SPECIAL ASPECTS OF CONTRACTING FOR CONSTRUCTION</w:t>
      </w:r>
      <w:bookmarkEnd w:id="2"/>
      <w:bookmarkEnd w:id="3"/>
      <w:bookmarkEnd w:id="5"/>
    </w:p>
    <w:p w14:paraId="5A79CD5D" w14:textId="77777777" w:rsidR="0055223D" w:rsidRDefault="0055223D" w:rsidP="0019239A">
      <w:pPr>
        <w:pStyle w:val="Heading3"/>
      </w:pPr>
      <w:r>
        <w:rPr>
          <w:b/>
          <w:szCs w:val="24"/>
        </w:rPr>
        <w:br/>
      </w:r>
      <w:bookmarkStart w:id="6" w:name="_Toc37415858"/>
      <w:bookmarkStart w:id="7" w:name="_Toc37677689"/>
      <w:bookmarkStart w:id="8" w:name="_Toc37756542"/>
      <w:r w:rsidRPr="00421A25">
        <w:rPr>
          <w:b/>
          <w:szCs w:val="24"/>
        </w:rPr>
        <w:t xml:space="preserve">PGI </w:t>
      </w:r>
      <w:proofErr w:type="gramStart"/>
      <w:r w:rsidRPr="00421A25">
        <w:rPr>
          <w:b/>
          <w:szCs w:val="24"/>
        </w:rPr>
        <w:t>236.203  Government</w:t>
      </w:r>
      <w:proofErr w:type="gramEnd"/>
      <w:r w:rsidRPr="00421A25">
        <w:rPr>
          <w:b/>
          <w:szCs w:val="24"/>
        </w:rPr>
        <w:t xml:space="preserve"> estimate of construction costs.</w:t>
      </w:r>
      <w:bookmarkEnd w:id="6"/>
      <w:bookmarkEnd w:id="7"/>
      <w:bookmarkEnd w:id="8"/>
    </w:p>
    <w:p w14:paraId="0DC84A58" w14:textId="77777777" w:rsidR="0055223D" w:rsidRDefault="0055223D" w:rsidP="0019239A">
      <w:pPr>
        <w:pStyle w:val="List2"/>
      </w:pPr>
      <w:r>
        <w:rPr>
          <w:b/>
          <w:szCs w:val="24"/>
        </w:rPr>
        <w:br/>
      </w:r>
      <w:r w:rsidRPr="00421A25">
        <w:rPr>
          <w:szCs w:val="24"/>
        </w:rPr>
        <w:t>(1)  Designate the Government estimate as “For Official Use Only,” unless the information is classified.  If it is, handle the estimate in accordance with security regulations.</w:t>
      </w:r>
    </w:p>
    <w:p w14:paraId="57D8D87A" w14:textId="77777777" w:rsidR="0055223D" w:rsidRDefault="0055223D" w:rsidP="0019239A">
      <w:pPr>
        <w:pStyle w:val="List2"/>
      </w:pPr>
      <w:r>
        <w:rPr>
          <w:szCs w:val="24"/>
        </w:rPr>
        <w:br/>
      </w:r>
      <w:r w:rsidRPr="00421A25">
        <w:rPr>
          <w:szCs w:val="24"/>
        </w:rPr>
        <w:t>(2)  For sealed bid acquisitions—</w:t>
      </w:r>
    </w:p>
    <w:p w14:paraId="34F5973D" w14:textId="77777777" w:rsidR="0055223D" w:rsidRDefault="0055223D" w:rsidP="00651D1A">
      <w:pPr>
        <w:pStyle w:val="List3"/>
      </w:pPr>
      <w:r>
        <w:br/>
      </w:r>
      <w:r w:rsidRPr="00421A25">
        <w:t>(</w:t>
      </w:r>
      <w:proofErr w:type="spellStart"/>
      <w:r w:rsidRPr="00421A25">
        <w:t>i</w:t>
      </w:r>
      <w:proofErr w:type="spellEnd"/>
      <w:r w:rsidRPr="00421A25">
        <w:t>)  File a sealed copy of the Government estimate with the bids.  (In the case of two-step acquisitions, this is done in the second step.)</w:t>
      </w:r>
    </w:p>
    <w:p w14:paraId="4CB7CD9C" w14:textId="77777777" w:rsidR="0055223D" w:rsidRDefault="0055223D" w:rsidP="0019239A">
      <w:pPr>
        <w:pStyle w:val="List3"/>
      </w:pPr>
      <w:r>
        <w:rPr>
          <w:szCs w:val="24"/>
        </w:rPr>
        <w:lastRenderedPageBreak/>
        <w:br/>
      </w:r>
      <w:r w:rsidRPr="00421A25">
        <w:rPr>
          <w:szCs w:val="24"/>
        </w:rPr>
        <w:t>(ii)  After the bids are read and recorded, remove the “For Official Use Only” designation and read and record the estimate as if it were a bid, in the same detail as the bids.</w:t>
      </w:r>
    </w:p>
    <w:p w14:paraId="4257BA54" w14:textId="77777777" w:rsidR="0055223D" w:rsidRDefault="0055223D" w:rsidP="0019239A">
      <w:r>
        <w:rPr>
          <w:szCs w:val="24"/>
        </w:rPr>
        <w:br/>
      </w:r>
      <w:r w:rsidRPr="00A219BE">
        <w:rPr>
          <w:b/>
          <w:bCs/>
          <w:szCs w:val="24"/>
        </w:rPr>
        <w:t>PGI 236.207 Pricing Fixed-Price Construction Contracts.</w:t>
      </w:r>
    </w:p>
    <w:p w14:paraId="3A940E7E" w14:textId="77777777" w:rsidR="0055223D" w:rsidRDefault="0055223D" w:rsidP="0019239A">
      <w:pPr>
        <w:pStyle w:val="List1"/>
      </w:pPr>
      <w:r>
        <w:rPr>
          <w:b/>
          <w:bCs/>
        </w:rPr>
        <w:br/>
      </w:r>
      <w:r w:rsidRPr="00A219BE">
        <w:rPr>
          <w:bCs/>
        </w:rPr>
        <w:t>(a)(70</w:t>
      </w:r>
      <w:proofErr w:type="gramStart"/>
      <w:r w:rsidRPr="00A219BE">
        <w:rPr>
          <w:bCs/>
        </w:rPr>
        <w:t xml:space="preserve">) </w:t>
      </w:r>
      <w:r>
        <w:rPr>
          <w:bCs/>
        </w:rPr>
        <w:t xml:space="preserve"> </w:t>
      </w:r>
      <w:r w:rsidRPr="00A219BE">
        <w:rPr>
          <w:bCs/>
          <w:i/>
        </w:rPr>
        <w:t>Definition</w:t>
      </w:r>
      <w:proofErr w:type="gramEnd"/>
      <w:r w:rsidRPr="00A219BE">
        <w:rPr>
          <w:bCs/>
        </w:rPr>
        <w:t>:  “lump sum” means a single payment of money, as opposed to a series of payments made over time.</w:t>
      </w:r>
    </w:p>
    <w:p w14:paraId="5CFCD9C7" w14:textId="77777777" w:rsidR="0055223D" w:rsidRPr="00A219BE" w:rsidRDefault="0055223D" w:rsidP="00651D1A">
      <w:pPr>
        <w:pStyle w:val="List3"/>
      </w:pPr>
      <w:r>
        <w:rPr>
          <w:bCs/>
        </w:rPr>
        <w:br/>
      </w:r>
      <w:r w:rsidRPr="00A219BE">
        <w:rPr>
          <w:bCs/>
        </w:rPr>
        <w:t>(</w:t>
      </w:r>
      <w:proofErr w:type="spellStart"/>
      <w:r w:rsidRPr="00A219BE">
        <w:rPr>
          <w:bCs/>
        </w:rPr>
        <w:t>i</w:t>
      </w:r>
      <w:proofErr w:type="spellEnd"/>
      <w:r w:rsidRPr="00A219BE">
        <w:rPr>
          <w:bCs/>
        </w:rPr>
        <w:t>)</w:t>
      </w:r>
      <w:r>
        <w:rPr>
          <w:bCs/>
        </w:rPr>
        <w:t xml:space="preserve"> </w:t>
      </w:r>
      <w:r w:rsidRPr="00A219BE">
        <w:rPr>
          <w:bCs/>
        </w:rPr>
        <w:t xml:space="preserve"> An example of a line item with lump sum pricing in accordance with DFARS </w:t>
      </w:r>
      <w:hyperlink r:id="rId6" w:history="1">
        <w:r w:rsidRPr="003730FF">
          <w:rPr>
            <w:rStyle w:val="Hyperlink"/>
            <w:bCs/>
          </w:rPr>
          <w:t>204.71</w:t>
        </w:r>
      </w:hyperlink>
      <w:r w:rsidRPr="00A219BE">
        <w:rPr>
          <w:bCs/>
        </w:rPr>
        <w:t xml:space="preserve"> is as follows:</w:t>
      </w:r>
    </w:p>
    <w:p w14:paraId="6B3B979C" w14:textId="77777777" w:rsidR="0055223D" w:rsidRDefault="0055223D" w:rsidP="0019239A"/>
    <w:p w14:paraId="68342039" w14:textId="77777777" w:rsidR="0055223D" w:rsidRPr="00A219BE" w:rsidRDefault="0055223D" w:rsidP="0019239A"/>
    <w:tbl>
      <w:tblPr>
        <w:tblW w:w="96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7"/>
        <w:gridCol w:w="2754"/>
        <w:gridCol w:w="1538"/>
        <w:gridCol w:w="822"/>
        <w:gridCol w:w="1702"/>
        <w:gridCol w:w="1757"/>
      </w:tblGrid>
      <w:tr w:rsidR="0055223D" w:rsidRPr="00A219BE" w14:paraId="1944769E" w14:textId="77777777" w:rsidTr="00C17D6C">
        <w:trPr>
          <w:tblCellSpacing w:w="15" w:type="dxa"/>
        </w:trPr>
        <w:tc>
          <w:tcPr>
            <w:tcW w:w="1062" w:type="dxa"/>
            <w:tcBorders>
              <w:top w:val="outset" w:sz="6" w:space="0" w:color="auto"/>
              <w:left w:val="outset" w:sz="6" w:space="0" w:color="auto"/>
              <w:bottom w:val="outset" w:sz="6" w:space="0" w:color="auto"/>
              <w:right w:val="outset" w:sz="6" w:space="0" w:color="auto"/>
            </w:tcBorders>
            <w:hideMark/>
          </w:tcPr>
          <w:p w14:paraId="32C521EB" w14:textId="77777777" w:rsidR="0055223D" w:rsidRPr="00A219BE" w:rsidRDefault="0055223D" w:rsidP="0019239A">
            <w:r w:rsidRPr="00A219BE">
              <w:rPr>
                <w:szCs w:val="24"/>
              </w:rPr>
              <w:t>ITEM NO.</w:t>
            </w:r>
          </w:p>
        </w:tc>
        <w:tc>
          <w:tcPr>
            <w:tcW w:w="2724" w:type="dxa"/>
            <w:tcBorders>
              <w:top w:val="outset" w:sz="6" w:space="0" w:color="auto"/>
              <w:left w:val="outset" w:sz="6" w:space="0" w:color="auto"/>
              <w:bottom w:val="outset" w:sz="6" w:space="0" w:color="auto"/>
              <w:right w:val="outset" w:sz="6" w:space="0" w:color="auto"/>
            </w:tcBorders>
            <w:hideMark/>
          </w:tcPr>
          <w:p w14:paraId="4FB30DD6" w14:textId="77777777" w:rsidR="0055223D" w:rsidRPr="00A219BE" w:rsidRDefault="0055223D" w:rsidP="0019239A">
            <w:r w:rsidRPr="00A219BE">
              <w:rPr>
                <w:szCs w:val="24"/>
              </w:rPr>
              <w:t>SUPPLIES/SERVICE</w:t>
            </w:r>
          </w:p>
        </w:tc>
        <w:tc>
          <w:tcPr>
            <w:tcW w:w="1508" w:type="dxa"/>
            <w:tcBorders>
              <w:top w:val="outset" w:sz="6" w:space="0" w:color="auto"/>
              <w:left w:val="outset" w:sz="6" w:space="0" w:color="auto"/>
              <w:bottom w:val="outset" w:sz="6" w:space="0" w:color="auto"/>
              <w:right w:val="outset" w:sz="6" w:space="0" w:color="auto"/>
            </w:tcBorders>
            <w:hideMark/>
          </w:tcPr>
          <w:p w14:paraId="23269FF0" w14:textId="77777777" w:rsidR="0055223D" w:rsidRPr="00A219BE" w:rsidRDefault="0055223D" w:rsidP="0019239A">
            <w:r w:rsidRPr="00A219BE">
              <w:rPr>
                <w:szCs w:val="24"/>
              </w:rPr>
              <w:t>QUANTITY</w:t>
            </w:r>
          </w:p>
        </w:tc>
        <w:tc>
          <w:tcPr>
            <w:tcW w:w="792" w:type="dxa"/>
            <w:tcBorders>
              <w:top w:val="outset" w:sz="6" w:space="0" w:color="auto"/>
              <w:left w:val="outset" w:sz="6" w:space="0" w:color="auto"/>
              <w:bottom w:val="outset" w:sz="6" w:space="0" w:color="auto"/>
              <w:right w:val="outset" w:sz="6" w:space="0" w:color="auto"/>
            </w:tcBorders>
            <w:hideMark/>
          </w:tcPr>
          <w:p w14:paraId="1BD281D2" w14:textId="77777777" w:rsidR="0055223D" w:rsidRPr="00A219BE" w:rsidRDefault="0055223D" w:rsidP="0019239A">
            <w:r w:rsidRPr="00A219BE">
              <w:rPr>
                <w:szCs w:val="24"/>
              </w:rPr>
              <w:t>UNIT</w:t>
            </w:r>
          </w:p>
        </w:tc>
        <w:tc>
          <w:tcPr>
            <w:tcW w:w="1672" w:type="dxa"/>
            <w:tcBorders>
              <w:top w:val="outset" w:sz="6" w:space="0" w:color="auto"/>
              <w:left w:val="outset" w:sz="6" w:space="0" w:color="auto"/>
              <w:bottom w:val="outset" w:sz="6" w:space="0" w:color="auto"/>
              <w:right w:val="outset" w:sz="6" w:space="0" w:color="auto"/>
            </w:tcBorders>
            <w:hideMark/>
          </w:tcPr>
          <w:p w14:paraId="75CB21A3" w14:textId="77777777" w:rsidR="0055223D" w:rsidRPr="00A219BE" w:rsidRDefault="0055223D" w:rsidP="0019239A">
            <w:r w:rsidRPr="00A219BE">
              <w:rPr>
                <w:szCs w:val="24"/>
              </w:rPr>
              <w:t>UNIT PRICE</w:t>
            </w:r>
          </w:p>
        </w:tc>
        <w:tc>
          <w:tcPr>
            <w:tcW w:w="1712" w:type="dxa"/>
            <w:tcBorders>
              <w:top w:val="outset" w:sz="6" w:space="0" w:color="auto"/>
              <w:left w:val="outset" w:sz="6" w:space="0" w:color="auto"/>
              <w:bottom w:val="outset" w:sz="6" w:space="0" w:color="auto"/>
              <w:right w:val="outset" w:sz="6" w:space="0" w:color="auto"/>
            </w:tcBorders>
            <w:hideMark/>
          </w:tcPr>
          <w:p w14:paraId="0CD66DF1" w14:textId="77777777" w:rsidR="0055223D" w:rsidRPr="00A219BE" w:rsidRDefault="0055223D" w:rsidP="0019239A">
            <w:r w:rsidRPr="00A219BE">
              <w:rPr>
                <w:szCs w:val="24"/>
              </w:rPr>
              <w:t>AMOUNT</w:t>
            </w:r>
          </w:p>
        </w:tc>
      </w:tr>
      <w:tr w:rsidR="0055223D" w:rsidRPr="00A219BE" w14:paraId="003E7E77" w14:textId="77777777" w:rsidTr="00C17D6C">
        <w:trPr>
          <w:tblCellSpacing w:w="15" w:type="dxa"/>
        </w:trPr>
        <w:tc>
          <w:tcPr>
            <w:tcW w:w="1062" w:type="dxa"/>
            <w:tcBorders>
              <w:top w:val="outset" w:sz="6" w:space="0" w:color="auto"/>
              <w:left w:val="outset" w:sz="6" w:space="0" w:color="auto"/>
              <w:bottom w:val="outset" w:sz="6" w:space="0" w:color="auto"/>
              <w:right w:val="outset" w:sz="6" w:space="0" w:color="auto"/>
            </w:tcBorders>
            <w:hideMark/>
          </w:tcPr>
          <w:p w14:paraId="72874A7C" w14:textId="77777777" w:rsidR="0055223D" w:rsidRPr="00A219BE" w:rsidRDefault="0055223D" w:rsidP="0019239A">
            <w:r w:rsidRPr="00A219BE">
              <w:rPr>
                <w:szCs w:val="24"/>
              </w:rPr>
              <w:t>0001</w:t>
            </w:r>
          </w:p>
        </w:tc>
        <w:tc>
          <w:tcPr>
            <w:tcW w:w="2724" w:type="dxa"/>
            <w:tcBorders>
              <w:top w:val="outset" w:sz="6" w:space="0" w:color="auto"/>
              <w:left w:val="outset" w:sz="6" w:space="0" w:color="auto"/>
              <w:bottom w:val="outset" w:sz="6" w:space="0" w:color="auto"/>
              <w:right w:val="outset" w:sz="6" w:space="0" w:color="auto"/>
            </w:tcBorders>
            <w:hideMark/>
          </w:tcPr>
          <w:p w14:paraId="4B417500" w14:textId="77777777" w:rsidR="0055223D" w:rsidRPr="00A219BE" w:rsidRDefault="0055223D" w:rsidP="0019239A">
            <w:r w:rsidRPr="00A219BE">
              <w:rPr>
                <w:szCs w:val="24"/>
              </w:rPr>
              <w:t>Repave runway 4 at Joint Base Andrews</w:t>
            </w:r>
          </w:p>
          <w:p w14:paraId="293267E1" w14:textId="77777777" w:rsidR="0055223D" w:rsidRPr="00A219BE" w:rsidRDefault="0055223D" w:rsidP="0019239A">
            <w:r w:rsidRPr="00A219BE">
              <w:t>Firm Fixed Price</w:t>
            </w:r>
          </w:p>
          <w:p w14:paraId="0DC7E547" w14:textId="77777777" w:rsidR="0055223D" w:rsidRPr="00A219BE" w:rsidRDefault="0055223D" w:rsidP="0019239A">
            <w:r w:rsidRPr="00A219BE">
              <w:t>PSC: Z1BD</w:t>
            </w:r>
          </w:p>
          <w:p w14:paraId="48B393A8" w14:textId="77777777" w:rsidR="0055223D" w:rsidRPr="00A219BE" w:rsidRDefault="0055223D" w:rsidP="0019239A">
            <w:r w:rsidRPr="00A219BE">
              <w:t>ACRN: AA</w:t>
            </w:r>
          </w:p>
          <w:p w14:paraId="2C347D15" w14:textId="77777777" w:rsidR="0055223D" w:rsidRPr="00A219BE" w:rsidRDefault="0055223D" w:rsidP="00A219BE">
            <w:pPr>
              <w:pStyle w:val="DFARS"/>
              <w:tabs>
                <w:tab w:val="bar" w:pos="10080"/>
              </w:tabs>
              <w:rPr>
                <w:rFonts w:ascii="Arial" w:hAnsi="Arial"/>
                <w:szCs w:val="24"/>
              </w:rPr>
            </w:pPr>
          </w:p>
        </w:tc>
        <w:tc>
          <w:tcPr>
            <w:tcW w:w="1508" w:type="dxa"/>
            <w:tcBorders>
              <w:top w:val="outset" w:sz="6" w:space="0" w:color="auto"/>
              <w:left w:val="outset" w:sz="6" w:space="0" w:color="auto"/>
              <w:bottom w:val="outset" w:sz="6" w:space="0" w:color="auto"/>
              <w:right w:val="outset" w:sz="6" w:space="0" w:color="auto"/>
            </w:tcBorders>
            <w:hideMark/>
          </w:tcPr>
          <w:p w14:paraId="74AF5B6D" w14:textId="77777777" w:rsidR="0055223D" w:rsidRPr="00A219BE" w:rsidRDefault="0055223D" w:rsidP="0019239A">
            <w:r w:rsidRPr="00A219BE">
              <w:rPr>
                <w:szCs w:val="24"/>
              </w:rPr>
              <w:t>1 </w:t>
            </w:r>
          </w:p>
        </w:tc>
        <w:tc>
          <w:tcPr>
            <w:tcW w:w="792" w:type="dxa"/>
            <w:tcBorders>
              <w:top w:val="outset" w:sz="6" w:space="0" w:color="auto"/>
              <w:left w:val="outset" w:sz="6" w:space="0" w:color="auto"/>
              <w:bottom w:val="outset" w:sz="6" w:space="0" w:color="auto"/>
              <w:right w:val="outset" w:sz="6" w:space="0" w:color="auto"/>
            </w:tcBorders>
            <w:hideMark/>
          </w:tcPr>
          <w:p w14:paraId="06536BC6" w14:textId="77777777" w:rsidR="0055223D" w:rsidRPr="00A219BE" w:rsidRDefault="0055223D" w:rsidP="0019239A">
            <w:r w:rsidRPr="00A219BE">
              <w:rPr>
                <w:szCs w:val="24"/>
              </w:rPr>
              <w:t> Job</w:t>
            </w:r>
          </w:p>
        </w:tc>
        <w:tc>
          <w:tcPr>
            <w:tcW w:w="1672" w:type="dxa"/>
            <w:tcBorders>
              <w:top w:val="outset" w:sz="6" w:space="0" w:color="auto"/>
              <w:left w:val="outset" w:sz="6" w:space="0" w:color="auto"/>
              <w:bottom w:val="outset" w:sz="6" w:space="0" w:color="auto"/>
              <w:right w:val="outset" w:sz="6" w:space="0" w:color="auto"/>
            </w:tcBorders>
            <w:hideMark/>
          </w:tcPr>
          <w:p w14:paraId="495A321E" w14:textId="77777777" w:rsidR="0055223D" w:rsidRPr="00A219BE" w:rsidRDefault="0055223D" w:rsidP="0019239A">
            <w:r w:rsidRPr="00A219BE">
              <w:rPr>
                <w:szCs w:val="24"/>
              </w:rPr>
              <w:t> $1,501,866.08</w:t>
            </w:r>
          </w:p>
        </w:tc>
        <w:tc>
          <w:tcPr>
            <w:tcW w:w="1712" w:type="dxa"/>
            <w:tcBorders>
              <w:top w:val="outset" w:sz="6" w:space="0" w:color="auto"/>
              <w:left w:val="outset" w:sz="6" w:space="0" w:color="auto"/>
              <w:bottom w:val="outset" w:sz="6" w:space="0" w:color="auto"/>
              <w:right w:val="outset" w:sz="6" w:space="0" w:color="auto"/>
            </w:tcBorders>
            <w:hideMark/>
          </w:tcPr>
          <w:p w14:paraId="244182AA" w14:textId="77777777" w:rsidR="0055223D" w:rsidRPr="00A219BE" w:rsidRDefault="0055223D" w:rsidP="0019239A">
            <w:r w:rsidRPr="00A219BE">
              <w:rPr>
                <w:szCs w:val="24"/>
              </w:rPr>
              <w:t> $1,501,866.08</w:t>
            </w:r>
          </w:p>
        </w:tc>
      </w:tr>
    </w:tbl>
    <w:p w14:paraId="78865260" w14:textId="77777777" w:rsidR="0055223D" w:rsidRDefault="0055223D" w:rsidP="0019239A"/>
    <w:p w14:paraId="54132117" w14:textId="77777777" w:rsidR="0055223D" w:rsidRDefault="0055223D" w:rsidP="0019239A">
      <w:r>
        <w:br/>
      </w:r>
      <w:r w:rsidRPr="00A219BE">
        <w:t>Note that payment would occur upon completion and acceptance of the entire effort.  Progress payments based on estimates of the percentage of completion (see FAR 52.232-5—Payments Under Fixed-Price Construction Contracts) could occur prior to that point.</w:t>
      </w:r>
    </w:p>
    <w:p w14:paraId="7CE94D16" w14:textId="77777777" w:rsidR="0055223D" w:rsidRDefault="0055223D" w:rsidP="0019239A">
      <w:pPr>
        <w:pStyle w:val="List3"/>
      </w:pPr>
      <w:r>
        <w:rPr>
          <w:bCs/>
          <w:szCs w:val="24"/>
        </w:rPr>
        <w:lastRenderedPageBreak/>
        <w:br/>
      </w:r>
      <w:r w:rsidRPr="00A219BE">
        <w:rPr>
          <w:bCs/>
          <w:szCs w:val="24"/>
        </w:rPr>
        <w:t xml:space="preserve">(ii)  An example of a line item with unit pricing in accordance with DFARS </w:t>
      </w:r>
      <w:hyperlink r:id="rId7" w:history="1">
        <w:r w:rsidRPr="003730FF">
          <w:rPr>
            <w:rStyle w:val="Hyperlink"/>
            <w:bCs/>
            <w:szCs w:val="24"/>
          </w:rPr>
          <w:t>204.71</w:t>
        </w:r>
      </w:hyperlink>
      <w:r w:rsidRPr="00A219BE">
        <w:rPr>
          <w:bCs/>
          <w:szCs w:val="24"/>
        </w:rPr>
        <w:t xml:space="preserve"> is as follows:</w:t>
      </w:r>
    </w:p>
    <w:p w14:paraId="1D3F4E1D" w14:textId="77777777" w:rsidR="0055223D" w:rsidRDefault="0055223D" w:rsidP="0019239A"/>
    <w:p w14:paraId="20A47199" w14:textId="77777777" w:rsidR="0055223D" w:rsidRDefault="0055223D" w:rsidP="0019239A"/>
    <w:p w14:paraId="5FA6C3DC" w14:textId="77777777" w:rsidR="0055223D" w:rsidRPr="00A219BE" w:rsidRDefault="0055223D" w:rsidP="0019239A"/>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7"/>
        <w:gridCol w:w="2822"/>
        <w:gridCol w:w="1590"/>
        <w:gridCol w:w="892"/>
        <w:gridCol w:w="1154"/>
        <w:gridCol w:w="1699"/>
      </w:tblGrid>
      <w:tr w:rsidR="0055223D" w:rsidRPr="00A219BE" w14:paraId="4BB9FAFF" w14:textId="77777777" w:rsidTr="00DD7B57">
        <w:trPr>
          <w:tblCellSpacing w:w="15" w:type="dxa"/>
        </w:trPr>
        <w:tc>
          <w:tcPr>
            <w:tcW w:w="1177" w:type="dxa"/>
            <w:tcBorders>
              <w:top w:val="outset" w:sz="6" w:space="0" w:color="auto"/>
              <w:left w:val="outset" w:sz="6" w:space="0" w:color="auto"/>
              <w:bottom w:val="outset" w:sz="6" w:space="0" w:color="auto"/>
              <w:right w:val="outset" w:sz="6" w:space="0" w:color="auto"/>
            </w:tcBorders>
            <w:hideMark/>
          </w:tcPr>
          <w:p w14:paraId="1BB4C17D" w14:textId="77777777" w:rsidR="0055223D" w:rsidRPr="00A219BE" w:rsidRDefault="0055223D" w:rsidP="0019239A">
            <w:r w:rsidRPr="00A219BE">
              <w:rPr>
                <w:szCs w:val="24"/>
              </w:rPr>
              <w:t>ITEM NO.</w:t>
            </w:r>
          </w:p>
        </w:tc>
        <w:tc>
          <w:tcPr>
            <w:tcW w:w="2831" w:type="dxa"/>
            <w:tcBorders>
              <w:top w:val="outset" w:sz="6" w:space="0" w:color="auto"/>
              <w:left w:val="outset" w:sz="6" w:space="0" w:color="auto"/>
              <w:bottom w:val="outset" w:sz="6" w:space="0" w:color="auto"/>
              <w:right w:val="outset" w:sz="6" w:space="0" w:color="auto"/>
            </w:tcBorders>
            <w:hideMark/>
          </w:tcPr>
          <w:p w14:paraId="006FA7D7" w14:textId="77777777" w:rsidR="0055223D" w:rsidRPr="00A219BE" w:rsidRDefault="0055223D" w:rsidP="0019239A">
            <w:r w:rsidRPr="00A219BE">
              <w:rPr>
                <w:szCs w:val="24"/>
              </w:rPr>
              <w:t>SUPPLIES/SERVICE</w:t>
            </w:r>
          </w:p>
        </w:tc>
        <w:tc>
          <w:tcPr>
            <w:tcW w:w="1584" w:type="dxa"/>
            <w:tcBorders>
              <w:top w:val="outset" w:sz="6" w:space="0" w:color="auto"/>
              <w:left w:val="outset" w:sz="6" w:space="0" w:color="auto"/>
              <w:bottom w:val="outset" w:sz="6" w:space="0" w:color="auto"/>
              <w:right w:val="outset" w:sz="6" w:space="0" w:color="auto"/>
            </w:tcBorders>
            <w:hideMark/>
          </w:tcPr>
          <w:p w14:paraId="568684E6" w14:textId="77777777" w:rsidR="0055223D" w:rsidRPr="00A219BE" w:rsidRDefault="0055223D" w:rsidP="0019239A">
            <w:r w:rsidRPr="00A219BE">
              <w:rPr>
                <w:szCs w:val="24"/>
              </w:rPr>
              <w:t>QUANTITY</w:t>
            </w:r>
          </w:p>
        </w:tc>
        <w:tc>
          <w:tcPr>
            <w:tcW w:w="868" w:type="dxa"/>
            <w:tcBorders>
              <w:top w:val="outset" w:sz="6" w:space="0" w:color="auto"/>
              <w:left w:val="outset" w:sz="6" w:space="0" w:color="auto"/>
              <w:bottom w:val="outset" w:sz="6" w:space="0" w:color="auto"/>
              <w:right w:val="outset" w:sz="6" w:space="0" w:color="auto"/>
            </w:tcBorders>
            <w:hideMark/>
          </w:tcPr>
          <w:p w14:paraId="01A54254" w14:textId="77777777" w:rsidR="0055223D" w:rsidRPr="00A219BE" w:rsidRDefault="0055223D" w:rsidP="0019239A">
            <w:r w:rsidRPr="00A219BE">
              <w:rPr>
                <w:szCs w:val="24"/>
              </w:rPr>
              <w:t>UNIT</w:t>
            </w:r>
          </w:p>
        </w:tc>
        <w:tc>
          <w:tcPr>
            <w:tcW w:w="1148" w:type="dxa"/>
            <w:tcBorders>
              <w:top w:val="outset" w:sz="6" w:space="0" w:color="auto"/>
              <w:left w:val="outset" w:sz="6" w:space="0" w:color="auto"/>
              <w:bottom w:val="outset" w:sz="6" w:space="0" w:color="auto"/>
              <w:right w:val="outset" w:sz="6" w:space="0" w:color="auto"/>
            </w:tcBorders>
            <w:hideMark/>
          </w:tcPr>
          <w:p w14:paraId="3BEE3621" w14:textId="77777777" w:rsidR="0055223D" w:rsidRPr="00A219BE" w:rsidRDefault="0055223D" w:rsidP="0019239A">
            <w:r w:rsidRPr="00A219BE">
              <w:rPr>
                <w:szCs w:val="24"/>
              </w:rPr>
              <w:t>UNIT PRICE</w:t>
            </w:r>
          </w:p>
        </w:tc>
        <w:tc>
          <w:tcPr>
            <w:tcW w:w="1662" w:type="dxa"/>
            <w:tcBorders>
              <w:top w:val="outset" w:sz="6" w:space="0" w:color="auto"/>
              <w:left w:val="outset" w:sz="6" w:space="0" w:color="auto"/>
              <w:bottom w:val="outset" w:sz="6" w:space="0" w:color="auto"/>
              <w:right w:val="outset" w:sz="6" w:space="0" w:color="auto"/>
            </w:tcBorders>
            <w:hideMark/>
          </w:tcPr>
          <w:p w14:paraId="3C9F70DF" w14:textId="77777777" w:rsidR="0055223D" w:rsidRPr="00A219BE" w:rsidRDefault="0055223D" w:rsidP="0019239A">
            <w:r w:rsidRPr="00A219BE">
              <w:rPr>
                <w:szCs w:val="24"/>
              </w:rPr>
              <w:t>AMOUNT</w:t>
            </w:r>
          </w:p>
        </w:tc>
      </w:tr>
      <w:tr w:rsidR="0055223D" w:rsidRPr="00A219BE" w14:paraId="3ED824AD" w14:textId="77777777" w:rsidTr="00DD7B57">
        <w:trPr>
          <w:tblCellSpacing w:w="15" w:type="dxa"/>
        </w:trPr>
        <w:tc>
          <w:tcPr>
            <w:tcW w:w="1177" w:type="dxa"/>
            <w:tcBorders>
              <w:top w:val="outset" w:sz="6" w:space="0" w:color="auto"/>
              <w:left w:val="outset" w:sz="6" w:space="0" w:color="auto"/>
              <w:bottom w:val="outset" w:sz="6" w:space="0" w:color="auto"/>
              <w:right w:val="outset" w:sz="6" w:space="0" w:color="auto"/>
            </w:tcBorders>
            <w:hideMark/>
          </w:tcPr>
          <w:p w14:paraId="38DED643" w14:textId="77777777" w:rsidR="0055223D" w:rsidRPr="00A219BE" w:rsidRDefault="0055223D" w:rsidP="0019239A">
            <w:r w:rsidRPr="00A219BE">
              <w:rPr>
                <w:szCs w:val="24"/>
              </w:rPr>
              <w:t>0001</w:t>
            </w:r>
          </w:p>
        </w:tc>
        <w:tc>
          <w:tcPr>
            <w:tcW w:w="2831" w:type="dxa"/>
            <w:tcBorders>
              <w:top w:val="outset" w:sz="6" w:space="0" w:color="auto"/>
              <w:left w:val="outset" w:sz="6" w:space="0" w:color="auto"/>
              <w:bottom w:val="outset" w:sz="6" w:space="0" w:color="auto"/>
              <w:right w:val="outset" w:sz="6" w:space="0" w:color="auto"/>
            </w:tcBorders>
            <w:hideMark/>
          </w:tcPr>
          <w:p w14:paraId="57CEA912" w14:textId="77777777" w:rsidR="0055223D" w:rsidRPr="00A219BE" w:rsidRDefault="0055223D" w:rsidP="0019239A">
            <w:r w:rsidRPr="00A219BE">
              <w:rPr>
                <w:szCs w:val="24"/>
              </w:rPr>
              <w:t>Repave runway 4 at Joint Base Andrews</w:t>
            </w:r>
          </w:p>
          <w:p w14:paraId="2E39047C" w14:textId="77777777" w:rsidR="0055223D" w:rsidRPr="00A219BE" w:rsidRDefault="0055223D" w:rsidP="0019239A">
            <w:r w:rsidRPr="00A219BE">
              <w:t>Firm Fixed Price</w:t>
            </w:r>
          </w:p>
          <w:p w14:paraId="5C6DE6EE" w14:textId="77777777" w:rsidR="0055223D" w:rsidRPr="00A219BE" w:rsidRDefault="0055223D" w:rsidP="0019239A">
            <w:r w:rsidRPr="00A219BE">
              <w:t>PSC: Z1BD</w:t>
            </w:r>
          </w:p>
          <w:p w14:paraId="7F412926" w14:textId="77777777" w:rsidR="0055223D" w:rsidRPr="00A219BE" w:rsidRDefault="0055223D" w:rsidP="0019239A">
            <w:r w:rsidRPr="00A219BE">
              <w:t>ACRN: AA</w:t>
            </w:r>
          </w:p>
          <w:p w14:paraId="01D49E34" w14:textId="77777777" w:rsidR="0055223D" w:rsidRPr="00A219BE" w:rsidRDefault="0055223D" w:rsidP="00A219BE">
            <w:pPr>
              <w:pStyle w:val="DFARS"/>
              <w:tabs>
                <w:tab w:val="bar" w:pos="10080"/>
              </w:tabs>
              <w:rPr>
                <w:rFonts w:ascii="Arial" w:hAnsi="Arial"/>
                <w:szCs w:val="24"/>
              </w:rPr>
            </w:pPr>
          </w:p>
        </w:tc>
        <w:tc>
          <w:tcPr>
            <w:tcW w:w="1584" w:type="dxa"/>
            <w:tcBorders>
              <w:top w:val="outset" w:sz="6" w:space="0" w:color="auto"/>
              <w:left w:val="outset" w:sz="6" w:space="0" w:color="auto"/>
              <w:bottom w:val="outset" w:sz="6" w:space="0" w:color="auto"/>
              <w:right w:val="outset" w:sz="6" w:space="0" w:color="auto"/>
            </w:tcBorders>
            <w:hideMark/>
          </w:tcPr>
          <w:p w14:paraId="54C5ED0F" w14:textId="77777777" w:rsidR="0055223D" w:rsidRPr="00A219BE" w:rsidRDefault="0055223D" w:rsidP="0019239A">
            <w:r w:rsidRPr="00A219BE">
              <w:rPr>
                <w:szCs w:val="24"/>
              </w:rPr>
              <w:t>525,128 </w:t>
            </w:r>
          </w:p>
        </w:tc>
        <w:tc>
          <w:tcPr>
            <w:tcW w:w="868" w:type="dxa"/>
            <w:tcBorders>
              <w:top w:val="outset" w:sz="6" w:space="0" w:color="auto"/>
              <w:left w:val="outset" w:sz="6" w:space="0" w:color="auto"/>
              <w:bottom w:val="outset" w:sz="6" w:space="0" w:color="auto"/>
              <w:right w:val="outset" w:sz="6" w:space="0" w:color="auto"/>
            </w:tcBorders>
            <w:hideMark/>
          </w:tcPr>
          <w:p w14:paraId="48242CD2" w14:textId="77777777" w:rsidR="0055223D" w:rsidRPr="00A219BE" w:rsidRDefault="0055223D" w:rsidP="0019239A">
            <w:r w:rsidRPr="00A219BE">
              <w:rPr>
                <w:szCs w:val="24"/>
              </w:rPr>
              <w:t>Square Foot</w:t>
            </w:r>
          </w:p>
        </w:tc>
        <w:tc>
          <w:tcPr>
            <w:tcW w:w="1148" w:type="dxa"/>
            <w:tcBorders>
              <w:top w:val="outset" w:sz="6" w:space="0" w:color="auto"/>
              <w:left w:val="outset" w:sz="6" w:space="0" w:color="auto"/>
              <w:bottom w:val="outset" w:sz="6" w:space="0" w:color="auto"/>
              <w:right w:val="outset" w:sz="6" w:space="0" w:color="auto"/>
            </w:tcBorders>
            <w:hideMark/>
          </w:tcPr>
          <w:p w14:paraId="2ED85300" w14:textId="77777777" w:rsidR="0055223D" w:rsidRPr="00A219BE" w:rsidRDefault="0055223D" w:rsidP="0019239A">
            <w:r w:rsidRPr="00A219BE">
              <w:rPr>
                <w:szCs w:val="24"/>
              </w:rPr>
              <w:t> $2.86</w:t>
            </w:r>
          </w:p>
        </w:tc>
        <w:tc>
          <w:tcPr>
            <w:tcW w:w="1662" w:type="dxa"/>
            <w:tcBorders>
              <w:top w:val="outset" w:sz="6" w:space="0" w:color="auto"/>
              <w:left w:val="outset" w:sz="6" w:space="0" w:color="auto"/>
              <w:bottom w:val="outset" w:sz="6" w:space="0" w:color="auto"/>
              <w:right w:val="outset" w:sz="6" w:space="0" w:color="auto"/>
            </w:tcBorders>
            <w:hideMark/>
          </w:tcPr>
          <w:p w14:paraId="3BF4F141" w14:textId="77777777" w:rsidR="0055223D" w:rsidRPr="00A219BE" w:rsidRDefault="0055223D" w:rsidP="0019239A">
            <w:r w:rsidRPr="00A219BE">
              <w:rPr>
                <w:szCs w:val="24"/>
              </w:rPr>
              <w:t> $1,501,866.08</w:t>
            </w:r>
          </w:p>
        </w:tc>
      </w:tr>
    </w:tbl>
    <w:p w14:paraId="0503E76E" w14:textId="77777777" w:rsidR="0055223D" w:rsidRDefault="0055223D" w:rsidP="0019239A"/>
    <w:p w14:paraId="01D20DA1" w14:textId="77777777" w:rsidR="0055223D" w:rsidRDefault="0055223D" w:rsidP="0019239A">
      <w:r w:rsidRPr="00A219BE">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w:p w14:paraId="72618279" w14:textId="77777777" w:rsidR="0055223D" w:rsidRDefault="0055223D" w:rsidP="0019239A">
      <w:pPr>
        <w:pStyle w:val="Heading3"/>
      </w:pPr>
      <w:r>
        <w:rPr>
          <w:bCs/>
          <w:szCs w:val="24"/>
        </w:rPr>
        <w:br/>
      </w:r>
      <w:bookmarkStart w:id="9" w:name="_Toc37415859"/>
      <w:bookmarkStart w:id="10" w:name="_Toc37677690"/>
      <w:bookmarkStart w:id="11" w:name="_Toc37756543"/>
      <w:r w:rsidRPr="00421A25">
        <w:rPr>
          <w:b/>
          <w:szCs w:val="24"/>
        </w:rPr>
        <w:t xml:space="preserve">PGI </w:t>
      </w:r>
      <w:proofErr w:type="gramStart"/>
      <w:r w:rsidRPr="00421A25">
        <w:rPr>
          <w:b/>
          <w:szCs w:val="24"/>
        </w:rPr>
        <w:t>236.213  Special</w:t>
      </w:r>
      <w:proofErr w:type="gramEnd"/>
      <w:r w:rsidRPr="00421A25">
        <w:rPr>
          <w:b/>
          <w:szCs w:val="24"/>
        </w:rPr>
        <w:t xml:space="preserve"> procedures for sealed bidding in construction contracting.</w:t>
      </w:r>
      <w:bookmarkEnd w:id="9"/>
      <w:bookmarkEnd w:id="10"/>
      <w:bookmarkEnd w:id="11"/>
    </w:p>
    <w:p w14:paraId="21D74383" w14:textId="77777777" w:rsidR="0055223D" w:rsidRDefault="0055223D" w:rsidP="0019239A">
      <w:r>
        <w:rPr>
          <w:b/>
          <w:szCs w:val="24"/>
        </w:rPr>
        <w:br/>
      </w:r>
      <w:r w:rsidRPr="00421A25">
        <w:rPr>
          <w:szCs w:val="24"/>
        </w:rPr>
        <w:t>For additive or deductive items—</w:t>
      </w:r>
    </w:p>
    <w:p w14:paraId="5A45C431" w14:textId="77777777" w:rsidR="0055223D" w:rsidRDefault="0055223D" w:rsidP="0019239A">
      <w:pPr>
        <w:pStyle w:val="List2"/>
      </w:pPr>
      <w:r>
        <w:rPr>
          <w:szCs w:val="24"/>
        </w:rPr>
        <w:br/>
      </w:r>
      <w:r w:rsidRPr="00421A25">
        <w:rPr>
          <w:szCs w:val="24"/>
        </w:rPr>
        <w:t>(1)  Use a bid schedule with—</w:t>
      </w:r>
    </w:p>
    <w:p w14:paraId="41847034" w14:textId="77777777" w:rsidR="0055223D" w:rsidRDefault="0055223D" w:rsidP="00651D1A">
      <w:pPr>
        <w:pStyle w:val="List3"/>
      </w:pPr>
      <w:r>
        <w:br/>
      </w:r>
      <w:r w:rsidRPr="00421A25">
        <w:t>(</w:t>
      </w:r>
      <w:proofErr w:type="spellStart"/>
      <w:r w:rsidRPr="00421A25">
        <w:t>i</w:t>
      </w:r>
      <w:proofErr w:type="spellEnd"/>
      <w:r w:rsidRPr="00421A25">
        <w:t>)  A first or base bid item covering the work generally as specified; and</w:t>
      </w:r>
    </w:p>
    <w:p w14:paraId="10D16405" w14:textId="77777777" w:rsidR="0055223D" w:rsidRDefault="0055223D" w:rsidP="0019239A">
      <w:pPr>
        <w:pStyle w:val="List3"/>
      </w:pPr>
      <w:r>
        <w:rPr>
          <w:szCs w:val="24"/>
        </w:rPr>
        <w:lastRenderedPageBreak/>
        <w:br/>
      </w:r>
      <w:r w:rsidRPr="00421A25">
        <w:rPr>
          <w:szCs w:val="24"/>
        </w:rPr>
        <w:t>(ii)  A list of priorities that contains one or more additive or deductive bid items that progressively add or omit specified features of the work in a stated order of priority.  (Normally, do not mix additive and deductive bid items in the same solicitation.)</w:t>
      </w:r>
    </w:p>
    <w:p w14:paraId="4BF6C139" w14:textId="77777777" w:rsidR="0055223D" w:rsidRDefault="0055223D" w:rsidP="0019239A">
      <w:pPr>
        <w:pStyle w:val="List2"/>
      </w:pPr>
      <w:r>
        <w:rPr>
          <w:szCs w:val="24"/>
        </w:rPr>
        <w:br/>
      </w:r>
      <w:r w:rsidRPr="00421A25">
        <w:rPr>
          <w:szCs w:val="24"/>
        </w:rPr>
        <w:t>(2)  Before opening the bids, record in the contract file the amount of funds available for the project.</w:t>
      </w:r>
    </w:p>
    <w:p w14:paraId="545F8464" w14:textId="77777777" w:rsidR="0055223D" w:rsidRPr="00421A25" w:rsidRDefault="0055223D" w:rsidP="0019239A">
      <w:pPr>
        <w:pStyle w:val="List2"/>
      </w:pPr>
      <w:r>
        <w:rPr>
          <w:szCs w:val="24"/>
        </w:rPr>
        <w:br/>
      </w:r>
      <w:r w:rsidRPr="00421A25">
        <w:rPr>
          <w:szCs w:val="24"/>
        </w:rPr>
        <w:t xml:space="preserve">(3)  Determine the low bidder and the items to be awarded in accordance with the procedures in the clause at </w:t>
      </w:r>
      <w:hyperlink r:id="rId8" w:anchor="252.236-7007" w:history="1">
        <w:r w:rsidRPr="00051E57">
          <w:rPr>
            <w:rStyle w:val="Hyperlink"/>
            <w:szCs w:val="24"/>
          </w:rPr>
          <w:t>252.236-7007</w:t>
        </w:r>
      </w:hyperlink>
      <w:r w:rsidRPr="00421A25">
        <w:rPr>
          <w:szCs w:val="24"/>
        </w:rPr>
        <w:t>, Additive or Deductive Items.</w:t>
      </w:r>
    </w:p>
    <w:p w14:paraId="6F66E49D" w14:textId="77777777" w:rsidR="0055223D" w:rsidRPr="00421A25" w:rsidRDefault="0055223D" w:rsidP="0019239A">
      <w:r w:rsidRPr="00421A25">
        <w:rPr>
          <w:szCs w:val="24"/>
        </w:rPr>
        <w:t xml:space="preserve">            </w:t>
      </w:r>
    </w:p>
    <w:p w14:paraId="595D57A4" w14:textId="77777777" w:rsidR="0055223D" w:rsidRDefault="0055223D" w:rsidP="0019239A">
      <w:pPr>
        <w:pStyle w:val="Heading3"/>
      </w:pPr>
      <w:bookmarkStart w:id="12" w:name="_Toc37415860"/>
      <w:bookmarkStart w:id="13" w:name="_Toc37677691"/>
      <w:bookmarkStart w:id="14" w:name="_Toc37756544"/>
      <w:r w:rsidRPr="00421A25">
        <w:rPr>
          <w:b/>
          <w:szCs w:val="24"/>
        </w:rPr>
        <w:t xml:space="preserve">PGI </w:t>
      </w:r>
      <w:proofErr w:type="gramStart"/>
      <w:r w:rsidRPr="00421A25">
        <w:rPr>
          <w:b/>
          <w:szCs w:val="24"/>
        </w:rPr>
        <w:t>236.273  Construction</w:t>
      </w:r>
      <w:proofErr w:type="gramEnd"/>
      <w:r w:rsidRPr="00421A25">
        <w:rPr>
          <w:b/>
          <w:szCs w:val="24"/>
        </w:rPr>
        <w:t xml:space="preserve"> in foreign countries.</w:t>
      </w:r>
      <w:bookmarkEnd w:id="12"/>
      <w:bookmarkEnd w:id="13"/>
      <w:bookmarkEnd w:id="14"/>
    </w:p>
    <w:p w14:paraId="6CF80B1D" w14:textId="77777777" w:rsidR="0055223D" w:rsidRDefault="0055223D" w:rsidP="0019239A">
      <w:pPr>
        <w:pStyle w:val="List1"/>
      </w:pPr>
      <w:r>
        <w:rPr>
          <w:b/>
        </w:rPr>
        <w:br/>
      </w:r>
      <w:r w:rsidRPr="00421A25">
        <w:t>(b)  When a technical working agreement with a foreign government is required for a construction contract—</w:t>
      </w:r>
    </w:p>
    <w:p w14:paraId="02CF3DE4" w14:textId="77777777" w:rsidR="0055223D" w:rsidRDefault="0055223D" w:rsidP="00651D1A">
      <w:pPr>
        <w:pStyle w:val="List3"/>
      </w:pPr>
      <w:r>
        <w:br/>
      </w:r>
      <w:r w:rsidRPr="00421A25">
        <w:t>(</w:t>
      </w:r>
      <w:proofErr w:type="spellStart"/>
      <w:r>
        <w:t>i</w:t>
      </w:r>
      <w:proofErr w:type="spellEnd"/>
      <w:r w:rsidRPr="00421A25">
        <w:t>)  Consider inviting the Army Office of the Chief of Engineers, or the Naval Facilities Engineering Command, to participate in the negotiations.</w:t>
      </w:r>
    </w:p>
    <w:p w14:paraId="63860C19" w14:textId="77777777" w:rsidR="0055223D" w:rsidRDefault="0055223D" w:rsidP="0019239A">
      <w:pPr>
        <w:pStyle w:val="List3"/>
      </w:pPr>
      <w:r>
        <w:rPr>
          <w:szCs w:val="24"/>
        </w:rPr>
        <w:br/>
      </w:r>
      <w:r w:rsidRPr="00421A25">
        <w:rPr>
          <w:szCs w:val="24"/>
        </w:rPr>
        <w:t>(</w:t>
      </w:r>
      <w:r>
        <w:rPr>
          <w:szCs w:val="24"/>
        </w:rPr>
        <w:t>ii</w:t>
      </w:r>
      <w:r w:rsidRPr="00421A25">
        <w:rPr>
          <w:szCs w:val="24"/>
        </w:rPr>
        <w:t>)  The agreement should, as feasible and where not otherwise provided for in other agreements, cover all elements necessary for the construction that are required by laws, regulations, and customs of the United States and the foreign government, including—</w:t>
      </w:r>
      <w:bookmarkEnd w:id="4"/>
    </w:p>
    <w:p w14:paraId="288B04BC" w14:textId="77777777" w:rsidR="0055223D" w:rsidRDefault="0055223D" w:rsidP="0019239A">
      <w:pPr>
        <w:pStyle w:val="List4"/>
      </w:pPr>
      <w:r>
        <w:br/>
      </w:r>
      <w:r w:rsidRPr="00421A25">
        <w:t>(</w:t>
      </w:r>
      <w:r>
        <w:t>A</w:t>
      </w:r>
      <w:r w:rsidRPr="00421A25">
        <w:t xml:space="preserve">)  Acquisition of all necessary </w:t>
      </w:r>
      <w:proofErr w:type="gramStart"/>
      <w:r w:rsidRPr="00421A25">
        <w:t>rights;</w:t>
      </w:r>
      <w:proofErr w:type="gramEnd"/>
    </w:p>
    <w:p w14:paraId="78416F1E" w14:textId="77777777" w:rsidR="0055223D" w:rsidRDefault="0055223D" w:rsidP="0019239A">
      <w:pPr>
        <w:pStyle w:val="List4"/>
      </w:pPr>
      <w:r>
        <w:rPr>
          <w:szCs w:val="24"/>
        </w:rPr>
        <w:br/>
      </w:r>
      <w:r w:rsidRPr="00421A25">
        <w:rPr>
          <w:szCs w:val="24"/>
        </w:rPr>
        <w:t>(</w:t>
      </w:r>
      <w:r>
        <w:rPr>
          <w:szCs w:val="24"/>
        </w:rPr>
        <w:t>B</w:t>
      </w:r>
      <w:r w:rsidRPr="00421A25">
        <w:rPr>
          <w:szCs w:val="24"/>
        </w:rPr>
        <w:t xml:space="preserve">)  Expeditious, duty-free importation of labor, material, and </w:t>
      </w:r>
      <w:proofErr w:type="gramStart"/>
      <w:r w:rsidRPr="00421A25">
        <w:rPr>
          <w:szCs w:val="24"/>
        </w:rPr>
        <w:t>equipment;</w:t>
      </w:r>
      <w:proofErr w:type="gramEnd"/>
    </w:p>
    <w:p w14:paraId="0150D567" w14:textId="77777777" w:rsidR="0055223D" w:rsidRDefault="0055223D" w:rsidP="0019239A">
      <w:pPr>
        <w:pStyle w:val="List4"/>
      </w:pPr>
      <w:r>
        <w:rPr>
          <w:szCs w:val="24"/>
        </w:rPr>
        <w:br/>
      </w:r>
      <w:r w:rsidRPr="00421A25">
        <w:rPr>
          <w:szCs w:val="24"/>
        </w:rPr>
        <w:t>(</w:t>
      </w:r>
      <w:r>
        <w:rPr>
          <w:szCs w:val="24"/>
        </w:rPr>
        <w:t>C</w:t>
      </w:r>
      <w:r w:rsidRPr="00421A25">
        <w:rPr>
          <w:szCs w:val="24"/>
        </w:rPr>
        <w:t xml:space="preserve">)  Payment of taxes applicable to contractors, personnel, materials, and </w:t>
      </w:r>
      <w:proofErr w:type="gramStart"/>
      <w:r w:rsidRPr="00421A25">
        <w:rPr>
          <w:szCs w:val="24"/>
        </w:rPr>
        <w:t>equipment;</w:t>
      </w:r>
      <w:proofErr w:type="gramEnd"/>
    </w:p>
    <w:p w14:paraId="15177B81" w14:textId="77777777" w:rsidR="0055223D" w:rsidRDefault="0055223D" w:rsidP="0019239A">
      <w:pPr>
        <w:pStyle w:val="List4"/>
      </w:pPr>
      <w:r>
        <w:rPr>
          <w:szCs w:val="24"/>
        </w:rPr>
        <w:br/>
      </w:r>
      <w:r w:rsidRPr="00421A25">
        <w:rPr>
          <w:szCs w:val="24"/>
        </w:rPr>
        <w:t>(</w:t>
      </w:r>
      <w:r>
        <w:rPr>
          <w:szCs w:val="24"/>
        </w:rPr>
        <w:t>D</w:t>
      </w:r>
      <w:r w:rsidRPr="00421A25">
        <w:rPr>
          <w:szCs w:val="24"/>
        </w:rPr>
        <w:t xml:space="preserve">)  Applicability of workers' compensation and other labor laws to citizens of the United States, the host country, and other </w:t>
      </w:r>
      <w:proofErr w:type="gramStart"/>
      <w:r w:rsidRPr="00421A25">
        <w:rPr>
          <w:szCs w:val="24"/>
        </w:rPr>
        <w:t>countries;</w:t>
      </w:r>
      <w:proofErr w:type="gramEnd"/>
    </w:p>
    <w:p w14:paraId="40E9C859" w14:textId="77777777" w:rsidR="0055223D" w:rsidRDefault="0055223D" w:rsidP="0019239A">
      <w:pPr>
        <w:pStyle w:val="List4"/>
      </w:pPr>
      <w:r>
        <w:rPr>
          <w:szCs w:val="24"/>
        </w:rPr>
        <w:br/>
      </w:r>
      <w:r w:rsidRPr="00421A25">
        <w:rPr>
          <w:szCs w:val="24"/>
        </w:rPr>
        <w:t>(</w:t>
      </w:r>
      <w:r>
        <w:rPr>
          <w:szCs w:val="24"/>
        </w:rPr>
        <w:t>E</w:t>
      </w:r>
      <w:r w:rsidRPr="00421A25">
        <w:rPr>
          <w:szCs w:val="24"/>
        </w:rPr>
        <w:t xml:space="preserve">)  Provision of utility </w:t>
      </w:r>
      <w:proofErr w:type="gramStart"/>
      <w:r w:rsidRPr="00421A25">
        <w:rPr>
          <w:szCs w:val="24"/>
        </w:rPr>
        <w:t>services;</w:t>
      </w:r>
      <w:proofErr w:type="gramEnd"/>
    </w:p>
    <w:p w14:paraId="63B7E46C" w14:textId="77777777" w:rsidR="0055223D" w:rsidRDefault="0055223D" w:rsidP="0019239A">
      <w:pPr>
        <w:pStyle w:val="List4"/>
      </w:pPr>
      <w:r>
        <w:rPr>
          <w:szCs w:val="24"/>
        </w:rPr>
        <w:lastRenderedPageBreak/>
        <w:br/>
      </w:r>
      <w:r w:rsidRPr="00421A25">
        <w:rPr>
          <w:szCs w:val="24"/>
        </w:rPr>
        <w:t>(</w:t>
      </w:r>
      <w:r>
        <w:rPr>
          <w:szCs w:val="24"/>
        </w:rPr>
        <w:t>F</w:t>
      </w:r>
      <w:r w:rsidRPr="00421A25">
        <w:rPr>
          <w:szCs w:val="24"/>
        </w:rPr>
        <w:t xml:space="preserve">)  Disposition of surplus materials and </w:t>
      </w:r>
      <w:proofErr w:type="gramStart"/>
      <w:r w:rsidRPr="00421A25">
        <w:rPr>
          <w:szCs w:val="24"/>
        </w:rPr>
        <w:t>equipment;</w:t>
      </w:r>
      <w:proofErr w:type="gramEnd"/>
    </w:p>
    <w:p w14:paraId="20C2DC8D" w14:textId="77777777" w:rsidR="0055223D" w:rsidRDefault="0055223D" w:rsidP="0019239A">
      <w:pPr>
        <w:pStyle w:val="List4"/>
      </w:pPr>
      <w:r>
        <w:rPr>
          <w:szCs w:val="24"/>
        </w:rPr>
        <w:br/>
      </w:r>
      <w:r w:rsidRPr="00421A25">
        <w:rPr>
          <w:szCs w:val="24"/>
        </w:rPr>
        <w:t>(</w:t>
      </w:r>
      <w:r>
        <w:rPr>
          <w:szCs w:val="24"/>
        </w:rPr>
        <w:t>G</w:t>
      </w:r>
      <w:r w:rsidRPr="00421A25">
        <w:rPr>
          <w:szCs w:val="24"/>
        </w:rPr>
        <w:t>)  Handling of claims and litigation; and</w:t>
      </w:r>
    </w:p>
    <w:p w14:paraId="6E93D47A" w14:textId="77777777" w:rsidR="0055223D" w:rsidRDefault="0055223D" w:rsidP="0019239A">
      <w:pPr>
        <w:pStyle w:val="List4"/>
      </w:pPr>
      <w:r>
        <w:rPr>
          <w:szCs w:val="24"/>
        </w:rPr>
        <w:br/>
      </w:r>
      <w:r w:rsidRPr="00421A25">
        <w:rPr>
          <w:szCs w:val="24"/>
        </w:rPr>
        <w:t>(</w:t>
      </w:r>
      <w:r>
        <w:rPr>
          <w:szCs w:val="24"/>
        </w:rPr>
        <w:t>H</w:t>
      </w:r>
      <w:r w:rsidRPr="00421A25">
        <w:rPr>
          <w:szCs w:val="24"/>
        </w:rPr>
        <w:t>)  Resolution of any other foreseeable problems that can be appropriately included in the agreement.</w:t>
      </w:r>
    </w:p>
    <w:p w14:paraId="384B428F" w14:textId="77777777" w:rsidR="0055223D" w:rsidRPr="00421A25" w:rsidRDefault="0055223D" w:rsidP="0019239A">
      <w:r>
        <w:rPr>
          <w:szCs w:val="24"/>
        </w:rPr>
        <w:br/>
      </w:r>
    </w:p>
    <w:p w14:paraId="3A4533B4" w14:textId="77777777" w:rsidR="0055223D" w:rsidRDefault="0055223D">
      <w:pPr>
        <w:sectPr w:rsidR="0055223D" w:rsidSect="0018491E">
          <w:headerReference w:type="default" r:id="rId9"/>
          <w:footerReference w:type="default" r:id="rId10"/>
          <w:pgSz w:w="12240" w:h="15840"/>
          <w:pgMar w:top="1440" w:right="1440" w:bottom="1440" w:left="1440" w:header="720" w:footer="720" w:gutter="0"/>
          <w:cols w:space="720"/>
          <w:docGrid w:linePitch="360"/>
        </w:sectPr>
      </w:pPr>
    </w:p>
    <w:p w14:paraId="0BDD4C5F" w14:textId="77777777" w:rsidR="0055223D" w:rsidRDefault="0055223D" w:rsidP="00031EB7">
      <w:pPr>
        <w:jc w:val="center"/>
      </w:pPr>
      <w:r w:rsidRPr="00D8331B">
        <w:rPr>
          <w:i/>
          <w:szCs w:val="24"/>
        </w:rPr>
        <w:lastRenderedPageBreak/>
        <w:t>(</w:t>
      </w:r>
      <w:r>
        <w:rPr>
          <w:i/>
          <w:szCs w:val="24"/>
        </w:rPr>
        <w:t>Revised December 12, 2012</w:t>
      </w:r>
      <w:r w:rsidRPr="00D8331B">
        <w:rPr>
          <w:i/>
          <w:szCs w:val="24"/>
        </w:rPr>
        <w:t>)</w:t>
      </w:r>
    </w:p>
    <w:p w14:paraId="43C79308" w14:textId="77777777" w:rsidR="0055223D" w:rsidRDefault="0055223D" w:rsidP="00031EB7">
      <w:pPr>
        <w:pStyle w:val="Heading2"/>
      </w:pPr>
      <w:r>
        <w:rPr>
          <w:i/>
          <w:szCs w:val="24"/>
        </w:rPr>
        <w:br/>
      </w:r>
      <w:bookmarkStart w:id="15" w:name="_Toc37415861"/>
      <w:bookmarkStart w:id="16" w:name="_Toc37677692"/>
      <w:bookmarkStart w:id="17" w:name="_Toc37756545"/>
      <w:r w:rsidRPr="00794430">
        <w:rPr>
          <w:szCs w:val="24"/>
        </w:rPr>
        <w:t>PGI 236.6—ARCHITECT-ENGINEER SERVICES</w:t>
      </w:r>
      <w:bookmarkEnd w:id="15"/>
      <w:bookmarkEnd w:id="16"/>
      <w:bookmarkEnd w:id="17"/>
    </w:p>
    <w:p w14:paraId="5A606E6D" w14:textId="77777777" w:rsidR="0055223D" w:rsidRDefault="0055223D" w:rsidP="00031EB7">
      <w:pPr>
        <w:pStyle w:val="Heading3"/>
      </w:pPr>
      <w:r>
        <w:rPr>
          <w:b/>
          <w:szCs w:val="24"/>
        </w:rPr>
        <w:br/>
      </w:r>
      <w:bookmarkStart w:id="18" w:name="_Toc37415862"/>
      <w:bookmarkStart w:id="19" w:name="_Toc37677693"/>
      <w:bookmarkStart w:id="20" w:name="_Toc37756546"/>
      <w:r w:rsidRPr="00794430">
        <w:rPr>
          <w:b/>
          <w:szCs w:val="24"/>
        </w:rPr>
        <w:t xml:space="preserve">PGI </w:t>
      </w:r>
      <w:proofErr w:type="gramStart"/>
      <w:r w:rsidRPr="00794430">
        <w:rPr>
          <w:b/>
          <w:szCs w:val="24"/>
        </w:rPr>
        <w:t>236.602  Selection</w:t>
      </w:r>
      <w:proofErr w:type="gramEnd"/>
      <w:r w:rsidRPr="00794430">
        <w:rPr>
          <w:b/>
          <w:szCs w:val="24"/>
        </w:rPr>
        <w:t xml:space="preserve"> of firms for architect-engineer contracts.</w:t>
      </w:r>
      <w:bookmarkEnd w:id="18"/>
      <w:bookmarkEnd w:id="19"/>
      <w:bookmarkEnd w:id="20"/>
    </w:p>
    <w:p w14:paraId="4079213E" w14:textId="77777777" w:rsidR="0055223D" w:rsidRDefault="0055223D" w:rsidP="00031EB7">
      <w:pPr>
        <w:pStyle w:val="Heading4"/>
      </w:pPr>
      <w:r>
        <w:rPr>
          <w:b/>
        </w:rPr>
        <w:br/>
      </w:r>
      <w:bookmarkStart w:id="21" w:name="_Toc37677694"/>
      <w:bookmarkStart w:id="22" w:name="_Toc37756547"/>
      <w:r w:rsidRPr="00794430">
        <w:rPr>
          <w:b/>
        </w:rPr>
        <w:t>PGI 236.602-</w:t>
      </w:r>
      <w:proofErr w:type="gramStart"/>
      <w:r w:rsidRPr="00794430">
        <w:rPr>
          <w:b/>
        </w:rPr>
        <w:t>1  Selection</w:t>
      </w:r>
      <w:proofErr w:type="gramEnd"/>
      <w:r w:rsidRPr="00794430">
        <w:rPr>
          <w:b/>
        </w:rPr>
        <w:t xml:space="preserve"> criteria.</w:t>
      </w:r>
      <w:bookmarkEnd w:id="21"/>
      <w:bookmarkEnd w:id="22"/>
    </w:p>
    <w:p w14:paraId="01FD129B" w14:textId="77777777" w:rsidR="0055223D" w:rsidRDefault="0055223D" w:rsidP="00031EB7">
      <w:pPr>
        <w:pStyle w:val="List1"/>
      </w:pPr>
      <w:r>
        <w:rPr>
          <w:b/>
        </w:rPr>
        <w:br/>
      </w:r>
      <w:r w:rsidRPr="00794430">
        <w:t>(a)  The evaluation criteria should be project specific.  Use the information in the DD Form 1391, FY__ Military Construction Project Data, when available, and other pertinent project data in preparing the evaluation criteria.</w:t>
      </w:r>
    </w:p>
    <w:p w14:paraId="64BF77EF" w14:textId="77777777" w:rsidR="0055223D" w:rsidRDefault="0055223D" w:rsidP="00031EB7">
      <w:pPr>
        <w:pStyle w:val="List2"/>
      </w:pPr>
      <w:r>
        <w:rPr>
          <w:szCs w:val="24"/>
        </w:rPr>
        <w:br/>
      </w:r>
      <w:r w:rsidRPr="00794430">
        <w:rPr>
          <w:szCs w:val="24"/>
        </w:rPr>
        <w:t xml:space="preserve">(4)  Use performance evaluation data from </w:t>
      </w:r>
      <w:r w:rsidRPr="00F87389">
        <w:rPr>
          <w:szCs w:val="24"/>
        </w:rPr>
        <w:t>the Contractor Performance Assessment Report System (CPARS).</w:t>
      </w:r>
    </w:p>
    <w:p w14:paraId="2068EB70" w14:textId="77777777" w:rsidR="0055223D" w:rsidRDefault="0055223D" w:rsidP="00031EB7">
      <w:pPr>
        <w:pStyle w:val="List2"/>
      </w:pPr>
      <w:r>
        <w:rPr>
          <w:szCs w:val="24"/>
        </w:rPr>
        <w:br/>
      </w:r>
      <w:r w:rsidRPr="00794430">
        <w:rPr>
          <w:szCs w:val="24"/>
        </w:rPr>
        <w:t xml:space="preserve">(6)  The primary factor in </w:t>
      </w:r>
      <w:r>
        <w:rPr>
          <w:szCs w:val="24"/>
        </w:rPr>
        <w:t>architect-engineer contractor</w:t>
      </w:r>
      <w:r w:rsidRPr="00794430">
        <w:rPr>
          <w:szCs w:val="24"/>
        </w:rPr>
        <w:t xml:space="preserve">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w14:paraId="741CE979" w14:textId="77777777" w:rsidR="0055223D" w:rsidRDefault="0055223D" w:rsidP="00031EB7">
      <w:pPr>
        <w:pStyle w:val="List4"/>
      </w:pPr>
      <w:r>
        <w:rPr>
          <w:szCs w:val="24"/>
        </w:rPr>
        <w:br/>
      </w:r>
      <w:r w:rsidRPr="00794430">
        <w:rPr>
          <w:szCs w:val="24"/>
        </w:rPr>
        <w:t xml:space="preserve">(A)  Consider the volume of work awarded by DoD during the previous 12 months.  In considering equitable distribution of work among </w:t>
      </w:r>
      <w:r>
        <w:rPr>
          <w:szCs w:val="24"/>
        </w:rPr>
        <w:t>architect-engineer</w:t>
      </w:r>
      <w:r w:rsidRPr="00794430">
        <w:rPr>
          <w:szCs w:val="24"/>
        </w:rPr>
        <w:t xml:space="preserve">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w14:paraId="1435B33B" w14:textId="77777777" w:rsidR="0055223D" w:rsidRDefault="0055223D" w:rsidP="00031EB7">
      <w:pPr>
        <w:pStyle w:val="List6"/>
      </w:pPr>
      <w:r>
        <w:br/>
      </w:r>
      <w:r w:rsidRPr="00794430">
        <w:rPr>
          <w:i/>
        </w:rPr>
        <w:t>(1)</w:t>
      </w:r>
      <w:r w:rsidRPr="00794430">
        <w:t xml:space="preserve">  Use data extracted from the </w:t>
      </w:r>
      <w:r>
        <w:t>Federal Procurement Data System (FPDS)</w:t>
      </w:r>
      <w:r w:rsidRPr="00794430">
        <w:t>.</w:t>
      </w:r>
    </w:p>
    <w:p w14:paraId="6B29A40A" w14:textId="77777777" w:rsidR="0055223D" w:rsidRDefault="0055223D" w:rsidP="00031EB7">
      <w:pPr>
        <w:pStyle w:val="List6"/>
      </w:pPr>
      <w:r>
        <w:lastRenderedPageBreak/>
        <w:br/>
      </w:r>
      <w:r w:rsidRPr="00794430">
        <w:rPr>
          <w:i/>
        </w:rPr>
        <w:t>(2)</w:t>
      </w:r>
      <w:r w:rsidRPr="00794430">
        <w:t xml:space="preserve">  Do not consider awards to overseas offices for projects outside the </w:t>
      </w:r>
      <w:smartTag w:uri="urn:schemas-microsoft-com:office:smarttags" w:element="place">
        <w:smartTag w:uri="urn:schemas-microsoft-com:office:smarttags" w:element="country-region">
          <w:r w:rsidRPr="00794430">
            <w:t>United States</w:t>
          </w:r>
        </w:smartTag>
      </w:smartTag>
      <w:r w:rsidRPr="00794430">
        <w:t>,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w14:paraId="37870A05" w14:textId="77777777" w:rsidR="0055223D" w:rsidRDefault="0055223D" w:rsidP="00031EB7">
      <w:pPr>
        <w:pStyle w:val="List4"/>
      </w:pPr>
      <w:r>
        <w:rPr>
          <w:szCs w:val="24"/>
        </w:rPr>
        <w:br/>
      </w:r>
      <w:r w:rsidRPr="00794430">
        <w:rPr>
          <w:szCs w:val="24"/>
        </w:rPr>
        <w:t>(B)  Consider as appropriate superior performance evaluations on recently completed DoD contracts.</w:t>
      </w:r>
    </w:p>
    <w:p w14:paraId="52983B5B" w14:textId="77777777" w:rsidR="0055223D" w:rsidRDefault="0055223D" w:rsidP="00031EB7">
      <w:pPr>
        <w:pStyle w:val="List4"/>
      </w:pPr>
      <w:r>
        <w:rPr>
          <w:szCs w:val="24"/>
        </w:rPr>
        <w:br/>
      </w:r>
      <w:r w:rsidRPr="00794430">
        <w:rPr>
          <w:szCs w:val="24"/>
        </w:rP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w:p w14:paraId="3529EE39" w14:textId="77777777" w:rsidR="0055223D" w:rsidRPr="00794430" w:rsidRDefault="0055223D" w:rsidP="00031EB7">
      <w:r>
        <w:rPr>
          <w:szCs w:val="24"/>
        </w:rPr>
        <w:br/>
      </w:r>
    </w:p>
    <w:p w14:paraId="24A4C438" w14:textId="77777777" w:rsidR="00850595" w:rsidRDefault="00850595"/>
    <w:sectPr w:rsidR="00850595" w:rsidSect="00E1537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430B6" w14:textId="77777777" w:rsidR="003C5DDE" w:rsidRDefault="003C5DDE">
      <w:pPr>
        <w:spacing w:after="0" w:line="240" w:lineRule="auto"/>
      </w:pPr>
      <w:r>
        <w:separator/>
      </w:r>
    </w:p>
  </w:endnote>
  <w:endnote w:type="continuationSeparator" w:id="0">
    <w:p w14:paraId="23290EC3" w14:textId="77777777" w:rsidR="003C5DDE" w:rsidRDefault="003C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19917" w14:textId="77777777" w:rsidR="00B14394" w:rsidRDefault="003C5DDE">
    <w:pPr>
      <w:pStyle w:val="Footer"/>
      <w:rPr>
        <w:rFonts w:ascii="Century Schoolbook" w:hAnsi="Century Schoolbook"/>
        <w:sz w:val="20"/>
      </w:rPr>
    </w:pPr>
  </w:p>
  <w:p w14:paraId="6B0AF2E0" w14:textId="77777777" w:rsidR="00B14394" w:rsidRDefault="003C5DDE">
    <w:pPr>
      <w:pStyle w:val="Footer"/>
      <w:tabs>
        <w:tab w:val="clear" w:pos="8640"/>
      </w:tabs>
      <w:rPr>
        <w:rFonts w:ascii="Century Schoolbook" w:hAnsi="Century Schoolbook"/>
        <w:b/>
        <w:sz w:val="20"/>
      </w:rPr>
    </w:pPr>
  </w:p>
  <w:p w14:paraId="1E146E51" w14:textId="77777777" w:rsidR="00B14394" w:rsidRPr="00BC71C0" w:rsidRDefault="0055223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36</w:t>
    </w:r>
    <w:r w:rsidRPr="00BC71C0">
      <w:rPr>
        <w:szCs w:val="22"/>
      </w:rPr>
      <w:t>.</w:t>
    </w:r>
    <w:r>
      <w:rPr>
        <w:szCs w:val="22"/>
      </w:rPr>
      <w:t>2</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05185" w14:textId="77777777" w:rsidR="002F2303" w:rsidRDefault="003C5D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505D2" w14:textId="77777777" w:rsidR="00F25FA7" w:rsidRDefault="003C5DDE">
    <w:pPr>
      <w:pStyle w:val="Footer"/>
      <w:rPr>
        <w:rFonts w:ascii="Century Schoolbook" w:hAnsi="Century Schoolbook"/>
        <w:sz w:val="20"/>
      </w:rPr>
    </w:pPr>
  </w:p>
  <w:p w14:paraId="39FD37A9" w14:textId="77777777" w:rsidR="00F25FA7" w:rsidRDefault="003C5DDE">
    <w:pPr>
      <w:pStyle w:val="Footer"/>
      <w:tabs>
        <w:tab w:val="clear" w:pos="8640"/>
      </w:tabs>
      <w:rPr>
        <w:rFonts w:ascii="Century Schoolbook" w:hAnsi="Century Schoolbook"/>
        <w:b/>
        <w:sz w:val="20"/>
      </w:rPr>
    </w:pPr>
  </w:p>
  <w:p w14:paraId="424D174D" w14:textId="77777777" w:rsidR="00F25FA7" w:rsidRPr="00BC71C0" w:rsidRDefault="0055223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36</w:t>
    </w:r>
    <w:r w:rsidRPr="00BC71C0">
      <w:rPr>
        <w:szCs w:val="22"/>
      </w:rPr>
      <w:t>.</w:t>
    </w:r>
    <w:r>
      <w:rPr>
        <w:szCs w:val="22"/>
      </w:rPr>
      <w:t>6</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42A4A" w14:textId="77777777" w:rsidR="002F2303" w:rsidRDefault="003C5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BD945" w14:textId="77777777" w:rsidR="003C5DDE" w:rsidRDefault="003C5DDE">
      <w:pPr>
        <w:spacing w:after="0" w:line="240" w:lineRule="auto"/>
      </w:pPr>
      <w:r>
        <w:separator/>
      </w:r>
    </w:p>
  </w:footnote>
  <w:footnote w:type="continuationSeparator" w:id="0">
    <w:p w14:paraId="3375194D" w14:textId="77777777" w:rsidR="003C5DDE" w:rsidRDefault="003C5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8255D" w14:textId="77777777" w:rsidR="00B14394" w:rsidRDefault="0055223D" w:rsidP="003E6AA4">
    <w:pPr>
      <w:pStyle w:val="Header"/>
      <w:tabs>
        <w:tab w:val="clear" w:pos="8640"/>
        <w:tab w:val="left" w:pos="4590"/>
      </w:tabs>
      <w:jc w:val="center"/>
      <w:rPr>
        <w:sz w:val="28"/>
        <w:szCs w:val="28"/>
      </w:rPr>
    </w:pPr>
    <w:r w:rsidRPr="002B1BC7">
      <w:rPr>
        <w:sz w:val="28"/>
        <w:szCs w:val="28"/>
      </w:rPr>
      <w:t>DFARS Procedures, Guidance, and Information</w:t>
    </w:r>
  </w:p>
  <w:p w14:paraId="150E366E" w14:textId="77777777" w:rsidR="00B14394" w:rsidRPr="002B1BC7" w:rsidRDefault="003C5DDE" w:rsidP="003E6AA4">
    <w:pPr>
      <w:pStyle w:val="Header"/>
      <w:tabs>
        <w:tab w:val="clear" w:pos="8640"/>
        <w:tab w:val="left" w:pos="4590"/>
      </w:tabs>
      <w:jc w:val="center"/>
      <w:rPr>
        <w:sz w:val="28"/>
        <w:szCs w:val="28"/>
      </w:rPr>
    </w:pPr>
  </w:p>
  <w:p w14:paraId="5D4AE50A" w14:textId="77777777" w:rsidR="00B14394" w:rsidRPr="00BC71C0" w:rsidRDefault="0055223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36</w:t>
    </w:r>
    <w:r w:rsidRPr="00BC71C0">
      <w:rPr>
        <w:szCs w:val="24"/>
      </w:rPr>
      <w:t>—</w:t>
    </w:r>
    <w:r>
      <w:rPr>
        <w:szCs w:val="24"/>
      </w:rPr>
      <w:t>Construction and Architect-Engineer Contracts</w:t>
    </w:r>
  </w:p>
  <w:p w14:paraId="1D418AA0" w14:textId="77777777" w:rsidR="00B14394" w:rsidRDefault="003C5DDE">
    <w:pPr>
      <w:pStyle w:val="Header"/>
      <w:tabs>
        <w:tab w:val="clear" w:pos="8640"/>
        <w:tab w:val="right" w:pos="9260"/>
      </w:tabs>
      <w:spacing w:before="20" w:line="20" w:lineRule="exact"/>
      <w:rPr>
        <w:rFonts w:ascii="Geneva" w:hAnsi="Geneva"/>
        <w:b/>
        <w:position w:val="6"/>
        <w:sz w:val="18"/>
      </w:rPr>
    </w:pPr>
  </w:p>
  <w:p w14:paraId="766FD55E" w14:textId="77777777" w:rsidR="00B14394" w:rsidRDefault="003C5DDE">
    <w:pPr>
      <w:pStyle w:val="Header"/>
      <w:tabs>
        <w:tab w:val="clear" w:pos="8640"/>
        <w:tab w:val="right" w:pos="9260"/>
      </w:tabs>
      <w:rPr>
        <w:rFonts w:ascii="Century Schoolbook" w:hAnsi="Century Schoolbook"/>
        <w:b/>
        <w:sz w:val="20"/>
      </w:rPr>
    </w:pPr>
  </w:p>
  <w:p w14:paraId="3B596EA9" w14:textId="77777777" w:rsidR="00B14394" w:rsidRDefault="003C5DDE">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8612B" w14:textId="77777777" w:rsidR="002F2303" w:rsidRDefault="003C5D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976B1" w14:textId="77777777" w:rsidR="00F25FA7" w:rsidRDefault="0055223D" w:rsidP="003E6AA4">
    <w:pPr>
      <w:pStyle w:val="Header"/>
      <w:tabs>
        <w:tab w:val="clear" w:pos="8640"/>
        <w:tab w:val="left" w:pos="4590"/>
      </w:tabs>
      <w:jc w:val="center"/>
      <w:rPr>
        <w:sz w:val="28"/>
        <w:szCs w:val="28"/>
      </w:rPr>
    </w:pPr>
    <w:r w:rsidRPr="002B1BC7">
      <w:rPr>
        <w:sz w:val="28"/>
        <w:szCs w:val="28"/>
      </w:rPr>
      <w:t>DFARS Procedures, Guidance, and Information</w:t>
    </w:r>
  </w:p>
  <w:p w14:paraId="523B5930" w14:textId="77777777" w:rsidR="00F25FA7" w:rsidRPr="002B1BC7" w:rsidRDefault="003C5DDE" w:rsidP="003E6AA4">
    <w:pPr>
      <w:pStyle w:val="Header"/>
      <w:tabs>
        <w:tab w:val="clear" w:pos="8640"/>
        <w:tab w:val="left" w:pos="4590"/>
      </w:tabs>
      <w:jc w:val="center"/>
      <w:rPr>
        <w:sz w:val="28"/>
        <w:szCs w:val="28"/>
      </w:rPr>
    </w:pPr>
  </w:p>
  <w:p w14:paraId="49D96E10" w14:textId="77777777" w:rsidR="00F25FA7" w:rsidRPr="00BC71C0" w:rsidRDefault="0055223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36</w:t>
    </w:r>
    <w:r w:rsidRPr="00BC71C0">
      <w:rPr>
        <w:szCs w:val="24"/>
      </w:rPr>
      <w:t>—</w:t>
    </w:r>
    <w:r>
      <w:rPr>
        <w:szCs w:val="24"/>
      </w:rPr>
      <w:t>Construction and Architect-Engineer Contracts</w:t>
    </w:r>
  </w:p>
  <w:p w14:paraId="35603DAB" w14:textId="77777777" w:rsidR="00F25FA7" w:rsidRDefault="003C5DDE">
    <w:pPr>
      <w:pStyle w:val="Header"/>
      <w:tabs>
        <w:tab w:val="clear" w:pos="8640"/>
        <w:tab w:val="right" w:pos="9260"/>
      </w:tabs>
      <w:spacing w:before="20" w:line="20" w:lineRule="exact"/>
      <w:rPr>
        <w:rFonts w:ascii="Geneva" w:hAnsi="Geneva"/>
        <w:b/>
        <w:position w:val="6"/>
        <w:sz w:val="18"/>
      </w:rPr>
    </w:pPr>
  </w:p>
  <w:p w14:paraId="482AAB80" w14:textId="77777777" w:rsidR="00F25FA7" w:rsidRDefault="003C5DDE">
    <w:pPr>
      <w:pStyle w:val="Header"/>
      <w:tabs>
        <w:tab w:val="clear" w:pos="8640"/>
        <w:tab w:val="right" w:pos="9260"/>
      </w:tabs>
      <w:rPr>
        <w:rFonts w:ascii="Century Schoolbook" w:hAnsi="Century Schoolbook"/>
        <w:b/>
        <w:sz w:val="20"/>
      </w:rPr>
    </w:pPr>
  </w:p>
  <w:p w14:paraId="28023A4C" w14:textId="77777777" w:rsidR="00F25FA7" w:rsidRDefault="003C5DDE">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7F4B2" w14:textId="77777777" w:rsidR="002F2303" w:rsidRDefault="003C5D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3D"/>
    <w:rsid w:val="003C5DDE"/>
    <w:rsid w:val="00505901"/>
    <w:rsid w:val="0055223D"/>
    <w:rsid w:val="007D6208"/>
    <w:rsid w:val="00850595"/>
    <w:rsid w:val="00963A6B"/>
    <w:rsid w:val="00B8095C"/>
    <w:rsid w:val="00BC4A57"/>
    <w:rsid w:val="00BF48DE"/>
    <w:rsid w:val="00E55220"/>
    <w:rsid w:val="00EE0ECD"/>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A9240C"/>
  <w15:chartTrackingRefBased/>
  <w15:docId w15:val="{DF59CCAE-16A1-4DF6-A074-7CBF4BF5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55223D"/>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55223D"/>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55223D"/>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55223D"/>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23D"/>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55223D"/>
    <w:rPr>
      <w:rFonts w:ascii="Arial" w:eastAsiaTheme="majorEastAsia" w:hAnsi="Arial" w:cs="Arial"/>
      <w:b/>
      <w:bCs/>
      <w:iCs/>
      <w:sz w:val="28"/>
      <w:szCs w:val="28"/>
    </w:rPr>
  </w:style>
  <w:style w:type="character" w:customStyle="1" w:styleId="Heading3Char">
    <w:name w:val="Heading 3 Char"/>
    <w:basedOn w:val="DefaultParagraphFont"/>
    <w:link w:val="Heading3"/>
    <w:rsid w:val="0055223D"/>
    <w:rPr>
      <w:rFonts w:ascii="Arial" w:eastAsia="Times New Roman" w:hAnsi="Arial" w:cs="Arial"/>
      <w:szCs w:val="20"/>
    </w:rPr>
  </w:style>
  <w:style w:type="paragraph" w:styleId="Footer">
    <w:name w:val="footer"/>
    <w:basedOn w:val="Normal"/>
    <w:link w:val="FooterChar"/>
    <w:rsid w:val="0055223D"/>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55223D"/>
    <w:rPr>
      <w:rFonts w:ascii="Arial" w:eastAsia="Times New Roman" w:hAnsi="Arial" w:cs="Arial"/>
      <w:szCs w:val="20"/>
    </w:rPr>
  </w:style>
  <w:style w:type="paragraph" w:styleId="Header">
    <w:name w:val="header"/>
    <w:basedOn w:val="Normal"/>
    <w:link w:val="HeaderChar"/>
    <w:rsid w:val="0055223D"/>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55223D"/>
    <w:rPr>
      <w:rFonts w:ascii="Arial" w:eastAsia="Times New Roman" w:hAnsi="Arial" w:cs="Arial"/>
      <w:szCs w:val="20"/>
    </w:rPr>
  </w:style>
  <w:style w:type="paragraph" w:customStyle="1" w:styleId="DFARS">
    <w:name w:val="DFARS"/>
    <w:basedOn w:val="Normal"/>
    <w:rsid w:val="0055223D"/>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character" w:styleId="Hyperlink">
    <w:name w:val="Hyperlink"/>
    <w:uiPriority w:val="99"/>
    <w:unhideWhenUsed/>
    <w:rsid w:val="0055223D"/>
    <w:rPr>
      <w:color w:val="0000FF"/>
      <w:u w:val="single"/>
    </w:rPr>
  </w:style>
  <w:style w:type="paragraph" w:customStyle="1" w:styleId="List1">
    <w:name w:val="List 1"/>
    <w:link w:val="List1Char"/>
    <w:rsid w:val="0055223D"/>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Heading3Char"/>
    <w:link w:val="List1"/>
    <w:rsid w:val="0055223D"/>
    <w:rPr>
      <w:rFonts w:ascii="Arial" w:eastAsia="Times New Roman" w:hAnsi="Arial" w:cs="Arial"/>
      <w:szCs w:val="24"/>
    </w:rPr>
  </w:style>
  <w:style w:type="paragraph" w:styleId="List2">
    <w:name w:val="List 2"/>
    <w:unhideWhenUsed/>
    <w:rsid w:val="0055223D"/>
    <w:pPr>
      <w:spacing w:after="0" w:line="240" w:lineRule="auto"/>
      <w:ind w:left="720" w:hanging="360"/>
      <w:contextualSpacing/>
    </w:pPr>
    <w:rPr>
      <w:rFonts w:ascii="Arial" w:eastAsia="Times New Roman" w:hAnsi="Arial" w:cs="Arial"/>
      <w:szCs w:val="20"/>
    </w:rPr>
  </w:style>
  <w:style w:type="paragraph" w:styleId="List3">
    <w:name w:val="List 3"/>
    <w:uiPriority w:val="99"/>
    <w:semiHidden/>
    <w:unhideWhenUsed/>
    <w:rsid w:val="0055223D"/>
    <w:pPr>
      <w:spacing w:after="0" w:line="240" w:lineRule="auto"/>
      <w:ind w:left="1080" w:hanging="360"/>
      <w:contextualSpacing/>
    </w:pPr>
    <w:rPr>
      <w:rFonts w:ascii="Arial" w:eastAsia="Times New Roman" w:hAnsi="Arial" w:cs="Arial"/>
      <w:szCs w:val="20"/>
    </w:rPr>
  </w:style>
  <w:style w:type="paragraph" w:styleId="List4">
    <w:name w:val="List 4"/>
    <w:link w:val="List4Char"/>
    <w:unhideWhenUsed/>
    <w:rsid w:val="0055223D"/>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rsid w:val="0055223D"/>
    <w:rPr>
      <w:rFonts w:ascii="Arial" w:eastAsia="Times New Roman" w:hAnsi="Arial" w:cs="Arial"/>
      <w:szCs w:val="20"/>
    </w:rPr>
  </w:style>
  <w:style w:type="character" w:customStyle="1" w:styleId="Heading4Char">
    <w:name w:val="Heading 4 Char"/>
    <w:basedOn w:val="DefaultParagraphFont"/>
    <w:link w:val="Heading4"/>
    <w:rsid w:val="0055223D"/>
    <w:rPr>
      <w:rFonts w:ascii="Arial" w:eastAsia="Times New Roman" w:hAnsi="Arial" w:cs="Arial"/>
      <w:szCs w:val="20"/>
    </w:rPr>
  </w:style>
  <w:style w:type="paragraph" w:customStyle="1" w:styleId="List6">
    <w:name w:val="List 6"/>
    <w:basedOn w:val="List2"/>
    <w:link w:val="List6Char"/>
    <w:rsid w:val="0055223D"/>
    <w:pPr>
      <w:spacing w:after="160" w:line="259" w:lineRule="auto"/>
      <w:ind w:left="1800" w:firstLine="0"/>
    </w:pPr>
    <w:rPr>
      <w:szCs w:val="24"/>
    </w:rPr>
  </w:style>
  <w:style w:type="character" w:customStyle="1" w:styleId="List6Char">
    <w:name w:val="List 6 Char"/>
    <w:basedOn w:val="List4Char"/>
    <w:link w:val="List6"/>
    <w:rsid w:val="0055223D"/>
    <w:rPr>
      <w:rFonts w:ascii="Arial" w:eastAsia="Times New Roman" w:hAnsi="Arial" w:cs="Arial"/>
      <w:szCs w:val="24"/>
    </w:rPr>
  </w:style>
  <w:style w:type="paragraph" w:styleId="TOC1">
    <w:name w:val="toc 1"/>
    <w:basedOn w:val="Normal"/>
    <w:next w:val="Normal"/>
    <w:autoRedefine/>
    <w:uiPriority w:val="39"/>
    <w:unhideWhenUsed/>
    <w:rsid w:val="0055223D"/>
    <w:pPr>
      <w:spacing w:after="100"/>
    </w:pPr>
  </w:style>
  <w:style w:type="paragraph" w:styleId="TOC2">
    <w:name w:val="toc 2"/>
    <w:basedOn w:val="Normal"/>
    <w:next w:val="Normal"/>
    <w:autoRedefine/>
    <w:uiPriority w:val="39"/>
    <w:unhideWhenUsed/>
    <w:rsid w:val="0055223D"/>
    <w:pPr>
      <w:spacing w:after="100"/>
      <w:ind w:left="220"/>
    </w:pPr>
  </w:style>
  <w:style w:type="paragraph" w:styleId="TOC3">
    <w:name w:val="toc 3"/>
    <w:basedOn w:val="Normal"/>
    <w:next w:val="Normal"/>
    <w:autoRedefine/>
    <w:uiPriority w:val="39"/>
    <w:unhideWhenUsed/>
    <w:rsid w:val="0055223D"/>
    <w:pPr>
      <w:spacing w:after="100"/>
      <w:ind w:left="440"/>
    </w:pPr>
  </w:style>
  <w:style w:type="paragraph" w:styleId="TOC4">
    <w:name w:val="toc 4"/>
    <w:basedOn w:val="Normal"/>
    <w:next w:val="Normal"/>
    <w:autoRedefine/>
    <w:uiPriority w:val="39"/>
    <w:unhideWhenUsed/>
    <w:rsid w:val="0055223D"/>
    <w:pPr>
      <w:spacing w:after="100"/>
      <w:ind w:left="660"/>
    </w:pPr>
  </w:style>
  <w:style w:type="paragraph" w:styleId="TOC5">
    <w:name w:val="toc 5"/>
    <w:basedOn w:val="Normal"/>
    <w:next w:val="Normal"/>
    <w:autoRedefine/>
    <w:uiPriority w:val="39"/>
    <w:semiHidden/>
    <w:unhideWhenUsed/>
    <w:rsid w:val="0055223D"/>
    <w:pPr>
      <w:spacing w:after="100"/>
      <w:ind w:left="880"/>
    </w:pPr>
  </w:style>
  <w:style w:type="paragraph" w:styleId="TOC6">
    <w:name w:val="toc 6"/>
    <w:basedOn w:val="Normal"/>
    <w:next w:val="Normal"/>
    <w:autoRedefine/>
    <w:uiPriority w:val="39"/>
    <w:semiHidden/>
    <w:unhideWhenUsed/>
    <w:rsid w:val="0055223D"/>
    <w:pPr>
      <w:spacing w:after="100"/>
      <w:ind w:left="1100"/>
    </w:pPr>
  </w:style>
  <w:style w:type="paragraph" w:styleId="TOC7">
    <w:name w:val="toc 7"/>
    <w:basedOn w:val="Normal"/>
    <w:next w:val="Normal"/>
    <w:autoRedefine/>
    <w:uiPriority w:val="39"/>
    <w:semiHidden/>
    <w:unhideWhenUsed/>
    <w:rsid w:val="0055223D"/>
    <w:pPr>
      <w:spacing w:after="100"/>
      <w:ind w:left="1320"/>
    </w:pPr>
  </w:style>
  <w:style w:type="paragraph" w:styleId="TOC8">
    <w:name w:val="toc 8"/>
    <w:basedOn w:val="Normal"/>
    <w:next w:val="Normal"/>
    <w:autoRedefine/>
    <w:uiPriority w:val="39"/>
    <w:semiHidden/>
    <w:unhideWhenUsed/>
    <w:rsid w:val="0055223D"/>
    <w:pPr>
      <w:spacing w:after="100"/>
      <w:ind w:left="1540"/>
    </w:pPr>
  </w:style>
  <w:style w:type="paragraph" w:styleId="TOC9">
    <w:name w:val="toc 9"/>
    <w:basedOn w:val="Normal"/>
    <w:next w:val="Normal"/>
    <w:autoRedefine/>
    <w:uiPriority w:val="39"/>
    <w:semiHidden/>
    <w:unhideWhenUsed/>
    <w:rsid w:val="0055223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52236.ht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cq.osd.mil/dpap/dars/dfars/html/current/204_71.htm" TargetMode="Externa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hyperlink" Target="http://www.acq.osd.mil/dpap/dars/dfars/html/current/204_71.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2020-04-10T16:55:00Z</dcterms:created>
  <dcterms:modified xsi:type="dcterms:W3CDTF">2020-04-14T15:35:00Z</dcterms:modified>
</cp:coreProperties>
</file>