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F89A23" w14:textId="77777777" w:rsidR="00281416" w:rsidRDefault="00281416">
      <w:pPr>
        <w:sectPr w:rsidR="00281416">
          <w:pgSz w:w="12240" w:h="15840"/>
          <w:pgMar w:top="1440" w:right="1440" w:bottom="1440" w:left="1440" w:header="720" w:footer="720" w:gutter="0"/>
          <w:cols w:space="720"/>
          <w:docGrid w:linePitch="360"/>
        </w:sectPr>
      </w:pPr>
    </w:p>
    <w:p w14:paraId="553E0CF3" w14:textId="77777777" w:rsidR="00281416" w:rsidRDefault="00281416" w:rsidP="00C67663">
      <w:pPr>
        <w:pStyle w:val="Heading1"/>
      </w:pPr>
      <w:bookmarkStart w:id="0" w:name="_Toc37677695"/>
      <w:bookmarkStart w:id="1" w:name="_Toc37756751"/>
      <w:r>
        <w:lastRenderedPageBreak/>
        <w:t xml:space="preserve">PGI </w:t>
      </w:r>
      <w:r w:rsidRPr="007B495C">
        <w:t>PART 2</w:t>
      </w:r>
      <w:r>
        <w:t>37</w:t>
      </w:r>
      <w:r w:rsidRPr="007B495C">
        <w:t xml:space="preserve"> - </w:t>
      </w:r>
      <w:r>
        <w:br/>
      </w:r>
      <w:r w:rsidRPr="00B029A0">
        <w:t>Service Contracting</w:t>
      </w:r>
      <w:bookmarkEnd w:id="0"/>
      <w:bookmarkEnd w:id="1"/>
    </w:p>
    <w:p w14:paraId="4883B71F" w14:textId="77777777" w:rsidR="00281416" w:rsidRDefault="00281416">
      <w:r>
        <w:br w:type="page"/>
      </w:r>
      <w:r>
        <w:lastRenderedPageBreak/>
        <w:br/>
      </w:r>
    </w:p>
    <w:p w14:paraId="0014E8DF" w14:textId="77777777" w:rsidR="007053C0" w:rsidRPr="00FB1C78" w:rsidRDefault="007053C0" w:rsidP="00FB1C78">
      <w:pPr>
        <w:jc w:val="center"/>
        <w:rPr>
          <w:b/>
        </w:rPr>
      </w:pPr>
      <w:r w:rsidRPr="00FB1C78">
        <w:rPr>
          <w:b/>
        </w:rPr>
        <w:t>Table of Contents</w:t>
      </w:r>
    </w:p>
    <w:p w14:paraId="0FD56020" w14:textId="06BD8821" w:rsidR="00EB7122" w:rsidRDefault="00EB7122" w:rsidP="00EB7122">
      <w:pPr>
        <w:pStyle w:val="TOC1"/>
        <w:tabs>
          <w:tab w:val="right" w:leader="dot" w:pos="9350"/>
        </w:tabs>
        <w:rPr>
          <w:rFonts w:asciiTheme="minorHAnsi" w:eastAsiaTheme="minorEastAsia" w:hAnsiTheme="minorHAnsi" w:cstheme="minorBidi"/>
          <w:noProof/>
        </w:rPr>
      </w:pPr>
      <w:r>
        <w:rPr>
          <w:rStyle w:val="Hyperlink"/>
          <w:b/>
          <w:noProof/>
        </w:rPr>
        <w:fldChar w:fldCharType="begin"/>
      </w:r>
      <w:r>
        <w:rPr>
          <w:rStyle w:val="Hyperlink"/>
          <w:b/>
          <w:noProof/>
        </w:rPr>
        <w:instrText xml:space="preserve"> TOC \o "1-4" \n \h \z \u </w:instrText>
      </w:r>
      <w:r>
        <w:rPr>
          <w:rStyle w:val="Hyperlink"/>
          <w:b/>
          <w:noProof/>
        </w:rPr>
        <w:fldChar w:fldCharType="separate"/>
      </w:r>
      <w:hyperlink w:anchor="_Toc37756751" w:history="1">
        <w:r w:rsidRPr="00E31995">
          <w:rPr>
            <w:rStyle w:val="Hyperlink"/>
            <w:noProof/>
          </w:rPr>
          <w:t>PGI PART 237 -  Service Contracting</w:t>
        </w:r>
      </w:hyperlink>
    </w:p>
    <w:p w14:paraId="07D5525E" w14:textId="3CBC5CBE" w:rsidR="00EB7122" w:rsidRDefault="00EB7122" w:rsidP="00EB7122">
      <w:pPr>
        <w:pStyle w:val="TOC2"/>
        <w:tabs>
          <w:tab w:val="right" w:leader="dot" w:pos="9350"/>
        </w:tabs>
        <w:rPr>
          <w:rFonts w:asciiTheme="minorHAnsi" w:eastAsiaTheme="minorEastAsia" w:hAnsiTheme="minorHAnsi" w:cstheme="minorBidi"/>
          <w:noProof/>
        </w:rPr>
      </w:pPr>
      <w:hyperlink w:anchor="_Toc37756752" w:history="1">
        <w:r w:rsidRPr="00E31995">
          <w:rPr>
            <w:rStyle w:val="Hyperlink"/>
            <w:noProof/>
          </w:rPr>
          <w:t>PGI 237.1--SERVICE CONTRACTS--GENERAL</w:t>
        </w:r>
      </w:hyperlink>
    </w:p>
    <w:p w14:paraId="1DC5901B" w14:textId="7ED999B4" w:rsidR="00EB7122" w:rsidRDefault="00EB7122" w:rsidP="00EB7122">
      <w:pPr>
        <w:pStyle w:val="TOC4"/>
        <w:tabs>
          <w:tab w:val="right" w:leader="dot" w:pos="9350"/>
        </w:tabs>
        <w:rPr>
          <w:rFonts w:asciiTheme="minorHAnsi" w:eastAsiaTheme="minorEastAsia" w:hAnsiTheme="minorHAnsi" w:cstheme="minorBidi"/>
          <w:noProof/>
        </w:rPr>
      </w:pPr>
      <w:hyperlink w:anchor="_Toc37756753" w:history="1">
        <w:r w:rsidRPr="00E31995">
          <w:rPr>
            <w:rStyle w:val="Hyperlink"/>
            <w:b/>
            <w:noProof/>
          </w:rPr>
          <w:t>PGI 237.102-70  Prohibition on contracting for firefighting or security-guard functions.</w:t>
        </w:r>
      </w:hyperlink>
    </w:p>
    <w:p w14:paraId="3F3618E0" w14:textId="4E058809" w:rsidR="00EB7122" w:rsidRDefault="00EB7122" w:rsidP="00EB7122">
      <w:pPr>
        <w:pStyle w:val="TOC4"/>
        <w:tabs>
          <w:tab w:val="right" w:leader="dot" w:pos="9350"/>
        </w:tabs>
        <w:rPr>
          <w:rFonts w:asciiTheme="minorHAnsi" w:eastAsiaTheme="minorEastAsia" w:hAnsiTheme="minorHAnsi" w:cstheme="minorBidi"/>
          <w:noProof/>
        </w:rPr>
      </w:pPr>
      <w:hyperlink w:anchor="_Toc37756754" w:history="1">
        <w:r w:rsidRPr="00E31995">
          <w:rPr>
            <w:rStyle w:val="Hyperlink"/>
            <w:b/>
            <w:noProof/>
          </w:rPr>
          <w:t>PGI 237.102-71  Limitation on service contracts for military flight simulators.</w:t>
        </w:r>
      </w:hyperlink>
    </w:p>
    <w:p w14:paraId="196524A4" w14:textId="5C403F2F" w:rsidR="00EB7122" w:rsidRDefault="00EB7122" w:rsidP="00EB7122">
      <w:pPr>
        <w:pStyle w:val="TOC4"/>
        <w:tabs>
          <w:tab w:val="right" w:leader="dot" w:pos="9350"/>
        </w:tabs>
        <w:rPr>
          <w:rFonts w:asciiTheme="minorHAnsi" w:eastAsiaTheme="minorEastAsia" w:hAnsiTheme="minorHAnsi" w:cstheme="minorBidi"/>
          <w:noProof/>
        </w:rPr>
      </w:pPr>
      <w:hyperlink w:anchor="_Toc37756755" w:history="1">
        <w:r w:rsidRPr="00E31995">
          <w:rPr>
            <w:rStyle w:val="Hyperlink"/>
            <w:noProof/>
            <w:spacing w:val="-5"/>
          </w:rPr>
          <w:t>PGI 237.102-73  Prohibition on contracts for services of senior mentors.</w:t>
        </w:r>
      </w:hyperlink>
    </w:p>
    <w:p w14:paraId="583B6432" w14:textId="4701C1F8" w:rsidR="00EB7122" w:rsidRDefault="00EB7122" w:rsidP="00EB7122">
      <w:pPr>
        <w:pStyle w:val="TOC4"/>
        <w:tabs>
          <w:tab w:val="right" w:leader="dot" w:pos="9350"/>
        </w:tabs>
        <w:rPr>
          <w:rFonts w:asciiTheme="minorHAnsi" w:eastAsiaTheme="minorEastAsia" w:hAnsiTheme="minorHAnsi" w:cstheme="minorBidi"/>
          <w:noProof/>
        </w:rPr>
      </w:pPr>
      <w:hyperlink w:anchor="_Toc37756756" w:history="1">
        <w:r w:rsidRPr="00E31995">
          <w:rPr>
            <w:rStyle w:val="Hyperlink"/>
            <w:noProof/>
          </w:rPr>
          <w:t>PGI 237.102-74  Taxonomy for the acquisition of services and supplies &amp; equipment.</w:t>
        </w:r>
      </w:hyperlink>
    </w:p>
    <w:p w14:paraId="797FA9FA" w14:textId="71D3D7B4" w:rsidR="00EB7122" w:rsidRDefault="00EB7122" w:rsidP="00EB7122">
      <w:pPr>
        <w:pStyle w:val="TOC4"/>
        <w:tabs>
          <w:tab w:val="right" w:leader="dot" w:pos="9350"/>
        </w:tabs>
        <w:rPr>
          <w:rFonts w:asciiTheme="minorHAnsi" w:eastAsiaTheme="minorEastAsia" w:hAnsiTheme="minorHAnsi" w:cstheme="minorBidi"/>
          <w:noProof/>
        </w:rPr>
      </w:pPr>
      <w:hyperlink w:anchor="_Toc37756757" w:history="1">
        <w:r w:rsidRPr="00E31995">
          <w:rPr>
            <w:rStyle w:val="Hyperlink"/>
            <w:noProof/>
          </w:rPr>
          <w:t>PGI 237.102-75  Defense Acquisition Guidebook.</w:t>
        </w:r>
      </w:hyperlink>
    </w:p>
    <w:p w14:paraId="31A8D787" w14:textId="13693718" w:rsidR="00EB7122" w:rsidRDefault="00EB7122" w:rsidP="00EB7122">
      <w:pPr>
        <w:pStyle w:val="TOC4"/>
        <w:tabs>
          <w:tab w:val="right" w:leader="dot" w:pos="9350"/>
        </w:tabs>
        <w:rPr>
          <w:rFonts w:asciiTheme="minorHAnsi" w:eastAsiaTheme="minorEastAsia" w:hAnsiTheme="minorHAnsi" w:cstheme="minorBidi"/>
          <w:noProof/>
        </w:rPr>
      </w:pPr>
      <w:hyperlink w:anchor="_Toc37756758" w:history="1">
        <w:r w:rsidRPr="00E31995">
          <w:rPr>
            <w:rStyle w:val="Hyperlink"/>
            <w:noProof/>
          </w:rPr>
          <w:t>PGI 237.102-76  Review criteria for the acquisition of services.</w:t>
        </w:r>
      </w:hyperlink>
    </w:p>
    <w:p w14:paraId="35612BB0" w14:textId="4EBE8380" w:rsidR="00EB7122" w:rsidRDefault="00EB7122" w:rsidP="00EB7122">
      <w:pPr>
        <w:pStyle w:val="TOC4"/>
        <w:tabs>
          <w:tab w:val="right" w:leader="dot" w:pos="9350"/>
        </w:tabs>
        <w:rPr>
          <w:rFonts w:asciiTheme="minorHAnsi" w:eastAsiaTheme="minorEastAsia" w:hAnsiTheme="minorHAnsi" w:cstheme="minorBidi"/>
          <w:noProof/>
        </w:rPr>
      </w:pPr>
      <w:hyperlink w:anchor="_Toc37756759" w:history="1">
        <w:r w:rsidRPr="00E31995">
          <w:rPr>
            <w:rStyle w:val="Hyperlink"/>
            <w:noProof/>
          </w:rPr>
          <w:t>PGI 237.102-77  Acquisition requirements roadmap tool.</w:t>
        </w:r>
      </w:hyperlink>
    </w:p>
    <w:p w14:paraId="6BD5CA03" w14:textId="6F49B1FD" w:rsidR="00EB7122" w:rsidRDefault="00EB7122" w:rsidP="00EB7122">
      <w:pPr>
        <w:pStyle w:val="TOC4"/>
        <w:tabs>
          <w:tab w:val="right" w:leader="dot" w:pos="9350"/>
        </w:tabs>
        <w:rPr>
          <w:rFonts w:asciiTheme="minorHAnsi" w:eastAsiaTheme="minorEastAsia" w:hAnsiTheme="minorHAnsi" w:cstheme="minorBidi"/>
          <w:noProof/>
        </w:rPr>
      </w:pPr>
      <w:hyperlink w:anchor="_Toc37756760" w:history="1">
        <w:r w:rsidRPr="00E31995">
          <w:rPr>
            <w:rStyle w:val="Hyperlink"/>
            <w:noProof/>
          </w:rPr>
          <w:t>PGI 237.102-78  Market research report guide for improving the tradecraft in services acquisition.</w:t>
        </w:r>
      </w:hyperlink>
    </w:p>
    <w:p w14:paraId="03B3D572" w14:textId="6198F382" w:rsidR="00EB7122" w:rsidRDefault="00EB7122" w:rsidP="00EB7122">
      <w:pPr>
        <w:pStyle w:val="TOC4"/>
        <w:tabs>
          <w:tab w:val="right" w:leader="dot" w:pos="9350"/>
        </w:tabs>
        <w:rPr>
          <w:rFonts w:asciiTheme="minorHAnsi" w:eastAsiaTheme="minorEastAsia" w:hAnsiTheme="minorHAnsi" w:cstheme="minorBidi"/>
          <w:noProof/>
        </w:rPr>
      </w:pPr>
      <w:hyperlink w:anchor="_Toc37756761" w:history="1">
        <w:r w:rsidRPr="00E31995">
          <w:rPr>
            <w:rStyle w:val="Hyperlink"/>
            <w:noProof/>
          </w:rPr>
          <w:t>PGI 237.102-79  Private sector notification requirements in support of in-sourcing actions.</w:t>
        </w:r>
      </w:hyperlink>
    </w:p>
    <w:p w14:paraId="25102FBC" w14:textId="1BD8CAA0" w:rsidR="00EB7122" w:rsidRDefault="00EB7122" w:rsidP="00EB7122">
      <w:pPr>
        <w:pStyle w:val="TOC3"/>
        <w:tabs>
          <w:tab w:val="right" w:leader="dot" w:pos="9350"/>
        </w:tabs>
        <w:rPr>
          <w:rFonts w:asciiTheme="minorHAnsi" w:eastAsiaTheme="minorEastAsia" w:hAnsiTheme="minorHAnsi" w:cstheme="minorBidi"/>
          <w:noProof/>
        </w:rPr>
      </w:pPr>
      <w:hyperlink w:anchor="_Toc37756762" w:history="1">
        <w:r w:rsidRPr="00E31995">
          <w:rPr>
            <w:rStyle w:val="Hyperlink"/>
            <w:noProof/>
          </w:rPr>
          <w:t>PGI 237.171  Training for contractor personnel interacting with detainees.</w:t>
        </w:r>
      </w:hyperlink>
    </w:p>
    <w:p w14:paraId="79041769" w14:textId="0D20AEB8" w:rsidR="00EB7122" w:rsidRDefault="00EB7122" w:rsidP="00EB7122">
      <w:pPr>
        <w:pStyle w:val="TOC4"/>
        <w:tabs>
          <w:tab w:val="right" w:leader="dot" w:pos="9350"/>
        </w:tabs>
        <w:rPr>
          <w:rFonts w:asciiTheme="minorHAnsi" w:eastAsiaTheme="minorEastAsia" w:hAnsiTheme="minorHAnsi" w:cstheme="minorBidi"/>
          <w:noProof/>
        </w:rPr>
      </w:pPr>
      <w:hyperlink w:anchor="_Toc37756763" w:history="1">
        <w:r w:rsidRPr="00E31995">
          <w:rPr>
            <w:rStyle w:val="Hyperlink"/>
            <w:noProof/>
          </w:rPr>
          <w:t>PGI 237.171-3  Policy.</w:t>
        </w:r>
      </w:hyperlink>
    </w:p>
    <w:p w14:paraId="2D03085D" w14:textId="354B5B4E" w:rsidR="00EB7122" w:rsidRDefault="00EB7122" w:rsidP="00EB7122">
      <w:pPr>
        <w:pStyle w:val="TOC3"/>
        <w:tabs>
          <w:tab w:val="right" w:leader="dot" w:pos="9350"/>
        </w:tabs>
        <w:rPr>
          <w:rFonts w:asciiTheme="minorHAnsi" w:eastAsiaTheme="minorEastAsia" w:hAnsiTheme="minorHAnsi" w:cstheme="minorBidi"/>
          <w:noProof/>
        </w:rPr>
      </w:pPr>
      <w:hyperlink w:anchor="_Toc37756764" w:history="1">
        <w:r w:rsidRPr="00E31995">
          <w:rPr>
            <w:rStyle w:val="Hyperlink"/>
            <w:bCs/>
            <w:noProof/>
          </w:rPr>
          <w:t>PGI 237.172  Service contracts surveillance.</w:t>
        </w:r>
      </w:hyperlink>
    </w:p>
    <w:p w14:paraId="68649CF1" w14:textId="76322C42" w:rsidR="00EB7122" w:rsidRDefault="00EB7122" w:rsidP="00EB7122">
      <w:pPr>
        <w:pStyle w:val="TOC2"/>
        <w:tabs>
          <w:tab w:val="right" w:leader="dot" w:pos="9350"/>
        </w:tabs>
        <w:rPr>
          <w:rFonts w:asciiTheme="minorHAnsi" w:eastAsiaTheme="minorEastAsia" w:hAnsiTheme="minorHAnsi" w:cstheme="minorBidi"/>
          <w:noProof/>
        </w:rPr>
      </w:pPr>
      <w:hyperlink w:anchor="_Toc37756765" w:history="1">
        <w:r w:rsidRPr="00E31995">
          <w:rPr>
            <w:rStyle w:val="Hyperlink"/>
            <w:noProof/>
          </w:rPr>
          <w:t>PGI 237.2—ADVISORY AND ASSISTANCE SERVICES</w:t>
        </w:r>
      </w:hyperlink>
    </w:p>
    <w:p w14:paraId="76E5BC7D" w14:textId="0422D634" w:rsidR="00EB7122" w:rsidRDefault="00EB7122" w:rsidP="00EB7122">
      <w:pPr>
        <w:pStyle w:val="TOC3"/>
        <w:tabs>
          <w:tab w:val="right" w:leader="dot" w:pos="9350"/>
        </w:tabs>
        <w:rPr>
          <w:rFonts w:asciiTheme="minorHAnsi" w:eastAsiaTheme="minorEastAsia" w:hAnsiTheme="minorHAnsi" w:cstheme="minorBidi"/>
          <w:noProof/>
        </w:rPr>
      </w:pPr>
      <w:hyperlink w:anchor="_Toc37756766" w:history="1">
        <w:r w:rsidRPr="00E31995">
          <w:rPr>
            <w:rStyle w:val="Hyperlink"/>
            <w:b/>
            <w:noProof/>
          </w:rPr>
          <w:t>PGI 237.270  Acquisition of audit services.</w:t>
        </w:r>
      </w:hyperlink>
    </w:p>
    <w:p w14:paraId="667CF9AC" w14:textId="1D5976AB" w:rsidR="00EB7122" w:rsidRDefault="00EB7122" w:rsidP="00EB7122">
      <w:pPr>
        <w:pStyle w:val="TOC3"/>
        <w:tabs>
          <w:tab w:val="right" w:leader="dot" w:pos="9350"/>
        </w:tabs>
        <w:rPr>
          <w:rFonts w:asciiTheme="minorHAnsi" w:eastAsiaTheme="minorEastAsia" w:hAnsiTheme="minorHAnsi" w:cstheme="minorBidi"/>
          <w:noProof/>
        </w:rPr>
      </w:pPr>
      <w:hyperlink w:anchor="_Toc37756767" w:history="1">
        <w:r w:rsidRPr="00E31995">
          <w:rPr>
            <w:rStyle w:val="Hyperlink"/>
            <w:bCs/>
            <w:noProof/>
          </w:rPr>
          <w:t>PGI 237.5  MANAGEMENT OVERSIGHT OF SERVICE CONTRACTS</w:t>
        </w:r>
      </w:hyperlink>
    </w:p>
    <w:p w14:paraId="63833BD6" w14:textId="4BC2F4FA" w:rsidR="00EB7122" w:rsidRDefault="00EB7122" w:rsidP="00EB7122">
      <w:pPr>
        <w:pStyle w:val="TOC3"/>
        <w:tabs>
          <w:tab w:val="right" w:leader="dot" w:pos="9350"/>
        </w:tabs>
        <w:rPr>
          <w:rFonts w:asciiTheme="minorHAnsi" w:eastAsiaTheme="minorEastAsia" w:hAnsiTheme="minorHAnsi" w:cstheme="minorBidi"/>
          <w:noProof/>
        </w:rPr>
      </w:pPr>
      <w:hyperlink w:anchor="_Toc37756768" w:history="1">
        <w:r w:rsidRPr="00E31995">
          <w:rPr>
            <w:rStyle w:val="Hyperlink"/>
            <w:bCs/>
            <w:noProof/>
          </w:rPr>
          <w:t>PGI 237.503  Agency-head responsibilities.</w:t>
        </w:r>
      </w:hyperlink>
    </w:p>
    <w:p w14:paraId="3C9B605A" w14:textId="68832016" w:rsidR="00EB7122" w:rsidRDefault="00EB7122" w:rsidP="00EB7122">
      <w:pPr>
        <w:pStyle w:val="TOC3"/>
        <w:tabs>
          <w:tab w:val="right" w:leader="dot" w:pos="9350"/>
        </w:tabs>
        <w:rPr>
          <w:rFonts w:asciiTheme="minorHAnsi" w:eastAsiaTheme="minorEastAsia" w:hAnsiTheme="minorHAnsi" w:cstheme="minorBidi"/>
          <w:noProof/>
        </w:rPr>
      </w:pPr>
      <w:hyperlink w:anchor="_Toc37756769" w:history="1">
        <w:r w:rsidRPr="00E31995">
          <w:rPr>
            <w:rStyle w:val="Hyperlink"/>
            <w:b/>
            <w:noProof/>
          </w:rPr>
          <w:t>PGI 237.7002  Area of performance and distribution of contracts.</w:t>
        </w:r>
      </w:hyperlink>
    </w:p>
    <w:p w14:paraId="5842497A" w14:textId="2FCC2DD8" w:rsidR="00281416" w:rsidRPr="00281416" w:rsidRDefault="00EB7122" w:rsidP="00281416">
      <w:r>
        <w:rPr>
          <w:rStyle w:val="Hyperlink"/>
          <w:b/>
          <w:noProof/>
        </w:rPr>
        <w:fldChar w:fldCharType="end"/>
      </w:r>
    </w:p>
    <w:p w14:paraId="0209A67D" w14:textId="77777777" w:rsidR="00281416" w:rsidRDefault="00281416" w:rsidP="009539BD">
      <w:pPr>
        <w:jc w:val="center"/>
      </w:pPr>
      <w:r w:rsidRPr="00C047AC">
        <w:rPr>
          <w:i/>
          <w:szCs w:val="24"/>
        </w:rPr>
        <w:lastRenderedPageBreak/>
        <w:t>(</w:t>
      </w:r>
      <w:r>
        <w:rPr>
          <w:i/>
          <w:szCs w:val="24"/>
        </w:rPr>
        <w:t>Revised December 31, 2019</w:t>
      </w:r>
      <w:r w:rsidRPr="00C047AC">
        <w:rPr>
          <w:i/>
          <w:szCs w:val="24"/>
        </w:rPr>
        <w:t>)</w:t>
      </w:r>
    </w:p>
    <w:p w14:paraId="4744C2BB" w14:textId="77777777" w:rsidR="00281416" w:rsidRDefault="00281416" w:rsidP="009539BD">
      <w:pPr>
        <w:pStyle w:val="Heading2"/>
      </w:pPr>
      <w:r>
        <w:rPr>
          <w:i/>
          <w:szCs w:val="24"/>
        </w:rPr>
        <w:br/>
      </w:r>
      <w:bookmarkStart w:id="2" w:name="_Toc37415863"/>
      <w:bookmarkStart w:id="3" w:name="_Toc37677696"/>
      <w:bookmarkStart w:id="4" w:name="_Toc37756752"/>
      <w:r w:rsidRPr="00347710">
        <w:rPr>
          <w:szCs w:val="24"/>
        </w:rPr>
        <w:t>PGI 237.1--SERVICE CONTRACTS--GENERAL</w:t>
      </w:r>
      <w:bookmarkEnd w:id="2"/>
      <w:bookmarkEnd w:id="3"/>
      <w:bookmarkEnd w:id="4"/>
    </w:p>
    <w:p w14:paraId="33EF580D" w14:textId="77777777" w:rsidR="00281416" w:rsidRDefault="00281416" w:rsidP="009539BD">
      <w:pPr>
        <w:pStyle w:val="Heading4"/>
      </w:pPr>
      <w:r>
        <w:rPr>
          <w:b/>
          <w:szCs w:val="24"/>
        </w:rPr>
        <w:br/>
      </w:r>
      <w:bookmarkStart w:id="5" w:name="_Toc37677697"/>
      <w:bookmarkStart w:id="6" w:name="_Toc37756753"/>
      <w:r w:rsidRPr="00347710">
        <w:rPr>
          <w:b/>
          <w:szCs w:val="24"/>
        </w:rPr>
        <w:t>PGI 237.102-</w:t>
      </w:r>
      <w:proofErr w:type="gramStart"/>
      <w:r w:rsidRPr="00347710">
        <w:rPr>
          <w:b/>
          <w:szCs w:val="24"/>
        </w:rPr>
        <w:t>70  Prohibition</w:t>
      </w:r>
      <w:proofErr w:type="gramEnd"/>
      <w:r w:rsidRPr="00347710">
        <w:rPr>
          <w:b/>
          <w:szCs w:val="24"/>
        </w:rPr>
        <w:t xml:space="preserve"> on contracting for firefighting or security-guard functions.</w:t>
      </w:r>
      <w:bookmarkEnd w:id="5"/>
      <w:bookmarkEnd w:id="6"/>
    </w:p>
    <w:p w14:paraId="0011CC95" w14:textId="77777777" w:rsidR="00281416" w:rsidRDefault="00281416" w:rsidP="009539BD">
      <w:pPr>
        <w:pStyle w:val="List1"/>
      </w:pPr>
      <w:r>
        <w:rPr>
          <w:b/>
        </w:rPr>
        <w:br/>
      </w:r>
      <w:r w:rsidRPr="00347710">
        <w:t>(</w:t>
      </w:r>
      <w:r>
        <w:t>c</w:t>
      </w:r>
      <w:r w:rsidRPr="00347710">
        <w:t>)(</w:t>
      </w:r>
      <w:proofErr w:type="spellStart"/>
      <w:r w:rsidRPr="00347710">
        <w:t>i</w:t>
      </w:r>
      <w:proofErr w:type="spellEnd"/>
      <w:r w:rsidRPr="00347710">
        <w:t xml:space="preserve">)  To ensure that the personnel limitations in DFARS </w:t>
      </w:r>
      <w:hyperlink r:id="rId6" w:anchor="237.102-70" w:history="1">
        <w:r w:rsidRPr="00DF2A82">
          <w:rPr>
            <w:rStyle w:val="Hyperlink"/>
          </w:rPr>
          <w:t>237.102-70</w:t>
        </w:r>
      </w:hyperlink>
      <w:r w:rsidRPr="00347710">
        <w:t>(</w:t>
      </w:r>
      <w:r>
        <w:t>c</w:t>
      </w:r>
      <w:r w:rsidRPr="00347710">
        <w:t xml:space="preserve">)(1)(iv) are not exceeded, there is an office of primary responsibility (OPR) within each department or agency that is responsible for managing the total number of security-guard personnel on contract for the department or agency.  </w:t>
      </w:r>
    </w:p>
    <w:p w14:paraId="45E22C25" w14:textId="77777777" w:rsidR="00281416" w:rsidRDefault="00281416" w:rsidP="009539BD">
      <w:pPr>
        <w:pStyle w:val="List3"/>
      </w:pPr>
      <w:r>
        <w:rPr>
          <w:szCs w:val="24"/>
        </w:rPr>
        <w:br/>
      </w:r>
      <w:r w:rsidRPr="00347710">
        <w:rPr>
          <w:szCs w:val="24"/>
        </w:rPr>
        <w:t xml:space="preserve">(ii)  Before finalizing a contract action that affects the number of security-guard personnel on contract, the contracting officer shall request, from the requiring activity, evidence of the OPR’s approval for the contract action.  This requirement also applies to renewal or exercise of options for the same number of security-guard personnel, to ensure compliance with the statutory limitations/reductions specified for each fiscal year. </w:t>
      </w:r>
    </w:p>
    <w:p w14:paraId="10C4743E" w14:textId="77777777" w:rsidR="00281416" w:rsidRDefault="00281416" w:rsidP="009539BD">
      <w:pPr>
        <w:pStyle w:val="List3"/>
      </w:pPr>
      <w:r>
        <w:rPr>
          <w:szCs w:val="24"/>
        </w:rPr>
        <w:br/>
      </w:r>
      <w:r w:rsidRPr="00347710">
        <w:rPr>
          <w:szCs w:val="24"/>
        </w:rPr>
        <w:t>(iii)  If the evidence of approval is not provided by the requiring activity, the cont</w:t>
      </w:r>
      <w:r>
        <w:rPr>
          <w:szCs w:val="24"/>
        </w:rPr>
        <w:t>r</w:t>
      </w:r>
      <w:r w:rsidRPr="00347710">
        <w:rPr>
          <w:szCs w:val="24"/>
        </w:rPr>
        <w:t>acting officer shall directly contact the applicable OPR for approval before finalizing the contract action.  OPRs are as follows:</w:t>
      </w:r>
    </w:p>
    <w:p w14:paraId="5BAC25BF" w14:textId="77777777" w:rsidR="00281416" w:rsidRDefault="00281416" w:rsidP="009539BD">
      <w:pPr>
        <w:pStyle w:val="List4"/>
      </w:pPr>
      <w:r>
        <w:br/>
      </w:r>
      <w:r w:rsidRPr="00347710">
        <w:t>(A)  U.S. Army:</w:t>
      </w:r>
    </w:p>
    <w:p w14:paraId="7630E534" w14:textId="77777777" w:rsidR="00281416" w:rsidRPr="00347710" w:rsidRDefault="00281416" w:rsidP="009539BD">
      <w:r w:rsidRPr="00347710">
        <w:rPr>
          <w:szCs w:val="24"/>
        </w:rPr>
        <w:tab/>
      </w:r>
      <w:r w:rsidRPr="00347710">
        <w:rPr>
          <w:szCs w:val="24"/>
        </w:rPr>
        <w:tab/>
      </w:r>
      <w:r w:rsidRPr="00347710">
        <w:rPr>
          <w:szCs w:val="24"/>
        </w:rPr>
        <w:tab/>
      </w:r>
      <w:r w:rsidRPr="00347710">
        <w:rPr>
          <w:szCs w:val="24"/>
        </w:rPr>
        <w:tab/>
      </w:r>
      <w:r w:rsidRPr="00347710">
        <w:rPr>
          <w:szCs w:val="24"/>
        </w:rPr>
        <w:tab/>
        <w:t>HQ Department of the Army</w:t>
      </w:r>
    </w:p>
    <w:p w14:paraId="4CD5ED68" w14:textId="77777777" w:rsidR="00281416" w:rsidRPr="00347710" w:rsidRDefault="00281416" w:rsidP="009539BD">
      <w:r w:rsidRPr="00347710">
        <w:tab/>
      </w:r>
      <w:r w:rsidRPr="00347710">
        <w:tab/>
      </w:r>
      <w:r w:rsidRPr="00347710">
        <w:tab/>
      </w:r>
      <w:r w:rsidRPr="00347710">
        <w:tab/>
      </w:r>
      <w:r w:rsidRPr="00347710">
        <w:tab/>
        <w:t>Office of the Provost Marshal General</w:t>
      </w:r>
    </w:p>
    <w:p w14:paraId="46018FD0" w14:textId="77777777" w:rsidR="00281416" w:rsidRPr="00347710" w:rsidRDefault="00281416" w:rsidP="009539BD">
      <w:r w:rsidRPr="00347710">
        <w:tab/>
      </w:r>
      <w:r w:rsidRPr="00347710">
        <w:tab/>
      </w:r>
      <w:r w:rsidRPr="00347710">
        <w:tab/>
      </w:r>
      <w:r w:rsidRPr="00347710">
        <w:tab/>
      </w:r>
      <w:r w:rsidRPr="00347710">
        <w:tab/>
        <w:t>2800 Army Pentagon</w:t>
      </w:r>
    </w:p>
    <w:p w14:paraId="44F70105" w14:textId="77777777" w:rsidR="00281416" w:rsidRPr="00347710" w:rsidRDefault="00281416" w:rsidP="009539BD">
      <w:r w:rsidRPr="00347710">
        <w:tab/>
      </w:r>
      <w:r w:rsidRPr="00347710">
        <w:tab/>
      </w:r>
      <w:r w:rsidRPr="00347710">
        <w:tab/>
      </w:r>
      <w:r w:rsidRPr="00347710">
        <w:tab/>
      </w:r>
      <w:r w:rsidRPr="00347710">
        <w:tab/>
        <w:t>Washington, DC  20310</w:t>
      </w:r>
    </w:p>
    <w:p w14:paraId="52EEEA37" w14:textId="77777777" w:rsidR="00281416" w:rsidRDefault="00281416" w:rsidP="009539BD">
      <w:r w:rsidRPr="00347710">
        <w:tab/>
      </w:r>
      <w:r w:rsidRPr="00347710">
        <w:tab/>
      </w:r>
      <w:r w:rsidRPr="00347710">
        <w:tab/>
      </w:r>
      <w:r w:rsidRPr="00347710">
        <w:tab/>
      </w:r>
      <w:r w:rsidRPr="00347710">
        <w:tab/>
        <w:t>Phone:  703-695-4210 or 703-6</w:t>
      </w:r>
      <w:r>
        <w:t>14</w:t>
      </w:r>
      <w:r w:rsidRPr="00347710">
        <w:t>-</w:t>
      </w:r>
      <w:r>
        <w:t>2</w:t>
      </w:r>
      <w:r w:rsidRPr="00347710">
        <w:t>5</w:t>
      </w:r>
      <w:r>
        <w:t>97</w:t>
      </w:r>
      <w:r w:rsidRPr="00347710">
        <w:t>.</w:t>
      </w:r>
    </w:p>
    <w:p w14:paraId="329C322C" w14:textId="77777777" w:rsidR="00281416" w:rsidRDefault="00281416" w:rsidP="009539BD">
      <w:pPr>
        <w:pStyle w:val="List4"/>
      </w:pPr>
      <w:r>
        <w:rPr>
          <w:szCs w:val="24"/>
        </w:rPr>
        <w:br/>
      </w:r>
      <w:r w:rsidRPr="00347710">
        <w:rPr>
          <w:szCs w:val="24"/>
        </w:rPr>
        <w:t>(B)  U.S. Navy:</w:t>
      </w:r>
    </w:p>
    <w:p w14:paraId="2D3D94EE" w14:textId="77777777" w:rsidR="00281416" w:rsidRPr="00347710" w:rsidRDefault="00281416" w:rsidP="009539BD">
      <w:r w:rsidRPr="00347710">
        <w:rPr>
          <w:szCs w:val="24"/>
        </w:rPr>
        <w:lastRenderedPageBreak/>
        <w:tab/>
      </w:r>
      <w:r w:rsidRPr="00347710">
        <w:rPr>
          <w:szCs w:val="24"/>
        </w:rPr>
        <w:tab/>
      </w:r>
      <w:r w:rsidRPr="00347710">
        <w:rPr>
          <w:szCs w:val="24"/>
        </w:rPr>
        <w:tab/>
      </w:r>
      <w:r w:rsidRPr="00347710">
        <w:rPr>
          <w:szCs w:val="24"/>
        </w:rPr>
        <w:tab/>
      </w:r>
      <w:r w:rsidRPr="00347710">
        <w:rPr>
          <w:szCs w:val="24"/>
        </w:rPr>
        <w:tab/>
        <w:t>Commander, Navy Installations</w:t>
      </w:r>
    </w:p>
    <w:p w14:paraId="2E874B39" w14:textId="77777777" w:rsidR="00281416" w:rsidRPr="00347710" w:rsidRDefault="00281416" w:rsidP="009539BD">
      <w:r>
        <w:tab/>
      </w:r>
      <w:r>
        <w:tab/>
      </w:r>
      <w:r>
        <w:tab/>
      </w:r>
      <w:r>
        <w:tab/>
      </w:r>
      <w:r>
        <w:tab/>
        <w:t>Command (CNIC) N3</w:t>
      </w:r>
    </w:p>
    <w:p w14:paraId="175D9E9B" w14:textId="77777777" w:rsidR="00281416" w:rsidRPr="00347710" w:rsidRDefault="00281416" w:rsidP="009539BD">
      <w:r w:rsidRPr="00347710">
        <w:tab/>
      </w:r>
      <w:r w:rsidRPr="00347710">
        <w:tab/>
      </w:r>
      <w:r w:rsidRPr="00347710">
        <w:tab/>
      </w:r>
      <w:r w:rsidRPr="00347710">
        <w:tab/>
      </w:r>
      <w:r w:rsidRPr="00347710">
        <w:tab/>
        <w:t xml:space="preserve">2715 </w:t>
      </w:r>
      <w:proofErr w:type="spellStart"/>
      <w:r w:rsidRPr="00347710">
        <w:t>Mitscher</w:t>
      </w:r>
      <w:proofErr w:type="spellEnd"/>
      <w:r w:rsidRPr="00347710">
        <w:t xml:space="preserve"> Road, Suite 300</w:t>
      </w:r>
    </w:p>
    <w:p w14:paraId="7D9A4C10" w14:textId="77777777" w:rsidR="00281416" w:rsidRPr="00347710" w:rsidRDefault="00281416" w:rsidP="009539BD">
      <w:r w:rsidRPr="00347710">
        <w:tab/>
      </w:r>
      <w:r w:rsidRPr="00347710">
        <w:tab/>
      </w:r>
      <w:r w:rsidRPr="00347710">
        <w:tab/>
      </w:r>
      <w:r w:rsidRPr="00347710">
        <w:tab/>
      </w:r>
      <w:r w:rsidRPr="00347710">
        <w:tab/>
        <w:t>Anacostia Annex</w:t>
      </w:r>
    </w:p>
    <w:p w14:paraId="23650504" w14:textId="77777777" w:rsidR="00281416" w:rsidRPr="00347710" w:rsidRDefault="00281416" w:rsidP="009539BD">
      <w:r w:rsidRPr="00347710">
        <w:tab/>
      </w:r>
      <w:r w:rsidRPr="00347710">
        <w:tab/>
      </w:r>
      <w:r w:rsidRPr="00347710">
        <w:tab/>
      </w:r>
      <w:r w:rsidRPr="00347710">
        <w:tab/>
      </w:r>
      <w:r w:rsidRPr="00347710">
        <w:tab/>
        <w:t xml:space="preserve">Washington, DC </w:t>
      </w:r>
      <w:r>
        <w:t xml:space="preserve"> </w:t>
      </w:r>
      <w:r w:rsidRPr="00347710">
        <w:t>20373</w:t>
      </w:r>
    </w:p>
    <w:p w14:paraId="757E2006" w14:textId="77777777" w:rsidR="00281416" w:rsidRDefault="00281416" w:rsidP="009539BD">
      <w:r w:rsidRPr="00347710">
        <w:tab/>
      </w:r>
      <w:r w:rsidRPr="00347710">
        <w:tab/>
      </w:r>
      <w:r w:rsidRPr="00347710">
        <w:tab/>
      </w:r>
      <w:r w:rsidRPr="00347710">
        <w:tab/>
      </w:r>
      <w:r w:rsidRPr="00347710">
        <w:tab/>
        <w:t>Phone:  202-409-4053.</w:t>
      </w:r>
    </w:p>
    <w:p w14:paraId="029F8184" w14:textId="77777777" w:rsidR="00281416" w:rsidRDefault="00281416" w:rsidP="009539BD">
      <w:pPr>
        <w:pStyle w:val="List4"/>
      </w:pPr>
      <w:r>
        <w:rPr>
          <w:szCs w:val="24"/>
        </w:rPr>
        <w:br/>
      </w:r>
      <w:r w:rsidRPr="00347710">
        <w:rPr>
          <w:szCs w:val="24"/>
        </w:rPr>
        <w:t>(C)  U.S. Marine Corps:</w:t>
      </w:r>
    </w:p>
    <w:p w14:paraId="3C3857D4" w14:textId="77777777" w:rsidR="00281416" w:rsidRPr="00347710" w:rsidRDefault="00281416" w:rsidP="009539BD">
      <w:r w:rsidRPr="00347710">
        <w:rPr>
          <w:szCs w:val="24"/>
        </w:rPr>
        <w:tab/>
      </w:r>
      <w:r w:rsidRPr="00347710">
        <w:rPr>
          <w:szCs w:val="24"/>
        </w:rPr>
        <w:tab/>
      </w:r>
      <w:r w:rsidRPr="00347710">
        <w:rPr>
          <w:szCs w:val="24"/>
        </w:rPr>
        <w:tab/>
      </w:r>
      <w:r w:rsidRPr="00347710">
        <w:rPr>
          <w:szCs w:val="24"/>
        </w:rPr>
        <w:tab/>
      </w:r>
      <w:r w:rsidRPr="00347710">
        <w:rPr>
          <w:szCs w:val="24"/>
        </w:rPr>
        <w:tab/>
        <w:t>HQ U.S. Marine Corps</w:t>
      </w:r>
    </w:p>
    <w:p w14:paraId="588E46AB" w14:textId="77777777" w:rsidR="00281416" w:rsidRPr="00347710" w:rsidRDefault="00281416" w:rsidP="009539BD">
      <w:r w:rsidRPr="00347710">
        <w:tab/>
      </w:r>
      <w:r w:rsidRPr="00347710">
        <w:tab/>
      </w:r>
      <w:r w:rsidRPr="00347710">
        <w:tab/>
      </w:r>
      <w:r w:rsidRPr="00347710">
        <w:tab/>
      </w:r>
      <w:r w:rsidRPr="00347710">
        <w:tab/>
        <w:t>Assistant Deputy Commandant, Plans, Policy, &amp;</w:t>
      </w:r>
    </w:p>
    <w:p w14:paraId="6539F91E" w14:textId="77777777" w:rsidR="00281416" w:rsidRPr="00347710" w:rsidRDefault="00281416" w:rsidP="009539BD">
      <w:r w:rsidRPr="00347710">
        <w:tab/>
      </w:r>
      <w:r w:rsidRPr="00347710">
        <w:tab/>
      </w:r>
      <w:r w:rsidRPr="00347710">
        <w:tab/>
      </w:r>
      <w:r w:rsidRPr="00347710">
        <w:tab/>
      </w:r>
      <w:r w:rsidRPr="00347710">
        <w:tab/>
      </w:r>
      <w:r w:rsidRPr="00347710">
        <w:tab/>
        <w:t>Operations (Security)</w:t>
      </w:r>
    </w:p>
    <w:p w14:paraId="7C16DC6C" w14:textId="77777777" w:rsidR="00281416" w:rsidRPr="00347710" w:rsidRDefault="00281416" w:rsidP="009539BD">
      <w:r w:rsidRPr="00347710">
        <w:tab/>
      </w:r>
      <w:r w:rsidRPr="00347710">
        <w:tab/>
      </w:r>
      <w:r w:rsidRPr="00347710">
        <w:tab/>
      </w:r>
      <w:r w:rsidRPr="00347710">
        <w:tab/>
      </w:r>
      <w:r w:rsidRPr="00347710">
        <w:tab/>
        <w:t>3000 Marine Corps Pentagon</w:t>
      </w:r>
    </w:p>
    <w:p w14:paraId="141303FD" w14:textId="77777777" w:rsidR="00281416" w:rsidRPr="00347710" w:rsidRDefault="00281416" w:rsidP="009539BD">
      <w:r w:rsidRPr="00347710">
        <w:tab/>
      </w:r>
      <w:r w:rsidRPr="00347710">
        <w:tab/>
      </w:r>
      <w:r w:rsidRPr="00347710">
        <w:tab/>
      </w:r>
      <w:r w:rsidRPr="00347710">
        <w:tab/>
      </w:r>
      <w:r w:rsidRPr="00347710">
        <w:tab/>
        <w:t>Washington, DC  20350</w:t>
      </w:r>
    </w:p>
    <w:p w14:paraId="388CB1FD" w14:textId="77777777" w:rsidR="00281416" w:rsidRDefault="00281416" w:rsidP="009539BD">
      <w:r w:rsidRPr="00347710">
        <w:tab/>
      </w:r>
      <w:r w:rsidRPr="00347710">
        <w:tab/>
      </w:r>
      <w:r w:rsidRPr="00347710">
        <w:tab/>
      </w:r>
      <w:r w:rsidRPr="00347710">
        <w:tab/>
      </w:r>
      <w:r w:rsidRPr="00347710">
        <w:tab/>
        <w:t>Phone:  571-201-3633.</w:t>
      </w:r>
    </w:p>
    <w:p w14:paraId="08950FC7" w14:textId="77777777" w:rsidR="00281416" w:rsidRPr="00347710" w:rsidRDefault="00281416" w:rsidP="009539BD">
      <w:pPr>
        <w:pStyle w:val="List4"/>
      </w:pPr>
      <w:r>
        <w:rPr>
          <w:szCs w:val="24"/>
        </w:rPr>
        <w:br/>
      </w:r>
      <w:r w:rsidRPr="00347710">
        <w:rPr>
          <w:szCs w:val="24"/>
        </w:rPr>
        <w:t>(D)  U.S. Air Force:</w:t>
      </w:r>
    </w:p>
    <w:p w14:paraId="598B091A" w14:textId="77777777" w:rsidR="00281416" w:rsidRPr="00347710" w:rsidRDefault="00281416" w:rsidP="009539BD">
      <w:r w:rsidRPr="00347710">
        <w:rPr>
          <w:szCs w:val="24"/>
        </w:rPr>
        <w:tab/>
      </w:r>
      <w:r w:rsidRPr="00347710">
        <w:rPr>
          <w:szCs w:val="24"/>
        </w:rPr>
        <w:tab/>
      </w:r>
      <w:r w:rsidRPr="00347710">
        <w:rPr>
          <w:szCs w:val="24"/>
        </w:rPr>
        <w:tab/>
      </w:r>
      <w:r w:rsidRPr="00347710">
        <w:rPr>
          <w:szCs w:val="24"/>
        </w:rPr>
        <w:tab/>
      </w:r>
      <w:r w:rsidRPr="00347710">
        <w:rPr>
          <w:szCs w:val="24"/>
        </w:rPr>
        <w:tab/>
        <w:t xml:space="preserve">HQ Air Force </w:t>
      </w:r>
    </w:p>
    <w:p w14:paraId="45E9130C" w14:textId="77777777" w:rsidR="00281416" w:rsidRPr="00347710" w:rsidRDefault="00281416" w:rsidP="009539BD">
      <w:r w:rsidRPr="00347710">
        <w:tab/>
      </w:r>
      <w:r w:rsidRPr="00347710">
        <w:tab/>
      </w:r>
      <w:r w:rsidRPr="00347710">
        <w:tab/>
      </w:r>
      <w:r w:rsidRPr="00347710">
        <w:tab/>
      </w:r>
      <w:r w:rsidRPr="00347710">
        <w:tab/>
        <w:t>Directorate of Security Forces</w:t>
      </w:r>
    </w:p>
    <w:p w14:paraId="198C7CB8" w14:textId="77777777" w:rsidR="00281416" w:rsidRPr="00347710" w:rsidRDefault="00281416" w:rsidP="009539BD">
      <w:r w:rsidRPr="00347710">
        <w:tab/>
      </w:r>
      <w:r w:rsidRPr="00347710">
        <w:tab/>
      </w:r>
      <w:r w:rsidRPr="00347710">
        <w:tab/>
      </w:r>
      <w:r w:rsidRPr="00347710">
        <w:tab/>
      </w:r>
      <w:r w:rsidRPr="00347710">
        <w:tab/>
        <w:t>Programs &amp; Resources Division (A7SX)</w:t>
      </w:r>
    </w:p>
    <w:p w14:paraId="3D994BA7" w14:textId="77777777" w:rsidR="00281416" w:rsidRPr="00347710" w:rsidRDefault="00281416" w:rsidP="009539BD">
      <w:r w:rsidRPr="00347710">
        <w:tab/>
      </w:r>
      <w:r w:rsidRPr="00347710">
        <w:tab/>
      </w:r>
      <w:r w:rsidRPr="00347710">
        <w:tab/>
      </w:r>
      <w:r w:rsidRPr="00347710">
        <w:tab/>
      </w:r>
      <w:r w:rsidRPr="00347710">
        <w:tab/>
        <w:t>1340 AF Pentagon</w:t>
      </w:r>
    </w:p>
    <w:p w14:paraId="3CF810F9" w14:textId="77777777" w:rsidR="00281416" w:rsidRPr="00347710" w:rsidRDefault="00281416" w:rsidP="009539BD">
      <w:r w:rsidRPr="00347710">
        <w:tab/>
      </w:r>
      <w:r w:rsidRPr="00347710">
        <w:tab/>
      </w:r>
      <w:r w:rsidRPr="00347710">
        <w:tab/>
      </w:r>
      <w:r w:rsidRPr="00347710">
        <w:tab/>
      </w:r>
      <w:r w:rsidRPr="00347710">
        <w:tab/>
        <w:t>Washington, DC  20330</w:t>
      </w:r>
    </w:p>
    <w:p w14:paraId="13AFE8FE" w14:textId="77777777" w:rsidR="00281416" w:rsidRDefault="00281416" w:rsidP="009539BD">
      <w:r w:rsidRPr="00347710">
        <w:tab/>
      </w:r>
      <w:r w:rsidRPr="00347710">
        <w:tab/>
      </w:r>
      <w:r w:rsidRPr="00347710">
        <w:tab/>
      </w:r>
      <w:r w:rsidRPr="00347710">
        <w:tab/>
      </w:r>
      <w:r w:rsidRPr="00347710">
        <w:tab/>
        <w:t>Phone:  703-588-0027 or 703-588-0012.</w:t>
      </w:r>
    </w:p>
    <w:p w14:paraId="5E8A0527" w14:textId="77777777" w:rsidR="00281416" w:rsidRPr="00347710" w:rsidRDefault="00281416" w:rsidP="009539BD">
      <w:pPr>
        <w:pStyle w:val="List4"/>
      </w:pPr>
      <w:r>
        <w:rPr>
          <w:szCs w:val="24"/>
        </w:rPr>
        <w:br/>
      </w:r>
      <w:r w:rsidRPr="00347710">
        <w:rPr>
          <w:szCs w:val="24"/>
        </w:rPr>
        <w:t>(E)  Pentagon Force Protection Agency:</w:t>
      </w:r>
    </w:p>
    <w:p w14:paraId="6FF4A1CD" w14:textId="77777777" w:rsidR="00281416" w:rsidRPr="00347710" w:rsidRDefault="00281416" w:rsidP="009539BD">
      <w:r w:rsidRPr="00347710">
        <w:rPr>
          <w:szCs w:val="24"/>
        </w:rPr>
        <w:lastRenderedPageBreak/>
        <w:tab/>
      </w:r>
      <w:r w:rsidRPr="00347710">
        <w:rPr>
          <w:szCs w:val="24"/>
        </w:rPr>
        <w:tab/>
      </w:r>
      <w:r w:rsidRPr="00347710">
        <w:rPr>
          <w:szCs w:val="24"/>
        </w:rPr>
        <w:tab/>
      </w:r>
      <w:r w:rsidRPr="00347710">
        <w:rPr>
          <w:szCs w:val="24"/>
        </w:rPr>
        <w:tab/>
      </w:r>
      <w:r w:rsidRPr="00347710">
        <w:rPr>
          <w:szCs w:val="24"/>
        </w:rPr>
        <w:tab/>
        <w:t>Pentagon Force Protection Agency</w:t>
      </w:r>
    </w:p>
    <w:p w14:paraId="16F02040" w14:textId="77777777" w:rsidR="00281416" w:rsidRPr="00347710" w:rsidRDefault="00281416" w:rsidP="009539BD">
      <w:r w:rsidRPr="00347710">
        <w:tab/>
      </w:r>
      <w:r w:rsidRPr="00347710">
        <w:tab/>
      </w:r>
      <w:r w:rsidRPr="00347710">
        <w:tab/>
      </w:r>
      <w:r w:rsidRPr="00347710">
        <w:tab/>
      </w:r>
      <w:r w:rsidRPr="00347710">
        <w:tab/>
        <w:t>9000 Defense Pentagon</w:t>
      </w:r>
    </w:p>
    <w:p w14:paraId="1511E496" w14:textId="77777777" w:rsidR="00281416" w:rsidRPr="00347710" w:rsidRDefault="00281416" w:rsidP="009539BD">
      <w:r w:rsidRPr="00347710">
        <w:tab/>
      </w:r>
      <w:r w:rsidRPr="00347710">
        <w:tab/>
      </w:r>
      <w:r w:rsidRPr="00347710">
        <w:tab/>
      </w:r>
      <w:r w:rsidRPr="00347710">
        <w:tab/>
      </w:r>
      <w:r w:rsidRPr="00347710">
        <w:tab/>
        <w:t>Washington, DC  20301</w:t>
      </w:r>
    </w:p>
    <w:p w14:paraId="6A7AFDD8" w14:textId="77777777" w:rsidR="00281416" w:rsidRDefault="00281416" w:rsidP="009539BD">
      <w:r w:rsidRPr="00347710">
        <w:tab/>
      </w:r>
      <w:r w:rsidRPr="00347710">
        <w:tab/>
      </w:r>
      <w:r w:rsidRPr="00347710">
        <w:tab/>
      </w:r>
      <w:r w:rsidRPr="00347710">
        <w:tab/>
      </w:r>
      <w:r w:rsidRPr="00347710">
        <w:tab/>
        <w:t>Phone:  703-693-3685.</w:t>
      </w:r>
    </w:p>
    <w:p w14:paraId="0B693FE2" w14:textId="77777777" w:rsidR="00281416" w:rsidRDefault="00281416" w:rsidP="009539BD">
      <w:pPr>
        <w:pStyle w:val="Heading4"/>
      </w:pPr>
      <w:r>
        <w:br/>
      </w:r>
      <w:bookmarkStart w:id="7" w:name="_Toc37677698"/>
      <w:bookmarkStart w:id="8" w:name="_Toc37756754"/>
      <w:r w:rsidRPr="00347710">
        <w:rPr>
          <w:b/>
        </w:rPr>
        <w:t>PGI 237.102-</w:t>
      </w:r>
      <w:proofErr w:type="gramStart"/>
      <w:r w:rsidRPr="00347710">
        <w:rPr>
          <w:b/>
        </w:rPr>
        <w:t>71  Limitation</w:t>
      </w:r>
      <w:proofErr w:type="gramEnd"/>
      <w:r w:rsidRPr="00347710">
        <w:rPr>
          <w:b/>
        </w:rPr>
        <w:t xml:space="preserve"> on service contracts for military flight simulators.</w:t>
      </w:r>
      <w:bookmarkEnd w:id="7"/>
      <w:bookmarkEnd w:id="8"/>
    </w:p>
    <w:p w14:paraId="5FC4709B" w14:textId="77777777" w:rsidR="00281416" w:rsidRDefault="00281416" w:rsidP="009539BD">
      <w:pPr>
        <w:pStyle w:val="List2"/>
      </w:pPr>
      <w:r>
        <w:rPr>
          <w:b/>
          <w:szCs w:val="24"/>
        </w:rPr>
        <w:br/>
      </w:r>
      <w:r w:rsidRPr="00347710">
        <w:rPr>
          <w:szCs w:val="24"/>
        </w:rPr>
        <w:t xml:space="preserve">(1)  To process a request for waiver, the contracting officer shall submit the request and appropriate documentation relating to the requirements of DFARS </w:t>
      </w:r>
      <w:hyperlink r:id="rId7" w:anchor="237.102-71" w:history="1">
        <w:r w:rsidRPr="00DF2A82">
          <w:rPr>
            <w:rStyle w:val="Hyperlink"/>
            <w:szCs w:val="24"/>
          </w:rPr>
          <w:t>237.102-71</w:t>
        </w:r>
      </w:hyperlink>
      <w:r w:rsidRPr="00347710">
        <w:rPr>
          <w:szCs w:val="24"/>
        </w:rPr>
        <w:t>(b) to:</w:t>
      </w:r>
    </w:p>
    <w:p w14:paraId="0E20CA4C" w14:textId="77777777" w:rsidR="00281416" w:rsidRPr="00347710" w:rsidRDefault="00281416" w:rsidP="009539BD">
      <w:r>
        <w:rPr>
          <w:szCs w:val="24"/>
        </w:rPr>
        <w:br/>
      </w:r>
      <w:r>
        <w:rPr>
          <w:szCs w:val="24"/>
        </w:rPr>
        <w:tab/>
      </w:r>
      <w:r w:rsidRPr="00347710">
        <w:rPr>
          <w:szCs w:val="24"/>
        </w:rPr>
        <w:t>Director, Defense Procurement and Acquisition Policy</w:t>
      </w:r>
    </w:p>
    <w:p w14:paraId="1AFD6CE0" w14:textId="77777777" w:rsidR="00281416" w:rsidRPr="00347710" w:rsidRDefault="00281416" w:rsidP="009539BD">
      <w:r>
        <w:tab/>
      </w:r>
      <w:r w:rsidRPr="00347710">
        <w:t>ATTN:  OUSD(AT&amp;L)</w:t>
      </w:r>
      <w:r>
        <w:t xml:space="preserve"> </w:t>
      </w:r>
      <w:r w:rsidRPr="00347710">
        <w:t xml:space="preserve">DPAP/CPIC </w:t>
      </w:r>
    </w:p>
    <w:p w14:paraId="074687BF" w14:textId="77777777" w:rsidR="00281416" w:rsidRPr="00347710" w:rsidRDefault="00281416" w:rsidP="009539BD">
      <w:r>
        <w:tab/>
      </w:r>
      <w:r w:rsidRPr="00347710">
        <w:t>3060 Defense Pentagon</w:t>
      </w:r>
    </w:p>
    <w:p w14:paraId="37D270F8" w14:textId="77777777" w:rsidR="00281416" w:rsidRDefault="00281416" w:rsidP="009539BD">
      <w:r>
        <w:tab/>
      </w:r>
      <w:r w:rsidRPr="00347710">
        <w:t>Washington, DC 20301-3060</w:t>
      </w:r>
    </w:p>
    <w:p w14:paraId="1F44B7FB" w14:textId="77777777" w:rsidR="00281416" w:rsidRDefault="00281416" w:rsidP="009539BD">
      <w:r>
        <w:br/>
      </w:r>
      <w:r>
        <w:tab/>
      </w:r>
      <w:r w:rsidRPr="00347710">
        <w:t>Phone: 703-697-8334    FAX: 703-614-1254</w:t>
      </w:r>
    </w:p>
    <w:p w14:paraId="2A52E284" w14:textId="77777777" w:rsidR="00281416" w:rsidRDefault="00281416" w:rsidP="009539BD">
      <w:pPr>
        <w:pStyle w:val="List2"/>
      </w:pPr>
      <w:r>
        <w:rPr>
          <w:szCs w:val="24"/>
        </w:rPr>
        <w:br/>
      </w:r>
      <w:r w:rsidRPr="00347710">
        <w:rPr>
          <w:szCs w:val="24"/>
        </w:rPr>
        <w:t>(2)  The action officer in the Office of the Director, Defense Procurement and Acquisition Policy, Contract Policy and International Contracting (DPAP/CPIC), will process the request through the Office of the Secretary of Defense and will forward the appropriate documentation to the congressional defense committees.  The contracting officer shall not award a contract until notified by the DPAP/CPIC action officer that the waiver has been approved, the appropriate documentation has been transmitted to the congressional defense committees, and the required 30 days have passed.</w:t>
      </w:r>
    </w:p>
    <w:p w14:paraId="48C89C9F" w14:textId="77777777" w:rsidR="00281416" w:rsidRPr="00732492" w:rsidRDefault="00281416" w:rsidP="009539BD">
      <w:pPr>
        <w:pStyle w:val="Heading4"/>
      </w:pPr>
      <w:r>
        <w:rPr>
          <w:szCs w:val="24"/>
        </w:rPr>
        <w:br/>
      </w:r>
      <w:bookmarkStart w:id="9" w:name="_Toc37677699"/>
      <w:bookmarkStart w:id="10" w:name="_Toc37756755"/>
      <w:r w:rsidRPr="00732492">
        <w:rPr>
          <w:spacing w:val="-5"/>
          <w:szCs w:val="24"/>
        </w:rPr>
        <w:t>PGI 237.102-</w:t>
      </w:r>
      <w:proofErr w:type="gramStart"/>
      <w:r w:rsidRPr="00732492">
        <w:rPr>
          <w:spacing w:val="-5"/>
          <w:szCs w:val="24"/>
        </w:rPr>
        <w:t>73  Prohibition</w:t>
      </w:r>
      <w:proofErr w:type="gramEnd"/>
      <w:r w:rsidRPr="00732492">
        <w:rPr>
          <w:spacing w:val="-5"/>
          <w:szCs w:val="24"/>
        </w:rPr>
        <w:t xml:space="preserve"> on contracts for services of senior mentors.</w:t>
      </w:r>
      <w:bookmarkEnd w:id="9"/>
      <w:bookmarkEnd w:id="10"/>
    </w:p>
    <w:p w14:paraId="532D6237" w14:textId="77777777" w:rsidR="00281416" w:rsidRDefault="00281416" w:rsidP="009539BD">
      <w:r w:rsidRPr="00732492">
        <w:lastRenderedPageBreak/>
        <w:t>DoD policies on senior mentors are set forth in (1) Secretary of Defense memorandum, subject:  Policy on Senior Mentors (April 1, 2010) (</w:t>
      </w:r>
      <w:r w:rsidRPr="00732492">
        <w:rPr>
          <w:i/>
        </w:rPr>
        <w:t>see</w:t>
      </w:r>
      <w:r>
        <w:rPr>
          <w:color w:val="548DD4"/>
        </w:rPr>
        <w:t xml:space="preserve"> </w:t>
      </w:r>
      <w:hyperlink r:id="rId8" w:history="1">
        <w:r w:rsidRPr="00E416AE">
          <w:rPr>
            <w:rStyle w:val="Hyperlink"/>
          </w:rPr>
          <w:t>here</w:t>
        </w:r>
      </w:hyperlink>
      <w:r>
        <w:t xml:space="preserve">) </w:t>
      </w:r>
      <w:r w:rsidRPr="00732492">
        <w:t>and (2) Deputy Secretary of Defense memorandum, subject:  Implementation Guidance on Senior Mentors Policy (July 8, 2010) (</w:t>
      </w:r>
      <w:r w:rsidRPr="00732492">
        <w:rPr>
          <w:i/>
        </w:rPr>
        <w:t>see</w:t>
      </w:r>
      <w:r>
        <w:rPr>
          <w:color w:val="548DD4"/>
        </w:rPr>
        <w:t xml:space="preserve"> </w:t>
      </w:r>
      <w:hyperlink r:id="rId9" w:history="1">
        <w:r w:rsidRPr="00E416AE">
          <w:rPr>
            <w:rStyle w:val="Hyperlink"/>
          </w:rPr>
          <w:t>here</w:t>
        </w:r>
      </w:hyperlink>
      <w:r w:rsidRPr="00732492">
        <w:t>).</w:t>
      </w:r>
    </w:p>
    <w:p w14:paraId="0F1DCBBF" w14:textId="77777777" w:rsidR="00281416" w:rsidRDefault="00281416" w:rsidP="009539BD">
      <w:pPr>
        <w:pStyle w:val="Heading4"/>
      </w:pPr>
      <w:r>
        <w:rPr>
          <w:szCs w:val="24"/>
        </w:rPr>
        <w:br/>
      </w:r>
      <w:bookmarkStart w:id="11" w:name="_Toc37677700"/>
      <w:bookmarkStart w:id="12" w:name="_Toc37756756"/>
      <w:r>
        <w:rPr>
          <w:szCs w:val="24"/>
        </w:rPr>
        <w:t>PGI 237.102-</w:t>
      </w:r>
      <w:proofErr w:type="gramStart"/>
      <w:r>
        <w:rPr>
          <w:szCs w:val="24"/>
        </w:rPr>
        <w:t>74  Taxonomy</w:t>
      </w:r>
      <w:proofErr w:type="gramEnd"/>
      <w:r>
        <w:rPr>
          <w:szCs w:val="24"/>
        </w:rPr>
        <w:t xml:space="preserve"> for the acquisition of services and supplies &amp; equipment.</w:t>
      </w:r>
      <w:bookmarkEnd w:id="11"/>
      <w:bookmarkEnd w:id="12"/>
    </w:p>
    <w:p w14:paraId="051E2A38" w14:textId="77777777" w:rsidR="00281416" w:rsidRDefault="00281416" w:rsidP="009539BD">
      <w:pPr>
        <w:rPr>
          <w:b/>
          <w:szCs w:val="24"/>
        </w:rPr>
      </w:pPr>
      <w:r w:rsidRPr="00FB41E1">
        <w:rPr>
          <w:szCs w:val="24"/>
        </w:rPr>
        <w:t xml:space="preserve">Click </w:t>
      </w:r>
      <w:hyperlink r:id="rId10" w:history="1">
        <w:r w:rsidRPr="00E416AE">
          <w:rPr>
            <w:rStyle w:val="Hyperlink"/>
            <w:szCs w:val="24"/>
          </w:rPr>
          <w:t>here</w:t>
        </w:r>
      </w:hyperlink>
      <w:r w:rsidRPr="00FB41E1">
        <w:rPr>
          <w:szCs w:val="24"/>
        </w:rPr>
        <w:t xml:space="preserve"> for </w:t>
      </w:r>
      <w:r>
        <w:rPr>
          <w:szCs w:val="24"/>
        </w:rPr>
        <w:t>OUSD(AT&amp;L) DPAP memorandum, “Taxonomy for the Acquisition of</w:t>
      </w:r>
    </w:p>
    <w:p w14:paraId="714652EC" w14:textId="77777777" w:rsidR="00281416" w:rsidRDefault="00281416" w:rsidP="00286087">
      <w:pPr>
        <w:rPr>
          <w:b/>
          <w:szCs w:val="24"/>
        </w:rPr>
      </w:pPr>
      <w:r>
        <w:rPr>
          <w:szCs w:val="24"/>
        </w:rPr>
        <w:t xml:space="preserve">Services </w:t>
      </w:r>
      <w:r w:rsidRPr="00894A6F">
        <w:rPr>
          <w:szCs w:val="24"/>
        </w:rPr>
        <w:t>and Supplies &amp; Equipment</w:t>
      </w:r>
      <w:r>
        <w:rPr>
          <w:szCs w:val="24"/>
        </w:rPr>
        <w:t xml:space="preserve">,” dated </w:t>
      </w:r>
      <w:r w:rsidRPr="00894A6F">
        <w:rPr>
          <w:szCs w:val="24"/>
        </w:rPr>
        <w:t>August 27, 2012</w:t>
      </w:r>
      <w:r>
        <w:rPr>
          <w:szCs w:val="24"/>
        </w:rPr>
        <w:t>.  A</w:t>
      </w:r>
      <w:r w:rsidRPr="00FB41E1">
        <w:rPr>
          <w:szCs w:val="24"/>
        </w:rPr>
        <w:t>n Excel version of “Acquisition of Services</w:t>
      </w:r>
      <w:r>
        <w:rPr>
          <w:szCs w:val="24"/>
        </w:rPr>
        <w:t xml:space="preserve"> </w:t>
      </w:r>
      <w:r w:rsidRPr="00894A6F">
        <w:rPr>
          <w:szCs w:val="24"/>
        </w:rPr>
        <w:t>and Supplies &amp; Equipment</w:t>
      </w:r>
      <w:r>
        <w:rPr>
          <w:szCs w:val="24"/>
        </w:rPr>
        <w:t xml:space="preserve"> </w:t>
      </w:r>
      <w:r w:rsidRPr="00FB41E1">
        <w:rPr>
          <w:szCs w:val="24"/>
        </w:rPr>
        <w:t>Taxonomy</w:t>
      </w:r>
      <w:r>
        <w:rPr>
          <w:szCs w:val="24"/>
        </w:rPr>
        <w:t xml:space="preserve">” is available </w:t>
      </w:r>
      <w:hyperlink r:id="rId11" w:history="1">
        <w:r w:rsidRPr="00E416AE">
          <w:rPr>
            <w:rStyle w:val="Hyperlink"/>
            <w:szCs w:val="24"/>
          </w:rPr>
          <w:t>here</w:t>
        </w:r>
      </w:hyperlink>
      <w:r>
        <w:rPr>
          <w:szCs w:val="24"/>
        </w:rPr>
        <w:t>.</w:t>
      </w:r>
    </w:p>
    <w:p w14:paraId="31E82ADC" w14:textId="77777777" w:rsidR="00281416" w:rsidRDefault="00281416" w:rsidP="009539BD">
      <w:pPr>
        <w:pStyle w:val="Heading4"/>
      </w:pPr>
      <w:r>
        <w:rPr>
          <w:b/>
          <w:szCs w:val="24"/>
        </w:rPr>
        <w:br/>
      </w:r>
      <w:bookmarkStart w:id="13" w:name="_Toc37677701"/>
      <w:bookmarkStart w:id="14" w:name="_Toc37756757"/>
      <w:r w:rsidRPr="00410F98">
        <w:rPr>
          <w:szCs w:val="24"/>
        </w:rPr>
        <w:t>PGI 237.102-</w:t>
      </w:r>
      <w:proofErr w:type="gramStart"/>
      <w:r w:rsidRPr="00410F98">
        <w:rPr>
          <w:szCs w:val="24"/>
        </w:rPr>
        <w:t xml:space="preserve">75 </w:t>
      </w:r>
      <w:r>
        <w:rPr>
          <w:szCs w:val="24"/>
        </w:rPr>
        <w:t xml:space="preserve"> Defense</w:t>
      </w:r>
      <w:proofErr w:type="gramEnd"/>
      <w:r>
        <w:rPr>
          <w:szCs w:val="24"/>
        </w:rPr>
        <w:t xml:space="preserve"> Acquisition Guidebook</w:t>
      </w:r>
      <w:r w:rsidRPr="00410F98">
        <w:rPr>
          <w:szCs w:val="24"/>
        </w:rPr>
        <w:t>.</w:t>
      </w:r>
      <w:bookmarkEnd w:id="13"/>
      <w:bookmarkEnd w:id="14"/>
    </w:p>
    <w:p w14:paraId="32C10EF7" w14:textId="77777777" w:rsidR="00281416" w:rsidRDefault="00281416" w:rsidP="00286087">
      <w:pPr>
        <w:rPr>
          <w:b/>
          <w:szCs w:val="24"/>
        </w:rPr>
      </w:pPr>
      <w:r w:rsidRPr="00D86271">
        <w:rPr>
          <w:szCs w:val="24"/>
        </w:rPr>
        <w:t xml:space="preserve">The Defense Acquisition Guidebook, Chapter </w:t>
      </w:r>
      <w:r>
        <w:rPr>
          <w:szCs w:val="24"/>
        </w:rPr>
        <w:t>10</w:t>
      </w:r>
      <w:r w:rsidRPr="00D86271">
        <w:rPr>
          <w:szCs w:val="24"/>
        </w:rPr>
        <w:t xml:space="preserve">, Acquisition of Services, is available via the internet at </w:t>
      </w:r>
      <w:hyperlink r:id="rId12" w:history="1">
        <w:r w:rsidRPr="002958B8">
          <w:rPr>
            <w:rStyle w:val="Hyperlink"/>
            <w:szCs w:val="24"/>
          </w:rPr>
          <w:t>https://www.dau.mil/tools/dag</w:t>
        </w:r>
      </w:hyperlink>
      <w:r w:rsidRPr="00D86271">
        <w:rPr>
          <w:szCs w:val="24"/>
        </w:rPr>
        <w:t>.  Chapter 1</w:t>
      </w:r>
      <w:r>
        <w:rPr>
          <w:szCs w:val="24"/>
        </w:rPr>
        <w:t xml:space="preserve">0 </w:t>
      </w:r>
      <w:r w:rsidRPr="00D86271">
        <w:rPr>
          <w:szCs w:val="24"/>
        </w:rPr>
        <w:t>provides acquisition teams with a step-by-step guide explaining the process of acquiring services.</w:t>
      </w:r>
    </w:p>
    <w:p w14:paraId="3367F9CA" w14:textId="77777777" w:rsidR="00281416" w:rsidRDefault="00281416" w:rsidP="009539BD">
      <w:pPr>
        <w:pStyle w:val="Heading4"/>
      </w:pPr>
      <w:r>
        <w:rPr>
          <w:b/>
          <w:szCs w:val="24"/>
        </w:rPr>
        <w:br/>
      </w:r>
      <w:bookmarkStart w:id="15" w:name="_Toc37677702"/>
      <w:bookmarkStart w:id="16" w:name="_Toc37756758"/>
      <w:r w:rsidRPr="00410F98">
        <w:rPr>
          <w:szCs w:val="24"/>
        </w:rPr>
        <w:t>PGI 237.102-</w:t>
      </w:r>
      <w:proofErr w:type="gramStart"/>
      <w:r w:rsidRPr="00410F98">
        <w:rPr>
          <w:szCs w:val="24"/>
        </w:rPr>
        <w:t>7</w:t>
      </w:r>
      <w:r>
        <w:rPr>
          <w:szCs w:val="24"/>
        </w:rPr>
        <w:t>6</w:t>
      </w:r>
      <w:r w:rsidRPr="00410F98">
        <w:rPr>
          <w:szCs w:val="24"/>
        </w:rPr>
        <w:t xml:space="preserve"> </w:t>
      </w:r>
      <w:r>
        <w:rPr>
          <w:szCs w:val="24"/>
        </w:rPr>
        <w:t xml:space="preserve"> Review</w:t>
      </w:r>
      <w:proofErr w:type="gramEnd"/>
      <w:r>
        <w:rPr>
          <w:szCs w:val="24"/>
        </w:rPr>
        <w:t xml:space="preserve"> criteria</w:t>
      </w:r>
      <w:r w:rsidRPr="00410F98">
        <w:rPr>
          <w:szCs w:val="24"/>
        </w:rPr>
        <w:t xml:space="preserve"> for the acquisition of services.</w:t>
      </w:r>
      <w:bookmarkEnd w:id="15"/>
      <w:bookmarkEnd w:id="16"/>
    </w:p>
    <w:p w14:paraId="36E68EFA" w14:textId="77777777" w:rsidR="00281416" w:rsidRDefault="00281416" w:rsidP="00286087">
      <w:pPr>
        <w:rPr>
          <w:b/>
          <w:szCs w:val="24"/>
        </w:rPr>
      </w:pPr>
      <w:r w:rsidRPr="00BE57E1">
        <w:rPr>
          <w:szCs w:val="24"/>
        </w:rPr>
        <w:t xml:space="preserve">The tenets of the DoD-wide architecture for the acquisition of services along with the associated review criteria are available </w:t>
      </w:r>
      <w:hyperlink r:id="rId13" w:history="1">
        <w:r w:rsidRPr="00A93A29">
          <w:rPr>
            <w:rStyle w:val="Hyperlink"/>
            <w:szCs w:val="24"/>
          </w:rPr>
          <w:t>here</w:t>
        </w:r>
      </w:hyperlink>
      <w:r w:rsidRPr="00BE57E1">
        <w:rPr>
          <w:szCs w:val="24"/>
        </w:rPr>
        <w:t xml:space="preserve">.  These matrices are to be used when conducting reviews in the </w:t>
      </w:r>
      <w:proofErr w:type="spellStart"/>
      <w:r w:rsidRPr="00BE57E1">
        <w:rPr>
          <w:szCs w:val="24"/>
        </w:rPr>
        <w:t>preaward</w:t>
      </w:r>
      <w:proofErr w:type="spellEnd"/>
      <w:r w:rsidRPr="00BE57E1">
        <w:rPr>
          <w:szCs w:val="24"/>
        </w:rPr>
        <w:t xml:space="preserve"> phase (Review/Approval of Acquisition Strategies or </w:t>
      </w:r>
      <w:proofErr w:type="spellStart"/>
      <w:r w:rsidRPr="00BE57E1">
        <w:rPr>
          <w:szCs w:val="24"/>
        </w:rPr>
        <w:t>Pre</w:t>
      </w:r>
      <w:r>
        <w:rPr>
          <w:szCs w:val="24"/>
        </w:rPr>
        <w:t>a</w:t>
      </w:r>
      <w:r w:rsidRPr="00BE57E1">
        <w:rPr>
          <w:szCs w:val="24"/>
        </w:rPr>
        <w:t>ward</w:t>
      </w:r>
      <w:proofErr w:type="spellEnd"/>
      <w:r w:rsidRPr="00BE57E1">
        <w:rPr>
          <w:szCs w:val="24"/>
        </w:rPr>
        <w:t xml:space="preserve"> Peer Reviews</w:t>
      </w:r>
      <w:r>
        <w:rPr>
          <w:szCs w:val="24"/>
        </w:rPr>
        <w:t>)</w:t>
      </w:r>
      <w:r w:rsidRPr="00BE57E1">
        <w:rPr>
          <w:szCs w:val="24"/>
        </w:rPr>
        <w:t xml:space="preserve"> an</w:t>
      </w:r>
      <w:r>
        <w:rPr>
          <w:szCs w:val="24"/>
        </w:rPr>
        <w:t xml:space="preserve">d in the </w:t>
      </w:r>
      <w:proofErr w:type="spellStart"/>
      <w:r>
        <w:rPr>
          <w:szCs w:val="24"/>
        </w:rPr>
        <w:t>postaward</w:t>
      </w:r>
      <w:proofErr w:type="spellEnd"/>
      <w:r>
        <w:rPr>
          <w:szCs w:val="24"/>
        </w:rPr>
        <w:t xml:space="preserve"> phase (</w:t>
      </w:r>
      <w:proofErr w:type="spellStart"/>
      <w:r>
        <w:rPr>
          <w:szCs w:val="24"/>
        </w:rPr>
        <w:t>Posta</w:t>
      </w:r>
      <w:r w:rsidRPr="00BE57E1">
        <w:rPr>
          <w:szCs w:val="24"/>
        </w:rPr>
        <w:t>ward</w:t>
      </w:r>
      <w:proofErr w:type="spellEnd"/>
      <w:r w:rsidRPr="00BE57E1">
        <w:rPr>
          <w:szCs w:val="24"/>
        </w:rPr>
        <w:t xml:space="preserve"> Peer Reviews</w:t>
      </w:r>
      <w:r>
        <w:rPr>
          <w:szCs w:val="24"/>
        </w:rPr>
        <w:t xml:space="preserve">).  See </w:t>
      </w:r>
      <w:r w:rsidRPr="00A93A29">
        <w:rPr>
          <w:szCs w:val="24"/>
        </w:rPr>
        <w:t xml:space="preserve">DFARS </w:t>
      </w:r>
      <w:hyperlink r:id="rId14" w:anchor="201.170" w:history="1">
        <w:r w:rsidRPr="00A93A29">
          <w:rPr>
            <w:rStyle w:val="Hyperlink"/>
            <w:szCs w:val="24"/>
          </w:rPr>
          <w:t>201.170</w:t>
        </w:r>
      </w:hyperlink>
      <w:r>
        <w:rPr>
          <w:szCs w:val="24"/>
        </w:rPr>
        <w:t>, Peer reviews, and</w:t>
      </w:r>
      <w:r w:rsidRPr="006B2E0C">
        <w:rPr>
          <w:color w:val="0070C0"/>
          <w:szCs w:val="24"/>
        </w:rPr>
        <w:t xml:space="preserve"> </w:t>
      </w:r>
      <w:hyperlink r:id="rId15" w:anchor="201.170" w:history="1">
        <w:r w:rsidRPr="005916E9">
          <w:rPr>
            <w:rStyle w:val="Hyperlink"/>
            <w:szCs w:val="24"/>
          </w:rPr>
          <w:t>PGI 201.170</w:t>
        </w:r>
      </w:hyperlink>
      <w:r w:rsidRPr="00A93A29">
        <w:rPr>
          <w:szCs w:val="24"/>
        </w:rPr>
        <w:t>,</w:t>
      </w:r>
      <w:r w:rsidRPr="006B2E0C">
        <w:rPr>
          <w:color w:val="0070C0"/>
          <w:szCs w:val="24"/>
        </w:rPr>
        <w:t xml:space="preserve"> </w:t>
      </w:r>
      <w:r w:rsidRPr="00D94498">
        <w:rPr>
          <w:szCs w:val="24"/>
        </w:rPr>
        <w:t xml:space="preserve">Peer </w:t>
      </w:r>
      <w:r>
        <w:rPr>
          <w:szCs w:val="24"/>
        </w:rPr>
        <w:t>r</w:t>
      </w:r>
      <w:r w:rsidRPr="00D94498">
        <w:rPr>
          <w:szCs w:val="24"/>
        </w:rPr>
        <w:t>eviews</w:t>
      </w:r>
      <w:r>
        <w:rPr>
          <w:szCs w:val="24"/>
        </w:rPr>
        <w:t>.</w:t>
      </w:r>
    </w:p>
    <w:p w14:paraId="4607E96E" w14:textId="77777777" w:rsidR="00281416" w:rsidRPr="0012719C" w:rsidRDefault="00281416" w:rsidP="009539BD">
      <w:pPr>
        <w:pStyle w:val="Heading4"/>
      </w:pPr>
      <w:r>
        <w:rPr>
          <w:b/>
          <w:szCs w:val="24"/>
        </w:rPr>
        <w:br/>
      </w:r>
      <w:bookmarkStart w:id="17" w:name="_Toc37677703"/>
      <w:bookmarkStart w:id="18" w:name="_Toc37756759"/>
      <w:r w:rsidRPr="0012719C">
        <w:rPr>
          <w:szCs w:val="24"/>
        </w:rPr>
        <w:t>PGI 237.102-</w:t>
      </w:r>
      <w:proofErr w:type="gramStart"/>
      <w:r w:rsidRPr="0012719C">
        <w:rPr>
          <w:szCs w:val="24"/>
        </w:rPr>
        <w:t xml:space="preserve">77  </w:t>
      </w:r>
      <w:r>
        <w:rPr>
          <w:szCs w:val="24"/>
        </w:rPr>
        <w:t>Acquisition</w:t>
      </w:r>
      <w:proofErr w:type="gramEnd"/>
      <w:r w:rsidRPr="0012719C">
        <w:rPr>
          <w:szCs w:val="24"/>
        </w:rPr>
        <w:t xml:space="preserve"> </w:t>
      </w:r>
      <w:r>
        <w:rPr>
          <w:szCs w:val="24"/>
        </w:rPr>
        <w:t>r</w:t>
      </w:r>
      <w:r w:rsidRPr="0012719C">
        <w:rPr>
          <w:szCs w:val="24"/>
        </w:rPr>
        <w:t xml:space="preserve">equirements </w:t>
      </w:r>
      <w:r>
        <w:rPr>
          <w:szCs w:val="24"/>
        </w:rPr>
        <w:t>r</w:t>
      </w:r>
      <w:r w:rsidRPr="0012719C">
        <w:rPr>
          <w:szCs w:val="24"/>
        </w:rPr>
        <w:t xml:space="preserve">oadmap </w:t>
      </w:r>
      <w:r>
        <w:rPr>
          <w:szCs w:val="24"/>
        </w:rPr>
        <w:t>t</w:t>
      </w:r>
      <w:r w:rsidRPr="0012719C">
        <w:rPr>
          <w:szCs w:val="24"/>
        </w:rPr>
        <w:t>ool.</w:t>
      </w:r>
      <w:bookmarkEnd w:id="17"/>
      <w:bookmarkEnd w:id="18"/>
    </w:p>
    <w:p w14:paraId="38930E48" w14:textId="77777777" w:rsidR="00281416" w:rsidRDefault="00281416" w:rsidP="009B254E">
      <w:pPr>
        <w:rPr>
          <w:b/>
          <w:szCs w:val="24"/>
        </w:rPr>
      </w:pPr>
      <w:r w:rsidRPr="00491581">
        <w:rPr>
          <w:szCs w:val="24"/>
        </w:rPr>
        <w:t xml:space="preserve">The </w:t>
      </w:r>
      <w:r>
        <w:rPr>
          <w:szCs w:val="24"/>
        </w:rPr>
        <w:t>Acquisition</w:t>
      </w:r>
      <w:r w:rsidRPr="00491581">
        <w:rPr>
          <w:szCs w:val="24"/>
        </w:rPr>
        <w:t xml:space="preserve"> Requirements Roadmap Tool (ARRT) is a tool that enables requiring activities to develop and organize performance requirements into draft versions of the performance work statement, the quality assurance surveillance plan, and the performance requirements summary.  ARRT provides a standard template for these documents and some default text that can be modified to reflect a </w:t>
      </w:r>
      <w:proofErr w:type="gramStart"/>
      <w:r w:rsidRPr="00491581">
        <w:rPr>
          <w:szCs w:val="24"/>
        </w:rPr>
        <w:t>particular requirement</w:t>
      </w:r>
      <w:proofErr w:type="gramEnd"/>
      <w:r w:rsidRPr="00491581">
        <w:rPr>
          <w:szCs w:val="24"/>
        </w:rPr>
        <w:t xml:space="preserve">.  This tool should be used to prepare </w:t>
      </w:r>
      <w:r>
        <w:rPr>
          <w:szCs w:val="24"/>
        </w:rPr>
        <w:t xml:space="preserve">these </w:t>
      </w:r>
      <w:r w:rsidRPr="00491581">
        <w:rPr>
          <w:szCs w:val="24"/>
        </w:rPr>
        <w:lastRenderedPageBreak/>
        <w:t>documents for all performance-based acquisitions for services.  ARRT is available for download at</w:t>
      </w:r>
      <w:r>
        <w:rPr>
          <w:szCs w:val="24"/>
        </w:rPr>
        <w:t xml:space="preserve"> </w:t>
      </w:r>
      <w:hyperlink r:id="rId16" w:history="1">
        <w:r w:rsidRPr="00286087">
          <w:rPr>
            <w:rStyle w:val="Hyperlink"/>
            <w:szCs w:val="24"/>
          </w:rPr>
          <w:t>https://www.dau.edu/tools/Documents/SAM/resources/ARRT_Home.html</w:t>
        </w:r>
      </w:hyperlink>
      <w:r>
        <w:rPr>
          <w:szCs w:val="24"/>
        </w:rPr>
        <w:t>.</w:t>
      </w:r>
    </w:p>
    <w:p w14:paraId="7C97BA84" w14:textId="77777777" w:rsidR="00281416" w:rsidRPr="001677A5" w:rsidRDefault="00281416" w:rsidP="009539BD">
      <w:pPr>
        <w:pStyle w:val="Heading4"/>
      </w:pPr>
      <w:r>
        <w:rPr>
          <w:b/>
          <w:szCs w:val="24"/>
        </w:rPr>
        <w:br/>
      </w:r>
      <w:bookmarkStart w:id="19" w:name="_Toc37677704"/>
      <w:bookmarkStart w:id="20" w:name="_Toc37756760"/>
      <w:r>
        <w:rPr>
          <w:szCs w:val="24"/>
        </w:rPr>
        <w:t xml:space="preserve">PGI </w:t>
      </w:r>
      <w:r w:rsidRPr="001677A5">
        <w:rPr>
          <w:szCs w:val="24"/>
        </w:rPr>
        <w:t>237.102-</w:t>
      </w:r>
      <w:proofErr w:type="gramStart"/>
      <w:r w:rsidRPr="001677A5">
        <w:rPr>
          <w:szCs w:val="24"/>
        </w:rPr>
        <w:t>78  Market</w:t>
      </w:r>
      <w:proofErr w:type="gramEnd"/>
      <w:r w:rsidRPr="001677A5">
        <w:rPr>
          <w:szCs w:val="24"/>
        </w:rPr>
        <w:t xml:space="preserve"> research report guide for improving the tradecraft in services acquisition.</w:t>
      </w:r>
      <w:bookmarkEnd w:id="19"/>
      <w:bookmarkEnd w:id="20"/>
    </w:p>
    <w:p w14:paraId="63DB5C67" w14:textId="77777777" w:rsidR="00281416" w:rsidRDefault="00281416" w:rsidP="00286087">
      <w:pPr>
        <w:rPr>
          <w:b/>
          <w:szCs w:val="24"/>
        </w:rPr>
      </w:pPr>
      <w:r>
        <w:rPr>
          <w:szCs w:val="24"/>
        </w:rPr>
        <w:t xml:space="preserve">See </w:t>
      </w:r>
      <w:hyperlink r:id="rId17" w:anchor="210.070" w:history="1">
        <w:r w:rsidRPr="005916E9">
          <w:rPr>
            <w:rStyle w:val="Hyperlink"/>
            <w:szCs w:val="24"/>
          </w:rPr>
          <w:t>PGI 210.070</w:t>
        </w:r>
      </w:hyperlink>
      <w:r>
        <w:rPr>
          <w:szCs w:val="24"/>
        </w:rPr>
        <w:t xml:space="preserve"> for guidance on use of the market research report guide to conduct and document market research for service acquisitions.</w:t>
      </w:r>
    </w:p>
    <w:p w14:paraId="7174BE65" w14:textId="77777777" w:rsidR="00281416" w:rsidRPr="00287712" w:rsidRDefault="00281416" w:rsidP="009539BD">
      <w:pPr>
        <w:pStyle w:val="Heading4"/>
      </w:pPr>
      <w:r>
        <w:rPr>
          <w:b/>
          <w:szCs w:val="24"/>
        </w:rPr>
        <w:br/>
      </w:r>
      <w:bookmarkStart w:id="21" w:name="_Toc37677705"/>
      <w:bookmarkStart w:id="22" w:name="_Toc37756761"/>
      <w:r w:rsidRPr="00287712">
        <w:rPr>
          <w:szCs w:val="24"/>
        </w:rPr>
        <w:t>PGI 237.102-</w:t>
      </w:r>
      <w:proofErr w:type="gramStart"/>
      <w:r w:rsidRPr="00287712">
        <w:rPr>
          <w:szCs w:val="24"/>
        </w:rPr>
        <w:t>79  Private</w:t>
      </w:r>
      <w:proofErr w:type="gramEnd"/>
      <w:r w:rsidRPr="00287712">
        <w:rPr>
          <w:szCs w:val="24"/>
        </w:rPr>
        <w:t xml:space="preserve"> sector notification requirements in support of in-sourcing actions.</w:t>
      </w:r>
      <w:bookmarkEnd w:id="21"/>
      <w:bookmarkEnd w:id="22"/>
    </w:p>
    <w:p w14:paraId="26B926DF" w14:textId="77777777" w:rsidR="00281416" w:rsidRDefault="00281416" w:rsidP="00286087">
      <w:pPr>
        <w:rPr>
          <w:b/>
          <w:szCs w:val="24"/>
        </w:rPr>
      </w:pPr>
      <w:r w:rsidRPr="00287712">
        <w:rPr>
          <w:szCs w:val="24"/>
        </w:rPr>
        <w:t xml:space="preserve">Click </w:t>
      </w:r>
      <w:hyperlink r:id="rId18" w:history="1">
        <w:r w:rsidRPr="00FA58F6">
          <w:rPr>
            <w:rStyle w:val="Hyperlink"/>
            <w:szCs w:val="24"/>
          </w:rPr>
          <w:t>here</w:t>
        </w:r>
      </w:hyperlink>
      <w:r w:rsidRPr="00287712">
        <w:rPr>
          <w:szCs w:val="24"/>
        </w:rPr>
        <w:t xml:space="preserve"> for OUSD(RFM) memorandum, “Private Sector Notification Requirements in Support of In-sourcing Actions,” dated January 29, 2013.</w:t>
      </w:r>
    </w:p>
    <w:p w14:paraId="28150E5B" w14:textId="77777777" w:rsidR="00281416" w:rsidRDefault="00281416" w:rsidP="009539BD">
      <w:pPr>
        <w:pStyle w:val="Heading3"/>
      </w:pPr>
      <w:r>
        <w:rPr>
          <w:b/>
          <w:szCs w:val="24"/>
        </w:rPr>
        <w:br/>
      </w:r>
      <w:bookmarkStart w:id="23" w:name="_Toc37415864"/>
      <w:bookmarkStart w:id="24" w:name="_Toc37677706"/>
      <w:bookmarkStart w:id="25" w:name="_Toc37756762"/>
      <w:r w:rsidRPr="00347710">
        <w:rPr>
          <w:szCs w:val="24"/>
        </w:rPr>
        <w:t xml:space="preserve">PGI </w:t>
      </w:r>
      <w:proofErr w:type="gramStart"/>
      <w:r w:rsidRPr="00347710">
        <w:rPr>
          <w:szCs w:val="24"/>
        </w:rPr>
        <w:t>237.171  Training</w:t>
      </w:r>
      <w:proofErr w:type="gramEnd"/>
      <w:r w:rsidRPr="00347710">
        <w:rPr>
          <w:szCs w:val="24"/>
        </w:rPr>
        <w:t xml:space="preserve"> for contractor personnel interacting with detainees.</w:t>
      </w:r>
      <w:bookmarkEnd w:id="23"/>
      <w:bookmarkEnd w:id="24"/>
      <w:bookmarkEnd w:id="25"/>
    </w:p>
    <w:p w14:paraId="4AD48EA0" w14:textId="77777777" w:rsidR="00281416" w:rsidRDefault="00281416" w:rsidP="009539BD">
      <w:pPr>
        <w:pStyle w:val="Heading4"/>
      </w:pPr>
      <w:r>
        <w:rPr>
          <w:szCs w:val="24"/>
        </w:rPr>
        <w:br/>
      </w:r>
      <w:bookmarkStart w:id="26" w:name="_Toc37677707"/>
      <w:bookmarkStart w:id="27" w:name="_Toc37756763"/>
      <w:r>
        <w:rPr>
          <w:szCs w:val="24"/>
        </w:rPr>
        <w:t>PGI 237.171-</w:t>
      </w:r>
      <w:proofErr w:type="gramStart"/>
      <w:r>
        <w:rPr>
          <w:szCs w:val="24"/>
        </w:rPr>
        <w:t>3  Policy</w:t>
      </w:r>
      <w:proofErr w:type="gramEnd"/>
      <w:r>
        <w:rPr>
          <w:szCs w:val="24"/>
        </w:rPr>
        <w:t>.</w:t>
      </w:r>
      <w:bookmarkEnd w:id="26"/>
      <w:bookmarkEnd w:id="27"/>
    </w:p>
    <w:p w14:paraId="57707A99" w14:textId="77777777" w:rsidR="00281416" w:rsidRDefault="00281416" w:rsidP="00286087">
      <w:pPr>
        <w:rPr>
          <w:b/>
          <w:szCs w:val="24"/>
        </w:rPr>
      </w:pPr>
      <w:r>
        <w:rPr>
          <w:szCs w:val="24"/>
        </w:rPr>
        <w:br/>
      </w:r>
      <w:r w:rsidRPr="00347710">
        <w:rPr>
          <w:szCs w:val="24"/>
        </w:rPr>
        <w:t>(b)(</w:t>
      </w:r>
      <w:proofErr w:type="spellStart"/>
      <w:r w:rsidRPr="00347710">
        <w:rPr>
          <w:szCs w:val="24"/>
        </w:rPr>
        <w:t>i</w:t>
      </w:r>
      <w:proofErr w:type="spellEnd"/>
      <w:proofErr w:type="gramStart"/>
      <w:r w:rsidRPr="00347710">
        <w:rPr>
          <w:szCs w:val="24"/>
        </w:rPr>
        <w:t xml:space="preserve">)  </w:t>
      </w:r>
      <w:r w:rsidRPr="00347710">
        <w:rPr>
          <w:i/>
          <w:szCs w:val="24"/>
        </w:rPr>
        <w:t>Geographic</w:t>
      </w:r>
      <w:proofErr w:type="gramEnd"/>
      <w:r w:rsidRPr="00347710">
        <w:rPr>
          <w:i/>
          <w:szCs w:val="24"/>
        </w:rPr>
        <w:t xml:space="preserve"> areas of responsibility.</w:t>
      </w:r>
      <w:r w:rsidRPr="00347710">
        <w:rPr>
          <w:szCs w:val="24"/>
        </w:rPr>
        <w:t xml:space="preserve">  </w:t>
      </w:r>
      <w:proofErr w:type="gramStart"/>
      <w:r w:rsidRPr="00347710">
        <w:rPr>
          <w:szCs w:val="24"/>
        </w:rPr>
        <w:t>With regard to</w:t>
      </w:r>
      <w:proofErr w:type="gramEnd"/>
      <w:r w:rsidRPr="00347710">
        <w:rPr>
          <w:szCs w:val="24"/>
        </w:rPr>
        <w:t xml:space="preserve"> training for contractor personnel interacting with detainees—</w:t>
      </w:r>
    </w:p>
    <w:p w14:paraId="111C1DB2" w14:textId="77777777" w:rsidR="00281416" w:rsidRDefault="00281416" w:rsidP="009539BD">
      <w:pPr>
        <w:pStyle w:val="List4"/>
        <w:rPr>
          <w:b/>
        </w:rPr>
      </w:pPr>
      <w:r>
        <w:rPr>
          <w:b/>
          <w:szCs w:val="24"/>
        </w:rPr>
        <w:br/>
      </w:r>
      <w:r w:rsidRPr="00347710">
        <w:rPr>
          <w:szCs w:val="24"/>
        </w:rPr>
        <w:t>(A)  The Commander, U.S. Southern Command, is responsible for the U.S. military detention center at Guantanamo Bay, Cuba.</w:t>
      </w:r>
    </w:p>
    <w:p w14:paraId="7EABEE88" w14:textId="77777777" w:rsidR="00281416" w:rsidRDefault="00281416" w:rsidP="009539BD">
      <w:pPr>
        <w:pStyle w:val="List4"/>
        <w:rPr>
          <w:b/>
        </w:rPr>
      </w:pPr>
      <w:r>
        <w:rPr>
          <w:b/>
          <w:szCs w:val="24"/>
        </w:rPr>
        <w:br/>
      </w:r>
      <w:r w:rsidRPr="00347710">
        <w:rPr>
          <w:szCs w:val="24"/>
        </w:rPr>
        <w:t>(B)  The Commander, U.S. Joint Forces Command, is responsible for the Navy Consolidated Brig, Charleston, SC.</w:t>
      </w:r>
    </w:p>
    <w:p w14:paraId="24EAD271" w14:textId="77777777" w:rsidR="00281416" w:rsidRDefault="00281416" w:rsidP="009539BD">
      <w:pPr>
        <w:pStyle w:val="List4"/>
        <w:rPr>
          <w:b/>
        </w:rPr>
      </w:pPr>
      <w:r>
        <w:rPr>
          <w:b/>
          <w:szCs w:val="24"/>
        </w:rPr>
        <w:br/>
      </w:r>
      <w:r w:rsidRPr="00347710">
        <w:rPr>
          <w:szCs w:val="24"/>
        </w:rPr>
        <w:t>(C)</w:t>
      </w:r>
      <w:r w:rsidRPr="00347710">
        <w:rPr>
          <w:i/>
          <w:szCs w:val="24"/>
        </w:rPr>
        <w:t xml:space="preserve">  </w:t>
      </w:r>
      <w:r w:rsidRPr="00347710">
        <w:rPr>
          <w:szCs w:val="24"/>
        </w:rPr>
        <w:t xml:space="preserve">The other combatant commander geographic areas of responsibility are identified in the Unified Command Plan, 1 March 2005, which can be found at:  </w:t>
      </w:r>
      <w:hyperlink r:id="rId19" w:history="1">
        <w:r w:rsidRPr="00645282">
          <w:rPr>
            <w:rStyle w:val="Hyperlink"/>
            <w:szCs w:val="24"/>
          </w:rPr>
          <w:t>http://www.defenselink.mil/specials/unifiedcommand/</w:t>
        </w:r>
      </w:hyperlink>
      <w:r>
        <w:rPr>
          <w:szCs w:val="24"/>
        </w:rPr>
        <w:t>.</w:t>
      </w:r>
    </w:p>
    <w:p w14:paraId="5F97F66A" w14:textId="77777777" w:rsidR="00281416" w:rsidRDefault="00281416" w:rsidP="00286087">
      <w:pPr>
        <w:rPr>
          <w:b/>
          <w:i/>
          <w:szCs w:val="24"/>
        </w:rPr>
      </w:pPr>
      <w:r>
        <w:rPr>
          <w:b/>
          <w:szCs w:val="24"/>
        </w:rPr>
        <w:lastRenderedPageBreak/>
        <w:br/>
      </w:r>
      <w:r w:rsidRPr="00347710">
        <w:rPr>
          <w:szCs w:val="24"/>
        </w:rPr>
        <w:t>(ii)</w:t>
      </w:r>
      <w:r w:rsidRPr="00347710">
        <w:rPr>
          <w:i/>
          <w:szCs w:val="24"/>
        </w:rPr>
        <w:t xml:space="preserve">  Point of contact information for each command:</w:t>
      </w:r>
    </w:p>
    <w:p w14:paraId="63D537A4" w14:textId="77777777" w:rsidR="00281416" w:rsidRPr="00347710" w:rsidRDefault="00281416" w:rsidP="00286087">
      <w:pPr>
        <w:rPr>
          <w:b/>
          <w:szCs w:val="24"/>
          <w:u w:val="single"/>
        </w:rPr>
      </w:pPr>
      <w:r>
        <w:rPr>
          <w:b/>
          <w:i/>
          <w:szCs w:val="24"/>
        </w:rPr>
        <w:br/>
      </w:r>
      <w:r w:rsidRPr="00347710">
        <w:rPr>
          <w:szCs w:val="24"/>
          <w:u w:val="single"/>
        </w:rPr>
        <w:t>US Central Command (USCENTCOM)</w:t>
      </w:r>
    </w:p>
    <w:p w14:paraId="05C48771" w14:textId="77777777" w:rsidR="00281416" w:rsidRPr="00347710" w:rsidRDefault="00281416" w:rsidP="00286087">
      <w:pPr>
        <w:rPr>
          <w:b/>
          <w:szCs w:val="24"/>
        </w:rPr>
      </w:pPr>
      <w:r w:rsidRPr="00347710">
        <w:rPr>
          <w:szCs w:val="24"/>
        </w:rPr>
        <w:t>Commander, Combined Forces Land Component Commander (CFLCC)</w:t>
      </w:r>
    </w:p>
    <w:p w14:paraId="5F8CAD00" w14:textId="77777777" w:rsidR="00281416" w:rsidRPr="00347710" w:rsidRDefault="00281416" w:rsidP="00286087">
      <w:pPr>
        <w:rPr>
          <w:b/>
          <w:szCs w:val="24"/>
        </w:rPr>
      </w:pPr>
      <w:r w:rsidRPr="00347710">
        <w:rPr>
          <w:szCs w:val="24"/>
        </w:rPr>
        <w:t>a.k.a. Third Army, Ft. McPherson, Atlanta, GA</w:t>
      </w:r>
    </w:p>
    <w:p w14:paraId="32D5C69F" w14:textId="77777777" w:rsidR="00281416" w:rsidRPr="00347710" w:rsidRDefault="00281416" w:rsidP="00286087">
      <w:pPr>
        <w:rPr>
          <w:b/>
          <w:szCs w:val="24"/>
        </w:rPr>
      </w:pPr>
      <w:r w:rsidRPr="00347710">
        <w:rPr>
          <w:szCs w:val="24"/>
        </w:rPr>
        <w:t>Staff Judge Advocate (SJA) Forward, Kuwait</w:t>
      </w:r>
    </w:p>
    <w:p w14:paraId="4E3191A2" w14:textId="77777777" w:rsidR="00281416" w:rsidRPr="00347710" w:rsidRDefault="00281416" w:rsidP="00286087">
      <w:pPr>
        <w:rPr>
          <w:b/>
          <w:szCs w:val="24"/>
        </w:rPr>
      </w:pPr>
      <w:r w:rsidRPr="00347710">
        <w:rPr>
          <w:szCs w:val="24"/>
        </w:rPr>
        <w:t xml:space="preserve">POC:  Lieutenant Colonel Gary </w:t>
      </w:r>
      <w:proofErr w:type="spellStart"/>
      <w:r w:rsidRPr="00347710">
        <w:rPr>
          <w:szCs w:val="24"/>
        </w:rPr>
        <w:t>Kluka</w:t>
      </w:r>
      <w:proofErr w:type="spellEnd"/>
    </w:p>
    <w:p w14:paraId="5EACE5D1" w14:textId="77777777" w:rsidR="00281416" w:rsidRPr="00347710" w:rsidRDefault="00281416" w:rsidP="00286087">
      <w:pPr>
        <w:rPr>
          <w:b/>
          <w:szCs w:val="24"/>
        </w:rPr>
      </w:pPr>
      <w:r w:rsidRPr="00347710">
        <w:rPr>
          <w:szCs w:val="24"/>
        </w:rPr>
        <w:t xml:space="preserve">E-mail:  Gary.Kluka@arifjan.arcent.army.mil </w:t>
      </w:r>
    </w:p>
    <w:p w14:paraId="29F96755" w14:textId="77777777" w:rsidR="00281416" w:rsidRDefault="00281416" w:rsidP="00286087">
      <w:pPr>
        <w:rPr>
          <w:b/>
          <w:szCs w:val="24"/>
        </w:rPr>
      </w:pPr>
      <w:r w:rsidRPr="00347710">
        <w:rPr>
          <w:szCs w:val="24"/>
        </w:rPr>
        <w:t>Comm:  011-965-389-6303; DSN:  318-430-6303; Alt. US numbers:  404-464-3721 or 404-464-4219</w:t>
      </w:r>
    </w:p>
    <w:p w14:paraId="5FFDEAA3" w14:textId="77777777" w:rsidR="00281416" w:rsidRPr="00347710" w:rsidRDefault="00281416" w:rsidP="00286087">
      <w:pPr>
        <w:rPr>
          <w:b/>
          <w:szCs w:val="24"/>
          <w:u w:val="single"/>
        </w:rPr>
      </w:pPr>
      <w:r>
        <w:rPr>
          <w:b/>
          <w:szCs w:val="24"/>
        </w:rPr>
        <w:br/>
      </w:r>
      <w:r w:rsidRPr="00347710">
        <w:rPr>
          <w:szCs w:val="24"/>
          <w:u w:val="single"/>
        </w:rPr>
        <w:t>US European Command (USEUCOM)</w:t>
      </w:r>
    </w:p>
    <w:p w14:paraId="2B1F6959" w14:textId="77777777" w:rsidR="00281416" w:rsidRPr="00347710" w:rsidRDefault="00281416" w:rsidP="00286087">
      <w:pPr>
        <w:rPr>
          <w:b/>
          <w:szCs w:val="24"/>
        </w:rPr>
      </w:pPr>
      <w:r w:rsidRPr="00347710">
        <w:rPr>
          <w:szCs w:val="24"/>
        </w:rPr>
        <w:t xml:space="preserve">Logistics and Security Assistance Directorate </w:t>
      </w:r>
    </w:p>
    <w:p w14:paraId="6F195804" w14:textId="77777777" w:rsidR="00281416" w:rsidRPr="00347710" w:rsidRDefault="00281416" w:rsidP="00286087">
      <w:pPr>
        <w:rPr>
          <w:b/>
          <w:szCs w:val="24"/>
        </w:rPr>
      </w:pPr>
      <w:r w:rsidRPr="00347710">
        <w:rPr>
          <w:szCs w:val="24"/>
        </w:rPr>
        <w:t>Chief, Contingency Contracting and Contract Policy Division (USEUCOM J4-LS)</w:t>
      </w:r>
    </w:p>
    <w:p w14:paraId="3A5285BE" w14:textId="77777777" w:rsidR="00281416" w:rsidRPr="00347710" w:rsidRDefault="00281416" w:rsidP="00286087">
      <w:pPr>
        <w:rPr>
          <w:b/>
          <w:szCs w:val="24"/>
        </w:rPr>
      </w:pPr>
      <w:r w:rsidRPr="00347710">
        <w:rPr>
          <w:szCs w:val="24"/>
        </w:rPr>
        <w:t xml:space="preserve">POC:  Major Michael </w:t>
      </w:r>
      <w:proofErr w:type="spellStart"/>
      <w:r w:rsidRPr="00347710">
        <w:rPr>
          <w:szCs w:val="24"/>
        </w:rPr>
        <w:t>Debreczini</w:t>
      </w:r>
      <w:proofErr w:type="spellEnd"/>
    </w:p>
    <w:p w14:paraId="0AE1A045" w14:textId="77777777" w:rsidR="00281416" w:rsidRPr="00347710" w:rsidRDefault="00281416" w:rsidP="00286087">
      <w:pPr>
        <w:rPr>
          <w:b/>
          <w:szCs w:val="24"/>
        </w:rPr>
      </w:pPr>
      <w:r w:rsidRPr="00347710">
        <w:rPr>
          <w:szCs w:val="24"/>
        </w:rPr>
        <w:t>debreczm@eucom.smil.mil</w:t>
      </w:r>
    </w:p>
    <w:p w14:paraId="0CCE2D2B" w14:textId="77777777" w:rsidR="00281416" w:rsidRDefault="00281416" w:rsidP="00286087">
      <w:pPr>
        <w:rPr>
          <w:b/>
          <w:szCs w:val="24"/>
        </w:rPr>
      </w:pPr>
      <w:r w:rsidRPr="00347710">
        <w:rPr>
          <w:szCs w:val="24"/>
        </w:rPr>
        <w:t>Comm:  011-49-711-680-7202; DSN:  314-0430-7202</w:t>
      </w:r>
    </w:p>
    <w:p w14:paraId="5CA783A4" w14:textId="77777777" w:rsidR="00281416" w:rsidRPr="00347710" w:rsidRDefault="00281416" w:rsidP="00286087">
      <w:pPr>
        <w:rPr>
          <w:b/>
          <w:szCs w:val="24"/>
        </w:rPr>
      </w:pPr>
      <w:r>
        <w:rPr>
          <w:b/>
          <w:szCs w:val="24"/>
        </w:rPr>
        <w:br/>
      </w:r>
      <w:r w:rsidRPr="00347710">
        <w:rPr>
          <w:szCs w:val="24"/>
          <w:u w:val="single"/>
        </w:rPr>
        <w:t>US Joint Forces Command (USJFCOM)</w:t>
      </w:r>
      <w:r w:rsidRPr="00347710">
        <w:rPr>
          <w:szCs w:val="24"/>
        </w:rPr>
        <w:t xml:space="preserve">  </w:t>
      </w:r>
    </w:p>
    <w:p w14:paraId="21720D30" w14:textId="77777777" w:rsidR="00281416" w:rsidRPr="00347710" w:rsidRDefault="00281416" w:rsidP="00286087">
      <w:pPr>
        <w:rPr>
          <w:b/>
          <w:szCs w:val="24"/>
        </w:rPr>
      </w:pPr>
      <w:r w:rsidRPr="00347710">
        <w:rPr>
          <w:szCs w:val="24"/>
        </w:rPr>
        <w:t>**Applicable to potential detainees in the United States at Navy Consolidated Brig, Charleston, SC</w:t>
      </w:r>
    </w:p>
    <w:p w14:paraId="2F709F6A" w14:textId="77777777" w:rsidR="00281416" w:rsidRPr="00347710" w:rsidRDefault="00281416" w:rsidP="00286087">
      <w:pPr>
        <w:rPr>
          <w:b/>
          <w:szCs w:val="24"/>
        </w:rPr>
      </w:pPr>
      <w:r w:rsidRPr="00347710">
        <w:rPr>
          <w:szCs w:val="24"/>
        </w:rPr>
        <w:t>Headquarters, USJFCOM (J355)</w:t>
      </w:r>
    </w:p>
    <w:p w14:paraId="0EA06919" w14:textId="77777777" w:rsidR="00281416" w:rsidRPr="00347710" w:rsidRDefault="00281416" w:rsidP="00286087">
      <w:pPr>
        <w:rPr>
          <w:b/>
          <w:szCs w:val="24"/>
        </w:rPr>
      </w:pPr>
      <w:r w:rsidRPr="00347710">
        <w:rPr>
          <w:szCs w:val="24"/>
        </w:rPr>
        <w:t>Personnel Recovery &amp; Special Operations Division (J355)</w:t>
      </w:r>
    </w:p>
    <w:p w14:paraId="3AEC916A" w14:textId="77777777" w:rsidR="00281416" w:rsidRPr="00347710" w:rsidRDefault="00281416" w:rsidP="00286087">
      <w:pPr>
        <w:rPr>
          <w:b/>
          <w:szCs w:val="24"/>
        </w:rPr>
      </w:pPr>
      <w:r w:rsidRPr="00347710">
        <w:rPr>
          <w:szCs w:val="24"/>
        </w:rPr>
        <w:lastRenderedPageBreak/>
        <w:t xml:space="preserve">POC:  </w:t>
      </w:r>
      <w:proofErr w:type="spellStart"/>
      <w:r w:rsidRPr="00347710">
        <w:rPr>
          <w:szCs w:val="24"/>
        </w:rPr>
        <w:t>Lieutenenat</w:t>
      </w:r>
      <w:proofErr w:type="spellEnd"/>
      <w:r w:rsidRPr="00347710">
        <w:rPr>
          <w:szCs w:val="24"/>
        </w:rPr>
        <w:t xml:space="preserve"> Colonel John </w:t>
      </w:r>
      <w:proofErr w:type="spellStart"/>
      <w:r w:rsidRPr="00347710">
        <w:rPr>
          <w:szCs w:val="24"/>
        </w:rPr>
        <w:t>Maraia</w:t>
      </w:r>
      <w:proofErr w:type="spellEnd"/>
    </w:p>
    <w:p w14:paraId="2093653A" w14:textId="77777777" w:rsidR="00281416" w:rsidRPr="00347710" w:rsidRDefault="00281416" w:rsidP="00286087">
      <w:pPr>
        <w:rPr>
          <w:b/>
          <w:szCs w:val="24"/>
        </w:rPr>
      </w:pPr>
      <w:r w:rsidRPr="00347710">
        <w:rPr>
          <w:szCs w:val="24"/>
        </w:rPr>
        <w:t>Comm:  757-836-5799; DSN:  836-5799</w:t>
      </w:r>
    </w:p>
    <w:p w14:paraId="519F341E" w14:textId="77777777" w:rsidR="00281416" w:rsidRPr="00347710" w:rsidRDefault="00281416" w:rsidP="00286087">
      <w:pPr>
        <w:rPr>
          <w:b/>
          <w:szCs w:val="24"/>
        </w:rPr>
      </w:pPr>
      <w:r w:rsidRPr="00347710">
        <w:rPr>
          <w:szCs w:val="24"/>
          <w:u w:val="single"/>
        </w:rPr>
        <w:t>US Northern Command (USNORTHCOM)</w:t>
      </w:r>
      <w:r w:rsidRPr="00347710">
        <w:rPr>
          <w:szCs w:val="24"/>
        </w:rPr>
        <w:t xml:space="preserve"> </w:t>
      </w:r>
    </w:p>
    <w:p w14:paraId="639F38C4" w14:textId="77777777" w:rsidR="00281416" w:rsidRDefault="00281416" w:rsidP="00286087">
      <w:pPr>
        <w:rPr>
          <w:b/>
          <w:szCs w:val="24"/>
        </w:rPr>
      </w:pPr>
      <w:r w:rsidRPr="00347710">
        <w:rPr>
          <w:szCs w:val="24"/>
        </w:rPr>
        <w:t>Not applicable to USNORTHCOM; see US Joint Forces Command</w:t>
      </w:r>
    </w:p>
    <w:p w14:paraId="6E51972F" w14:textId="77777777" w:rsidR="00281416" w:rsidRPr="00347710" w:rsidRDefault="00281416" w:rsidP="00286087">
      <w:pPr>
        <w:rPr>
          <w:b/>
          <w:szCs w:val="24"/>
          <w:u w:val="single"/>
        </w:rPr>
      </w:pPr>
      <w:r>
        <w:rPr>
          <w:b/>
          <w:szCs w:val="24"/>
        </w:rPr>
        <w:br/>
      </w:r>
      <w:r w:rsidRPr="00347710">
        <w:rPr>
          <w:szCs w:val="24"/>
          <w:u w:val="single"/>
        </w:rPr>
        <w:t>US Pacific Command (USPACOM)</w:t>
      </w:r>
    </w:p>
    <w:p w14:paraId="4B21DA10" w14:textId="77777777" w:rsidR="00281416" w:rsidRPr="00347710" w:rsidRDefault="00281416" w:rsidP="00286087">
      <w:pPr>
        <w:rPr>
          <w:b/>
          <w:szCs w:val="24"/>
        </w:rPr>
      </w:pPr>
      <w:r w:rsidRPr="00347710">
        <w:rPr>
          <w:szCs w:val="24"/>
        </w:rPr>
        <w:t>Headquarters, Office of the Staff Judge Advocate (SJA)</w:t>
      </w:r>
    </w:p>
    <w:p w14:paraId="6CB7788B" w14:textId="77777777" w:rsidR="00281416" w:rsidRPr="00347710" w:rsidRDefault="00281416" w:rsidP="00286087">
      <w:pPr>
        <w:rPr>
          <w:b/>
          <w:szCs w:val="24"/>
        </w:rPr>
      </w:pPr>
      <w:r w:rsidRPr="00347710">
        <w:rPr>
          <w:szCs w:val="24"/>
        </w:rPr>
        <w:t>Deputy Staff Judge Advocate</w:t>
      </w:r>
    </w:p>
    <w:p w14:paraId="55985971" w14:textId="77777777" w:rsidR="00281416" w:rsidRPr="00347710" w:rsidRDefault="00281416" w:rsidP="00286087">
      <w:pPr>
        <w:rPr>
          <w:b/>
          <w:szCs w:val="24"/>
        </w:rPr>
      </w:pPr>
      <w:r w:rsidRPr="00347710">
        <w:rPr>
          <w:szCs w:val="24"/>
        </w:rPr>
        <w:t xml:space="preserve">POC:  Lieutenant Colonel James </w:t>
      </w:r>
      <w:proofErr w:type="spellStart"/>
      <w:r w:rsidRPr="00347710">
        <w:rPr>
          <w:szCs w:val="24"/>
        </w:rPr>
        <w:t>Buckels</w:t>
      </w:r>
      <w:proofErr w:type="spellEnd"/>
      <w:r w:rsidRPr="00347710">
        <w:rPr>
          <w:szCs w:val="24"/>
        </w:rPr>
        <w:t>, USAF</w:t>
      </w:r>
    </w:p>
    <w:p w14:paraId="50AC2216" w14:textId="77777777" w:rsidR="00281416" w:rsidRPr="00347710" w:rsidRDefault="00281416" w:rsidP="00286087">
      <w:pPr>
        <w:rPr>
          <w:b/>
          <w:szCs w:val="24"/>
        </w:rPr>
      </w:pPr>
      <w:r w:rsidRPr="00347710">
        <w:rPr>
          <w:szCs w:val="24"/>
        </w:rPr>
        <w:t>james.buckels@pacom.mil</w:t>
      </w:r>
    </w:p>
    <w:p w14:paraId="76A47E41" w14:textId="77777777" w:rsidR="00281416" w:rsidRDefault="00281416" w:rsidP="00286087">
      <w:pPr>
        <w:rPr>
          <w:b/>
          <w:szCs w:val="24"/>
        </w:rPr>
      </w:pPr>
      <w:r w:rsidRPr="00347710">
        <w:rPr>
          <w:szCs w:val="24"/>
        </w:rPr>
        <w:t>Comm:  808-477-1193</w:t>
      </w:r>
    </w:p>
    <w:p w14:paraId="1F8C82C5" w14:textId="77777777" w:rsidR="00281416" w:rsidRPr="00347710" w:rsidRDefault="00281416" w:rsidP="00286087">
      <w:pPr>
        <w:rPr>
          <w:b/>
          <w:szCs w:val="24"/>
          <w:u w:val="single"/>
        </w:rPr>
      </w:pPr>
      <w:r>
        <w:rPr>
          <w:b/>
          <w:szCs w:val="24"/>
        </w:rPr>
        <w:br/>
      </w:r>
      <w:r w:rsidRPr="00347710">
        <w:rPr>
          <w:szCs w:val="24"/>
          <w:u w:val="single"/>
        </w:rPr>
        <w:t>US Southern Command (USSOUTHCOM)</w:t>
      </w:r>
    </w:p>
    <w:p w14:paraId="6C817C7B" w14:textId="77777777" w:rsidR="00281416" w:rsidRPr="00347710" w:rsidRDefault="00281416" w:rsidP="00286087">
      <w:pPr>
        <w:rPr>
          <w:b/>
          <w:szCs w:val="24"/>
        </w:rPr>
      </w:pPr>
      <w:r w:rsidRPr="00347710">
        <w:rPr>
          <w:szCs w:val="24"/>
        </w:rPr>
        <w:t>Headquarters, Office of the Staff Judge Advocate (SJA)</w:t>
      </w:r>
    </w:p>
    <w:p w14:paraId="3E916E60" w14:textId="77777777" w:rsidR="00281416" w:rsidRPr="00347710" w:rsidRDefault="00281416" w:rsidP="00286087">
      <w:pPr>
        <w:rPr>
          <w:b/>
          <w:szCs w:val="24"/>
        </w:rPr>
      </w:pPr>
      <w:r w:rsidRPr="00347710">
        <w:rPr>
          <w:szCs w:val="24"/>
        </w:rPr>
        <w:t xml:space="preserve">Joint Task Force </w:t>
      </w:r>
      <w:proofErr w:type="spellStart"/>
      <w:r w:rsidRPr="00347710">
        <w:rPr>
          <w:szCs w:val="24"/>
        </w:rPr>
        <w:t>Guanatanamo</w:t>
      </w:r>
      <w:proofErr w:type="spellEnd"/>
      <w:r w:rsidRPr="00347710">
        <w:rPr>
          <w:szCs w:val="24"/>
        </w:rPr>
        <w:t xml:space="preserve"> Bay</w:t>
      </w:r>
    </w:p>
    <w:p w14:paraId="6C441DBB" w14:textId="77777777" w:rsidR="00281416" w:rsidRPr="00347710" w:rsidRDefault="00281416" w:rsidP="00286087">
      <w:pPr>
        <w:pStyle w:val="Header"/>
        <w:tabs>
          <w:tab w:val="clear" w:pos="4320"/>
          <w:tab w:val="clear" w:pos="8640"/>
        </w:tabs>
        <w:rPr>
          <w:b/>
          <w:szCs w:val="24"/>
        </w:rPr>
      </w:pPr>
      <w:r w:rsidRPr="00347710">
        <w:rPr>
          <w:szCs w:val="24"/>
        </w:rPr>
        <w:t xml:space="preserve">POC:  Lieutenant Commander Tony </w:t>
      </w:r>
      <w:proofErr w:type="spellStart"/>
      <w:r w:rsidRPr="00347710">
        <w:rPr>
          <w:szCs w:val="24"/>
        </w:rPr>
        <w:t>Dealicante</w:t>
      </w:r>
      <w:proofErr w:type="spellEnd"/>
    </w:p>
    <w:p w14:paraId="0C358C5E" w14:textId="77777777" w:rsidR="00281416" w:rsidRPr="00347710" w:rsidRDefault="00281416" w:rsidP="00286087">
      <w:pPr>
        <w:rPr>
          <w:b/>
          <w:szCs w:val="24"/>
        </w:rPr>
      </w:pPr>
      <w:r w:rsidRPr="00347710">
        <w:rPr>
          <w:szCs w:val="24"/>
        </w:rPr>
        <w:t>DealicanteTF@JTFGTMO.southcom.mil</w:t>
      </w:r>
    </w:p>
    <w:p w14:paraId="7D56A851" w14:textId="77777777" w:rsidR="00281416" w:rsidRDefault="00281416" w:rsidP="00286087">
      <w:pPr>
        <w:rPr>
          <w:b/>
          <w:szCs w:val="24"/>
        </w:rPr>
      </w:pPr>
      <w:r w:rsidRPr="00347710">
        <w:rPr>
          <w:szCs w:val="24"/>
        </w:rPr>
        <w:t>Comm:  011-5399-9916; DSN:  660-9916</w:t>
      </w:r>
    </w:p>
    <w:p w14:paraId="00843825" w14:textId="77777777" w:rsidR="00281416" w:rsidRPr="00347710" w:rsidRDefault="00281416" w:rsidP="00286087">
      <w:pPr>
        <w:rPr>
          <w:b/>
          <w:szCs w:val="24"/>
          <w:u w:val="single"/>
        </w:rPr>
      </w:pPr>
      <w:r>
        <w:rPr>
          <w:b/>
          <w:szCs w:val="24"/>
        </w:rPr>
        <w:br/>
      </w:r>
      <w:r w:rsidRPr="00347710">
        <w:rPr>
          <w:szCs w:val="24"/>
          <w:u w:val="single"/>
        </w:rPr>
        <w:t>US Special Operations Command (USSOCOM)</w:t>
      </w:r>
    </w:p>
    <w:p w14:paraId="6B6A9BB6" w14:textId="77777777" w:rsidR="00281416" w:rsidRPr="00347710" w:rsidRDefault="00281416" w:rsidP="00286087">
      <w:pPr>
        <w:rPr>
          <w:b/>
          <w:szCs w:val="24"/>
        </w:rPr>
      </w:pPr>
      <w:r w:rsidRPr="00347710">
        <w:rPr>
          <w:szCs w:val="24"/>
        </w:rPr>
        <w:t>Headquarters, Office of the Staff Judge Advocate (SJA)</w:t>
      </w:r>
    </w:p>
    <w:p w14:paraId="73E47EC4" w14:textId="77777777" w:rsidR="00281416" w:rsidRPr="00347710" w:rsidRDefault="00281416" w:rsidP="00286087">
      <w:pPr>
        <w:rPr>
          <w:b/>
          <w:szCs w:val="24"/>
        </w:rPr>
      </w:pPr>
      <w:r w:rsidRPr="00347710">
        <w:rPr>
          <w:szCs w:val="24"/>
        </w:rPr>
        <w:t>Attn:  Staff Judge Advocate</w:t>
      </w:r>
    </w:p>
    <w:p w14:paraId="1FE00EEE" w14:textId="77777777" w:rsidR="00281416" w:rsidRPr="00347710" w:rsidRDefault="00281416" w:rsidP="00286087">
      <w:pPr>
        <w:rPr>
          <w:b/>
          <w:szCs w:val="24"/>
        </w:rPr>
      </w:pPr>
      <w:r w:rsidRPr="00347710">
        <w:rPr>
          <w:szCs w:val="24"/>
        </w:rPr>
        <w:t>POC:  Colonel Dana Chipman</w:t>
      </w:r>
    </w:p>
    <w:p w14:paraId="71A97F53" w14:textId="77777777" w:rsidR="00281416" w:rsidRPr="00347710" w:rsidRDefault="00281416" w:rsidP="00286087">
      <w:pPr>
        <w:rPr>
          <w:b/>
          <w:szCs w:val="24"/>
        </w:rPr>
      </w:pPr>
      <w:r w:rsidRPr="00347710">
        <w:rPr>
          <w:szCs w:val="24"/>
        </w:rPr>
        <w:lastRenderedPageBreak/>
        <w:t>chipmad@socom.mil</w:t>
      </w:r>
    </w:p>
    <w:p w14:paraId="0E867C35" w14:textId="77777777" w:rsidR="00281416" w:rsidRDefault="00281416" w:rsidP="00286087">
      <w:pPr>
        <w:rPr>
          <w:b/>
          <w:szCs w:val="24"/>
        </w:rPr>
      </w:pPr>
      <w:r w:rsidRPr="00347710">
        <w:rPr>
          <w:szCs w:val="24"/>
        </w:rPr>
        <w:t>Comm:  813-828-3288; DSN:  299-3288</w:t>
      </w:r>
    </w:p>
    <w:p w14:paraId="5857A3D7" w14:textId="77777777" w:rsidR="00281416" w:rsidRDefault="00281416" w:rsidP="009539BD">
      <w:pPr>
        <w:pStyle w:val="Heading3"/>
      </w:pPr>
      <w:r>
        <w:rPr>
          <w:b/>
          <w:szCs w:val="24"/>
        </w:rPr>
        <w:br/>
      </w:r>
      <w:bookmarkStart w:id="28" w:name="_Toc37415865"/>
      <w:bookmarkStart w:id="29" w:name="_Toc37677708"/>
      <w:bookmarkStart w:id="30" w:name="_Toc37756764"/>
      <w:r w:rsidRPr="00147428">
        <w:rPr>
          <w:bCs/>
          <w:szCs w:val="24"/>
        </w:rPr>
        <w:t xml:space="preserve">PGI </w:t>
      </w:r>
      <w:proofErr w:type="gramStart"/>
      <w:r w:rsidRPr="00147428">
        <w:rPr>
          <w:bCs/>
          <w:szCs w:val="24"/>
        </w:rPr>
        <w:t>237.172  Service</w:t>
      </w:r>
      <w:proofErr w:type="gramEnd"/>
      <w:r w:rsidRPr="00147428">
        <w:rPr>
          <w:bCs/>
          <w:szCs w:val="24"/>
        </w:rPr>
        <w:t xml:space="preserve"> contracts surveillance.</w:t>
      </w:r>
      <w:bookmarkEnd w:id="28"/>
      <w:bookmarkEnd w:id="29"/>
      <w:bookmarkEnd w:id="30"/>
    </w:p>
    <w:p w14:paraId="35355DDA" w14:textId="77777777" w:rsidR="00281416" w:rsidRDefault="00281416" w:rsidP="00286087">
      <w:pPr>
        <w:rPr>
          <w:b/>
          <w:szCs w:val="24"/>
        </w:rPr>
      </w:pPr>
      <w:r>
        <w:rPr>
          <w:bCs/>
          <w:szCs w:val="24"/>
        </w:rPr>
        <w:br/>
      </w:r>
      <w:r w:rsidRPr="00147428">
        <w:rPr>
          <w:szCs w:val="24"/>
        </w:rPr>
        <w:t xml:space="preserve">The contracting officer shall remind requirements personnel, when they are preparing the quality assurance surveillance plan for contracts, to include a requirement for surveillance of the contractor’s implementation of the clause at FAR 52. 222-50, Combating Trafficking in Persons (see </w:t>
      </w:r>
      <w:hyperlink r:id="rId20" w:anchor="222.1703" w:history="1">
        <w:r w:rsidRPr="00147428">
          <w:rPr>
            <w:rStyle w:val="Hyperlink"/>
            <w:szCs w:val="24"/>
          </w:rPr>
          <w:t>PGI 222.1703</w:t>
        </w:r>
      </w:hyperlink>
      <w:r w:rsidRPr="00147428">
        <w:rPr>
          <w:szCs w:val="24"/>
        </w:rPr>
        <w:t>).</w:t>
      </w:r>
    </w:p>
    <w:p w14:paraId="5B5E3981" w14:textId="77777777" w:rsidR="00281416" w:rsidRPr="00147428" w:rsidRDefault="00281416" w:rsidP="00286087">
      <w:pPr>
        <w:rPr>
          <w:b/>
          <w:szCs w:val="24"/>
        </w:rPr>
      </w:pPr>
      <w:r>
        <w:rPr>
          <w:b/>
          <w:szCs w:val="24"/>
        </w:rPr>
        <w:br/>
      </w:r>
    </w:p>
    <w:p w14:paraId="48D0E460" w14:textId="77777777" w:rsidR="00281416" w:rsidRDefault="00281416">
      <w:pPr>
        <w:sectPr w:rsidR="00281416" w:rsidSect="000842D4">
          <w:headerReference w:type="default" r:id="rId21"/>
          <w:footerReference w:type="default" r:id="rId22"/>
          <w:pgSz w:w="12240" w:h="15840"/>
          <w:pgMar w:top="1440" w:right="1440" w:bottom="1440" w:left="1440" w:header="720" w:footer="720" w:gutter="0"/>
          <w:cols w:space="720"/>
          <w:docGrid w:linePitch="360"/>
        </w:sectPr>
      </w:pPr>
    </w:p>
    <w:p w14:paraId="10D620E7" w14:textId="77777777" w:rsidR="00281416" w:rsidRDefault="00281416" w:rsidP="00447B82">
      <w:pPr>
        <w:jc w:val="center"/>
      </w:pPr>
      <w:r w:rsidRPr="00C047AC">
        <w:rPr>
          <w:i/>
          <w:szCs w:val="24"/>
        </w:rPr>
        <w:lastRenderedPageBreak/>
        <w:t>(</w:t>
      </w:r>
      <w:r>
        <w:rPr>
          <w:i/>
          <w:szCs w:val="24"/>
        </w:rPr>
        <w:t>Revised August 28, 2014</w:t>
      </w:r>
      <w:r w:rsidRPr="00C047AC">
        <w:rPr>
          <w:i/>
          <w:szCs w:val="24"/>
        </w:rPr>
        <w:t>)</w:t>
      </w:r>
    </w:p>
    <w:p w14:paraId="01B8F239" w14:textId="77777777" w:rsidR="00281416" w:rsidRDefault="00281416" w:rsidP="00447B82">
      <w:pPr>
        <w:pStyle w:val="Heading2"/>
      </w:pPr>
      <w:r>
        <w:rPr>
          <w:i/>
          <w:szCs w:val="24"/>
        </w:rPr>
        <w:br/>
      </w:r>
      <w:bookmarkStart w:id="31" w:name="_Toc37415866"/>
      <w:bookmarkStart w:id="32" w:name="_Toc37677709"/>
      <w:bookmarkStart w:id="33" w:name="_Toc37756765"/>
      <w:r w:rsidRPr="00C4363E">
        <w:rPr>
          <w:szCs w:val="24"/>
        </w:rPr>
        <w:t>PGI 237.2—ADVISORY AND ASSISTANCE SERVICES</w:t>
      </w:r>
      <w:bookmarkEnd w:id="31"/>
      <w:bookmarkEnd w:id="32"/>
      <w:bookmarkEnd w:id="33"/>
    </w:p>
    <w:p w14:paraId="2F311FF1" w14:textId="77777777" w:rsidR="00281416" w:rsidRDefault="00281416" w:rsidP="00447B82">
      <w:pPr>
        <w:pStyle w:val="Heading3"/>
      </w:pPr>
      <w:r>
        <w:rPr>
          <w:b/>
          <w:szCs w:val="24"/>
        </w:rPr>
        <w:br/>
      </w:r>
      <w:bookmarkStart w:id="34" w:name="_Toc37415867"/>
      <w:bookmarkStart w:id="35" w:name="_Toc37677710"/>
      <w:bookmarkStart w:id="36" w:name="_Toc37756766"/>
      <w:r w:rsidRPr="00C4363E">
        <w:rPr>
          <w:b/>
          <w:szCs w:val="24"/>
        </w:rPr>
        <w:t xml:space="preserve">PGI </w:t>
      </w:r>
      <w:proofErr w:type="gramStart"/>
      <w:r w:rsidRPr="00C4363E">
        <w:rPr>
          <w:b/>
          <w:szCs w:val="24"/>
        </w:rPr>
        <w:t>237.270  Acquisition</w:t>
      </w:r>
      <w:proofErr w:type="gramEnd"/>
      <w:r w:rsidRPr="00C4363E">
        <w:rPr>
          <w:b/>
          <w:szCs w:val="24"/>
        </w:rPr>
        <w:t xml:space="preserve"> of audit services.</w:t>
      </w:r>
      <w:bookmarkEnd w:id="34"/>
      <w:bookmarkEnd w:id="35"/>
      <w:bookmarkEnd w:id="36"/>
    </w:p>
    <w:p w14:paraId="0AA332FA" w14:textId="77777777" w:rsidR="00281416" w:rsidRDefault="00281416" w:rsidP="00447B82">
      <w:r>
        <w:rPr>
          <w:b/>
          <w:szCs w:val="24"/>
        </w:rPr>
        <w:br/>
      </w:r>
      <w:r w:rsidRPr="00C4363E">
        <w:rPr>
          <w:szCs w:val="24"/>
        </w:rPr>
        <w:t>The following DoD publications govern the conduct of audits:</w:t>
      </w:r>
    </w:p>
    <w:p w14:paraId="31E763CF" w14:textId="77777777" w:rsidR="00281416" w:rsidRDefault="00281416" w:rsidP="00447B82">
      <w:pPr>
        <w:pStyle w:val="List2"/>
      </w:pPr>
      <w:r>
        <w:br/>
      </w:r>
      <w:r w:rsidRPr="00C4363E">
        <w:t>(</w:t>
      </w:r>
      <w:r>
        <w:t>1</w:t>
      </w:r>
      <w:r w:rsidRPr="00C4363E">
        <w:t xml:space="preserve">)  </w:t>
      </w:r>
      <w:proofErr w:type="spellStart"/>
      <w:r w:rsidRPr="00C4363E">
        <w:t>DoD</w:t>
      </w:r>
      <w:r>
        <w:t>I</w:t>
      </w:r>
      <w:proofErr w:type="spellEnd"/>
      <w:r w:rsidRPr="00C4363E">
        <w:t xml:space="preserve"> 7600.2, Audit Policies - Provides DoD audit policies.</w:t>
      </w:r>
    </w:p>
    <w:p w14:paraId="14ECBE84" w14:textId="77777777" w:rsidR="00281416" w:rsidRDefault="00281416" w:rsidP="00447B82">
      <w:pPr>
        <w:pStyle w:val="List2"/>
      </w:pPr>
      <w:r>
        <w:rPr>
          <w:szCs w:val="24"/>
        </w:rPr>
        <w:br/>
      </w:r>
      <w:r w:rsidRPr="00C4363E">
        <w:rPr>
          <w:szCs w:val="24"/>
        </w:rPr>
        <w:t>(</w:t>
      </w:r>
      <w:r>
        <w:rPr>
          <w:szCs w:val="24"/>
        </w:rPr>
        <w:t>2</w:t>
      </w:r>
      <w:r w:rsidRPr="00C4363E">
        <w:rPr>
          <w:szCs w:val="24"/>
        </w:rPr>
        <w:t xml:space="preserve">)  </w:t>
      </w:r>
      <w:proofErr w:type="spellStart"/>
      <w:r w:rsidRPr="00C4363E">
        <w:rPr>
          <w:szCs w:val="24"/>
        </w:rPr>
        <w:t>DoDI</w:t>
      </w:r>
      <w:proofErr w:type="spellEnd"/>
      <w:r w:rsidRPr="00C4363E">
        <w:rPr>
          <w:szCs w:val="24"/>
        </w:rPr>
        <w:t xml:space="preserve"> 7600.6, Audit of </w:t>
      </w:r>
      <w:proofErr w:type="spellStart"/>
      <w:r w:rsidRPr="00C4363E">
        <w:rPr>
          <w:szCs w:val="24"/>
        </w:rPr>
        <w:t>Nonappropriated</w:t>
      </w:r>
      <w:proofErr w:type="spellEnd"/>
      <w:r w:rsidRPr="00C4363E">
        <w:rPr>
          <w:szCs w:val="24"/>
        </w:rPr>
        <w:t xml:space="preserve"> Fund Instrumentalities and Related</w:t>
      </w:r>
      <w:r>
        <w:rPr>
          <w:szCs w:val="24"/>
        </w:rPr>
        <w:t xml:space="preserve"> </w:t>
      </w:r>
      <w:r w:rsidRPr="00C4363E">
        <w:rPr>
          <w:szCs w:val="24"/>
        </w:rPr>
        <w:t>Activities</w:t>
      </w:r>
      <w:r>
        <w:rPr>
          <w:szCs w:val="24"/>
        </w:rPr>
        <w:t xml:space="preserve"> - </w:t>
      </w:r>
      <w:r w:rsidRPr="00C4363E">
        <w:rPr>
          <w:szCs w:val="24"/>
        </w:rPr>
        <w:t xml:space="preserve">Provides guidance to audit organizations for audits of </w:t>
      </w:r>
      <w:proofErr w:type="spellStart"/>
      <w:r w:rsidRPr="00C4363E">
        <w:rPr>
          <w:szCs w:val="24"/>
        </w:rPr>
        <w:t>nonappropriated</w:t>
      </w:r>
      <w:proofErr w:type="spellEnd"/>
      <w:r w:rsidRPr="00C4363E">
        <w:rPr>
          <w:szCs w:val="24"/>
        </w:rPr>
        <w:t xml:space="preserve"> fund organizations.</w:t>
      </w:r>
    </w:p>
    <w:p w14:paraId="595577E9" w14:textId="77777777" w:rsidR="00281416" w:rsidRDefault="00281416" w:rsidP="00447B82">
      <w:pPr>
        <w:pStyle w:val="List2"/>
      </w:pPr>
      <w:r>
        <w:rPr>
          <w:szCs w:val="24"/>
        </w:rPr>
        <w:br/>
      </w:r>
      <w:r w:rsidRPr="00C4363E">
        <w:rPr>
          <w:szCs w:val="24"/>
        </w:rPr>
        <w:t>(</w:t>
      </w:r>
      <w:r>
        <w:rPr>
          <w:szCs w:val="24"/>
        </w:rPr>
        <w:t>3</w:t>
      </w:r>
      <w:r w:rsidRPr="00C4363E">
        <w:rPr>
          <w:szCs w:val="24"/>
        </w:rPr>
        <w:t xml:space="preserve">)  DoD 7600.7-M, </w:t>
      </w:r>
      <w:r>
        <w:rPr>
          <w:szCs w:val="24"/>
        </w:rPr>
        <w:t>DoD Audit Manual</w:t>
      </w:r>
      <w:r w:rsidRPr="00C4363E">
        <w:rPr>
          <w:szCs w:val="24"/>
        </w:rPr>
        <w:t xml:space="preserve"> - Provides policy and guidance to DoD audit organizations for the monitoring of audit services provided by non-Federal auditors.</w:t>
      </w:r>
    </w:p>
    <w:p w14:paraId="3EE61B0F" w14:textId="77777777" w:rsidR="00281416" w:rsidRPr="00C4363E" w:rsidRDefault="00281416" w:rsidP="00447B82">
      <w:r>
        <w:rPr>
          <w:szCs w:val="24"/>
        </w:rPr>
        <w:br/>
      </w:r>
    </w:p>
    <w:p w14:paraId="1CA8DA21" w14:textId="77777777" w:rsidR="00281416" w:rsidRDefault="00281416">
      <w:pPr>
        <w:sectPr w:rsidR="00281416" w:rsidSect="00184FDC">
          <w:headerReference w:type="default" r:id="rId23"/>
          <w:footerReference w:type="default" r:id="rId24"/>
          <w:pgSz w:w="12240" w:h="15840"/>
          <w:pgMar w:top="1440" w:right="1440" w:bottom="1440" w:left="1440" w:header="720" w:footer="720" w:gutter="0"/>
          <w:cols w:space="720"/>
          <w:docGrid w:linePitch="360"/>
        </w:sectPr>
      </w:pPr>
    </w:p>
    <w:p w14:paraId="14C4E900" w14:textId="77777777" w:rsidR="00281416" w:rsidRDefault="00281416" w:rsidP="00E527F6">
      <w:pPr>
        <w:jc w:val="center"/>
      </w:pPr>
      <w:r>
        <w:rPr>
          <w:i/>
          <w:szCs w:val="24"/>
        </w:rPr>
        <w:lastRenderedPageBreak/>
        <w:t>(Revised May 5, 2011)</w:t>
      </w:r>
    </w:p>
    <w:p w14:paraId="612B63A3" w14:textId="77777777" w:rsidR="00281416" w:rsidRDefault="00281416" w:rsidP="00E527F6">
      <w:pPr>
        <w:pStyle w:val="Heading3"/>
      </w:pPr>
      <w:r>
        <w:rPr>
          <w:i/>
          <w:szCs w:val="24"/>
        </w:rPr>
        <w:br/>
      </w:r>
      <w:bookmarkStart w:id="37" w:name="_Toc37415868"/>
      <w:bookmarkStart w:id="38" w:name="_Toc37677711"/>
      <w:bookmarkStart w:id="39" w:name="_Toc37756767"/>
      <w:r w:rsidRPr="00765CBD">
        <w:rPr>
          <w:bCs/>
          <w:color w:val="000000"/>
        </w:rPr>
        <w:t xml:space="preserve">PGI </w:t>
      </w:r>
      <w:proofErr w:type="gramStart"/>
      <w:r w:rsidRPr="00765CBD">
        <w:rPr>
          <w:bCs/>
          <w:color w:val="000000"/>
        </w:rPr>
        <w:t>237.5  MANAGEMENT</w:t>
      </w:r>
      <w:proofErr w:type="gramEnd"/>
      <w:r w:rsidRPr="00765CBD">
        <w:rPr>
          <w:bCs/>
          <w:color w:val="000000"/>
        </w:rPr>
        <w:t xml:space="preserve"> OVERSIGHT OF SERVICE CONTRACTS</w:t>
      </w:r>
      <w:bookmarkEnd w:id="37"/>
      <w:bookmarkEnd w:id="38"/>
      <w:bookmarkEnd w:id="39"/>
    </w:p>
    <w:p w14:paraId="589A5EB9" w14:textId="77777777" w:rsidR="00281416" w:rsidRDefault="00281416" w:rsidP="00E527F6">
      <w:pPr>
        <w:pStyle w:val="Heading3"/>
      </w:pPr>
      <w:r>
        <w:rPr>
          <w:bCs/>
          <w:color w:val="000000"/>
        </w:rPr>
        <w:br/>
      </w:r>
      <w:bookmarkStart w:id="40" w:name="_Toc37415869"/>
      <w:bookmarkStart w:id="41" w:name="_Toc37677712"/>
      <w:bookmarkStart w:id="42" w:name="_Toc37756768"/>
      <w:r w:rsidRPr="00765CBD">
        <w:rPr>
          <w:bCs/>
          <w:color w:val="000000"/>
        </w:rPr>
        <w:t xml:space="preserve">PGI </w:t>
      </w:r>
      <w:proofErr w:type="gramStart"/>
      <w:r w:rsidRPr="00765CBD">
        <w:rPr>
          <w:bCs/>
          <w:color w:val="000000"/>
        </w:rPr>
        <w:t>237.503  Agency</w:t>
      </w:r>
      <w:proofErr w:type="gramEnd"/>
      <w:r w:rsidRPr="00765CBD">
        <w:rPr>
          <w:bCs/>
          <w:color w:val="000000"/>
        </w:rPr>
        <w:t>-head responsibilities.</w:t>
      </w:r>
      <w:bookmarkEnd w:id="40"/>
      <w:bookmarkEnd w:id="41"/>
      <w:bookmarkEnd w:id="42"/>
    </w:p>
    <w:p w14:paraId="3530B85F" w14:textId="77777777" w:rsidR="00281416" w:rsidRDefault="00281416" w:rsidP="00E527F6">
      <w:pPr>
        <w:pStyle w:val="List1"/>
      </w:pPr>
      <w:r>
        <w:br/>
      </w:r>
      <w:r w:rsidRPr="00D74669">
        <w:t xml:space="preserve">(c)  To comply with the certification requirement at DFARS </w:t>
      </w:r>
      <w:hyperlink r:id="rId25" w:anchor="237.503" w:history="1">
        <w:r w:rsidRPr="001D067E">
          <w:rPr>
            <w:rStyle w:val="Hyperlink"/>
          </w:rPr>
          <w:t>237.503</w:t>
        </w:r>
      </w:hyperlink>
      <w:r w:rsidRPr="00D74669">
        <w:t xml:space="preserve">, complete a </w:t>
      </w:r>
      <w:r>
        <w:t xml:space="preserve">certification </w:t>
      </w:r>
      <w:r w:rsidRPr="00D74669">
        <w:t>substantially the same as the following and include a copy in the contract file:</w:t>
      </w:r>
    </w:p>
    <w:p w14:paraId="291DF432" w14:textId="77777777" w:rsidR="00281416" w:rsidRDefault="00281416" w:rsidP="00E527F6">
      <w:r>
        <w:rPr>
          <w:b/>
          <w:bCs/>
        </w:rPr>
        <w:br/>
      </w:r>
      <w:r>
        <w:t>Certification of Nonpersonal</w:t>
      </w:r>
      <w:r w:rsidRPr="00765CBD">
        <w:t xml:space="preserve"> Services</w:t>
      </w:r>
    </w:p>
    <w:p w14:paraId="7D2DFA47" w14:textId="77777777" w:rsidR="00281416" w:rsidRDefault="00281416" w:rsidP="0070073A">
      <w:pPr>
        <w:tabs>
          <w:tab w:val="left" w:pos="360"/>
        </w:tabs>
        <w:ind w:right="360" w:hanging="280"/>
        <w:rPr>
          <w:b/>
          <w:color w:val="000000"/>
        </w:rPr>
      </w:pPr>
      <w:r>
        <w:rPr>
          <w:color w:val="000000"/>
          <w:szCs w:val="28"/>
        </w:rPr>
        <w:br/>
      </w:r>
      <w:r>
        <w:rPr>
          <w:color w:val="000000"/>
        </w:rPr>
        <w:tab/>
      </w:r>
      <w:r>
        <w:rPr>
          <w:color w:val="000000"/>
        </w:rPr>
        <w:tab/>
      </w:r>
      <w:r w:rsidRPr="00D74669">
        <w:rPr>
          <w:color w:val="000000"/>
        </w:rPr>
        <w:t xml:space="preserve">This certification and enclosed worksheet </w:t>
      </w:r>
      <w:proofErr w:type="gramStart"/>
      <w:r w:rsidRPr="00D74669">
        <w:rPr>
          <w:color w:val="000000"/>
        </w:rPr>
        <w:t>is</w:t>
      </w:r>
      <w:proofErr w:type="gramEnd"/>
      <w:r w:rsidRPr="00D74669">
        <w:rPr>
          <w:color w:val="000000"/>
        </w:rPr>
        <w:t xml:space="preserve"> designed to ensure that the agency does not award a personal-services contract unless specifically authorized by statute (e.g., 10 U.S.C. 129b, 5 U.S.C. 3109, or 10 U.S.C. 1091).  Therefore, this documentation should be completed in conjunction with the submission of a service-contract requirement to the contracting officer.</w:t>
      </w:r>
    </w:p>
    <w:p w14:paraId="67E76702" w14:textId="77777777" w:rsidR="00281416" w:rsidRDefault="00281416" w:rsidP="0070073A">
      <w:pPr>
        <w:tabs>
          <w:tab w:val="left" w:pos="360"/>
        </w:tabs>
        <w:ind w:right="360" w:hanging="280"/>
        <w:rPr>
          <w:b/>
          <w:color w:val="000000"/>
        </w:rPr>
      </w:pPr>
      <w:r>
        <w:rPr>
          <w:b/>
          <w:color w:val="000000"/>
        </w:rPr>
        <w:br/>
      </w:r>
      <w:r>
        <w:rPr>
          <w:color w:val="000000"/>
        </w:rPr>
        <w:tab/>
      </w:r>
      <w:r>
        <w:rPr>
          <w:color w:val="000000"/>
        </w:rPr>
        <w:tab/>
      </w:r>
      <w:r w:rsidRPr="00D74669">
        <w:rPr>
          <w:color w:val="000000"/>
        </w:rPr>
        <w:t xml:space="preserve">A personal services contract is characterized by the employer-employee relationship it creates between the Government and the contractor’s personnel.  The Government is normally required to obtain its employees by direct hire under competitive appointment procedures required by civil service laws.  Obtaining personal services by contract, rather than by direct hire, circumvents those laws unless Congress has specifically authorized acquisition of the services by contract.  </w:t>
      </w:r>
    </w:p>
    <w:p w14:paraId="3367A340" w14:textId="77777777" w:rsidR="00281416" w:rsidRDefault="00281416" w:rsidP="0070073A">
      <w:pPr>
        <w:tabs>
          <w:tab w:val="left" w:pos="360"/>
        </w:tabs>
        <w:ind w:right="360" w:hanging="280"/>
        <w:rPr>
          <w:b/>
          <w:color w:val="000000"/>
        </w:rPr>
      </w:pPr>
      <w:r>
        <w:rPr>
          <w:b/>
          <w:color w:val="000000"/>
        </w:rPr>
        <w:br/>
      </w:r>
      <w:r>
        <w:rPr>
          <w:color w:val="000000"/>
        </w:rPr>
        <w:tab/>
      </w:r>
      <w:r>
        <w:rPr>
          <w:color w:val="000000"/>
        </w:rPr>
        <w:tab/>
      </w:r>
      <w:r w:rsidRPr="00D74669">
        <w:rPr>
          <w:color w:val="000000"/>
        </w:rPr>
        <w:t xml:space="preserve">An employer-employee relationship under a service contract occurs when the Government exercises relatively continuous supervision and control over contractor personnel performing the contract.  </w:t>
      </w:r>
    </w:p>
    <w:p w14:paraId="29EE9AD4" w14:textId="77777777" w:rsidR="00281416" w:rsidRDefault="00281416" w:rsidP="0070073A">
      <w:pPr>
        <w:tabs>
          <w:tab w:val="left" w:pos="360"/>
        </w:tabs>
        <w:ind w:right="360" w:hanging="280"/>
        <w:rPr>
          <w:b/>
          <w:color w:val="000000"/>
        </w:rPr>
      </w:pPr>
      <w:r>
        <w:rPr>
          <w:b/>
          <w:color w:val="000000"/>
        </w:rPr>
        <w:br/>
      </w:r>
      <w:r>
        <w:rPr>
          <w:color w:val="000000"/>
        </w:rPr>
        <w:tab/>
      </w:r>
      <w:r>
        <w:rPr>
          <w:color w:val="000000"/>
        </w:rPr>
        <w:tab/>
      </w:r>
      <w:r w:rsidRPr="00D74669">
        <w:rPr>
          <w:color w:val="000000"/>
        </w:rPr>
        <w:t xml:space="preserve">Upon considering the information above and the worksheet below, I certify that this requirement does not include an unauthorized personal services arrangement, either in the </w:t>
      </w:r>
      <w:r w:rsidRPr="00D74669">
        <w:rPr>
          <w:color w:val="000000"/>
        </w:rPr>
        <w:lastRenderedPageBreak/>
        <w:t>way the work statement is written or in the manner in which the resulting contract will be managed and overseen.</w:t>
      </w:r>
    </w:p>
    <w:p w14:paraId="41B682EB" w14:textId="77777777" w:rsidR="00281416" w:rsidRPr="00D74669" w:rsidRDefault="00281416" w:rsidP="00D02902">
      <w:pPr>
        <w:ind w:left="360" w:right="360" w:firstLine="720"/>
        <w:jc w:val="center"/>
        <w:rPr>
          <w:b/>
          <w:color w:val="000000"/>
        </w:rPr>
      </w:pPr>
      <w:r>
        <w:rPr>
          <w:b/>
          <w:color w:val="000000"/>
        </w:rPr>
        <w:br/>
      </w:r>
      <w:r w:rsidRPr="00D74669">
        <w:rPr>
          <w:color w:val="000000"/>
        </w:rPr>
        <w:t xml:space="preserve">                                      </w:t>
      </w:r>
      <w:r>
        <w:rPr>
          <w:color w:val="000000"/>
        </w:rPr>
        <w:t xml:space="preserve"> </w:t>
      </w:r>
      <w:r w:rsidRPr="00D74669">
        <w:rPr>
          <w:color w:val="000000"/>
        </w:rPr>
        <w:t>_______________________________</w:t>
      </w:r>
    </w:p>
    <w:p w14:paraId="11C94B4A" w14:textId="77777777" w:rsidR="00281416" w:rsidRDefault="00281416" w:rsidP="00D02902">
      <w:pPr>
        <w:ind w:left="360" w:right="360" w:firstLine="720"/>
        <w:rPr>
          <w:b/>
          <w:color w:val="000000"/>
        </w:rPr>
      </w:pPr>
      <w:r>
        <w:rPr>
          <w:color w:val="000000"/>
        </w:rPr>
        <w:tab/>
      </w:r>
      <w:r>
        <w:rPr>
          <w:color w:val="000000"/>
        </w:rPr>
        <w:tab/>
      </w:r>
      <w:r w:rsidRPr="00D74669">
        <w:rPr>
          <w:color w:val="000000"/>
        </w:rPr>
        <w:t>Printed Name, Grade, Title, and Date</w:t>
      </w:r>
    </w:p>
    <w:p w14:paraId="725A0828" w14:textId="77777777" w:rsidR="00281416" w:rsidRDefault="00281416" w:rsidP="00D02902">
      <w:pPr>
        <w:ind w:left="360" w:right="360" w:firstLine="720"/>
        <w:jc w:val="center"/>
        <w:rPr>
          <w:b/>
          <w:color w:val="000000"/>
        </w:rPr>
      </w:pPr>
      <w:r>
        <w:rPr>
          <w:b/>
          <w:color w:val="000000"/>
        </w:rPr>
        <w:br/>
      </w:r>
      <w:r w:rsidRPr="00D74669">
        <w:rPr>
          <w:color w:val="000000"/>
        </w:rPr>
        <w:t xml:space="preserve">                                      </w:t>
      </w:r>
      <w:proofErr w:type="gramStart"/>
      <w:r w:rsidRPr="00D74669">
        <w:rPr>
          <w:color w:val="000000"/>
        </w:rPr>
        <w:t>Signature:_</w:t>
      </w:r>
      <w:proofErr w:type="gramEnd"/>
      <w:r w:rsidRPr="00D74669">
        <w:rPr>
          <w:color w:val="000000"/>
        </w:rPr>
        <w:t>_____________________</w:t>
      </w:r>
    </w:p>
    <w:p w14:paraId="02F7E22B" w14:textId="77777777" w:rsidR="00281416" w:rsidRDefault="00281416" w:rsidP="00D02902">
      <w:pPr>
        <w:ind w:left="360" w:right="360" w:firstLine="720"/>
        <w:jc w:val="center"/>
        <w:rPr>
          <w:b/>
          <w:color w:val="000000"/>
        </w:rPr>
      </w:pPr>
    </w:p>
    <w:p w14:paraId="7AAC3401" w14:textId="77777777" w:rsidR="00281416" w:rsidRDefault="00281416" w:rsidP="00D02902">
      <w:pPr>
        <w:ind w:left="360" w:right="360" w:firstLine="720"/>
        <w:jc w:val="center"/>
        <w:rPr>
          <w:b/>
          <w:color w:val="000000"/>
        </w:rPr>
      </w:pPr>
    </w:p>
    <w:p w14:paraId="3B5406E6" w14:textId="77777777" w:rsidR="00281416" w:rsidRDefault="00281416" w:rsidP="00D02902">
      <w:pPr>
        <w:ind w:left="360" w:right="360" w:firstLine="720"/>
        <w:jc w:val="center"/>
        <w:rPr>
          <w:b/>
          <w:color w:val="000000"/>
        </w:rPr>
      </w:pPr>
    </w:p>
    <w:p w14:paraId="21996BC4" w14:textId="77777777" w:rsidR="00281416" w:rsidRDefault="00281416" w:rsidP="00D02902">
      <w:pPr>
        <w:tabs>
          <w:tab w:val="left" w:pos="360"/>
        </w:tabs>
        <w:ind w:left="360" w:right="360"/>
        <w:jc w:val="center"/>
        <w:rPr>
          <w:b/>
          <w:color w:val="000000"/>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6"/>
        <w:gridCol w:w="7180"/>
        <w:gridCol w:w="720"/>
        <w:gridCol w:w="626"/>
      </w:tblGrid>
      <w:tr w:rsidR="00281416" w:rsidRPr="00D74669" w14:paraId="55029805" w14:textId="77777777" w:rsidTr="00E91355">
        <w:tc>
          <w:tcPr>
            <w:tcW w:w="540" w:type="dxa"/>
            <w:shd w:val="clear" w:color="auto" w:fill="C0C0C0"/>
          </w:tcPr>
          <w:p w14:paraId="15C7F940" w14:textId="77777777" w:rsidR="00281416" w:rsidRPr="00D74669" w:rsidRDefault="00281416" w:rsidP="00D02902">
            <w:pPr>
              <w:rPr>
                <w:b/>
                <w:color w:val="000000"/>
              </w:rPr>
            </w:pPr>
          </w:p>
        </w:tc>
        <w:tc>
          <w:tcPr>
            <w:tcW w:w="7338" w:type="dxa"/>
            <w:shd w:val="clear" w:color="auto" w:fill="C0C0C0"/>
          </w:tcPr>
          <w:p w14:paraId="33B1C4D2" w14:textId="77777777" w:rsidR="00281416" w:rsidRPr="00D74669" w:rsidRDefault="00281416" w:rsidP="003A4DF8">
            <w:pPr>
              <w:spacing w:after="120"/>
              <w:ind w:left="342" w:hanging="342"/>
              <w:rPr>
                <w:b/>
                <w:color w:val="000000"/>
              </w:rPr>
            </w:pPr>
            <w:r w:rsidRPr="00D74669">
              <w:rPr>
                <w:color w:val="000000"/>
              </w:rPr>
              <w:t xml:space="preserve">Personal Services </w:t>
            </w:r>
            <w:r>
              <w:rPr>
                <w:color w:val="000000"/>
              </w:rPr>
              <w:t xml:space="preserve">                                                                   </w:t>
            </w:r>
            <w:proofErr w:type="gramStart"/>
            <w:r>
              <w:rPr>
                <w:color w:val="000000"/>
              </w:rPr>
              <w:t xml:space="preserve">   </w:t>
            </w:r>
            <w:r w:rsidRPr="00D74669">
              <w:rPr>
                <w:color w:val="000000"/>
              </w:rPr>
              <w:t>(</w:t>
            </w:r>
            <w:proofErr w:type="gramEnd"/>
            <w:r w:rsidRPr="00D74669">
              <w:rPr>
                <w:color w:val="000000"/>
              </w:rPr>
              <w:t>The following descriptive elements from FAR 37.104 should be used as a guide to assess whether or not a proposed contract is personal in nature.  If the answer to any of the items below is “YES,” then additional measures should be taken to ensure the contract is not administered so as to create an employer-employee relationship between the Government and the contractor’s personnel and result in an unauthorized personal services contract.)</w:t>
            </w:r>
          </w:p>
        </w:tc>
        <w:tc>
          <w:tcPr>
            <w:tcW w:w="722" w:type="dxa"/>
            <w:shd w:val="clear" w:color="auto" w:fill="C0C0C0"/>
          </w:tcPr>
          <w:p w14:paraId="45D88B73" w14:textId="77777777" w:rsidR="00281416" w:rsidRPr="00D74669" w:rsidRDefault="00281416" w:rsidP="00D02902">
            <w:pPr>
              <w:rPr>
                <w:b/>
                <w:color w:val="000000"/>
              </w:rPr>
            </w:pPr>
            <w:r w:rsidRPr="00D74669">
              <w:rPr>
                <w:color w:val="000000"/>
              </w:rPr>
              <w:t>YES</w:t>
            </w:r>
          </w:p>
        </w:tc>
        <w:tc>
          <w:tcPr>
            <w:tcW w:w="628" w:type="dxa"/>
            <w:shd w:val="clear" w:color="auto" w:fill="C0C0C0"/>
          </w:tcPr>
          <w:p w14:paraId="1F6A887B" w14:textId="77777777" w:rsidR="00281416" w:rsidRPr="00D74669" w:rsidRDefault="00281416" w:rsidP="00D02902">
            <w:pPr>
              <w:ind w:right="-90"/>
              <w:rPr>
                <w:b/>
                <w:color w:val="000000"/>
              </w:rPr>
            </w:pPr>
            <w:r w:rsidRPr="00D74669">
              <w:rPr>
                <w:color w:val="000000"/>
              </w:rPr>
              <w:t>NO</w:t>
            </w:r>
          </w:p>
        </w:tc>
      </w:tr>
      <w:tr w:rsidR="00281416" w:rsidRPr="00D74669" w14:paraId="10F052A8" w14:textId="77777777" w:rsidTr="00E91355">
        <w:trPr>
          <w:trHeight w:val="350"/>
        </w:trPr>
        <w:tc>
          <w:tcPr>
            <w:tcW w:w="540" w:type="dxa"/>
          </w:tcPr>
          <w:p w14:paraId="5F8EE0A4" w14:textId="77777777" w:rsidR="00281416" w:rsidRPr="00641065" w:rsidRDefault="00281416" w:rsidP="00955C45">
            <w:pPr>
              <w:rPr>
                <w:b/>
                <w:color w:val="000000"/>
              </w:rPr>
            </w:pPr>
            <w:r w:rsidRPr="00641065">
              <w:rPr>
                <w:color w:val="000000"/>
              </w:rPr>
              <w:t>1.</w:t>
            </w:r>
          </w:p>
        </w:tc>
        <w:tc>
          <w:tcPr>
            <w:tcW w:w="7338" w:type="dxa"/>
          </w:tcPr>
          <w:p w14:paraId="074CD1D7" w14:textId="77777777" w:rsidR="00281416" w:rsidRPr="00D74669" w:rsidRDefault="00281416" w:rsidP="00AC4396">
            <w:pPr>
              <w:spacing w:after="120"/>
              <w:rPr>
                <w:b/>
                <w:color w:val="000000"/>
              </w:rPr>
            </w:pPr>
            <w:r w:rsidRPr="00D74669">
              <w:rPr>
                <w:color w:val="000000"/>
              </w:rPr>
              <w:t>Contractor personnel are performing on a Government site.</w:t>
            </w:r>
          </w:p>
        </w:tc>
        <w:tc>
          <w:tcPr>
            <w:tcW w:w="722" w:type="dxa"/>
          </w:tcPr>
          <w:p w14:paraId="291AEBEA" w14:textId="77777777" w:rsidR="00281416" w:rsidRPr="00D74669" w:rsidRDefault="00281416" w:rsidP="00D02902">
            <w:pPr>
              <w:ind w:left="360"/>
              <w:rPr>
                <w:b/>
                <w:color w:val="000000"/>
              </w:rPr>
            </w:pPr>
          </w:p>
        </w:tc>
        <w:tc>
          <w:tcPr>
            <w:tcW w:w="628" w:type="dxa"/>
          </w:tcPr>
          <w:p w14:paraId="08D93C70" w14:textId="77777777" w:rsidR="00281416" w:rsidRPr="00D74669" w:rsidRDefault="00281416" w:rsidP="00D02902">
            <w:pPr>
              <w:ind w:left="360"/>
              <w:rPr>
                <w:b/>
                <w:color w:val="000000"/>
              </w:rPr>
            </w:pPr>
          </w:p>
        </w:tc>
      </w:tr>
      <w:tr w:rsidR="00281416" w:rsidRPr="00D74669" w14:paraId="3D8F7C8D" w14:textId="77777777" w:rsidTr="00E91355">
        <w:trPr>
          <w:trHeight w:val="512"/>
        </w:trPr>
        <w:tc>
          <w:tcPr>
            <w:tcW w:w="540" w:type="dxa"/>
          </w:tcPr>
          <w:p w14:paraId="6E9FB2D2" w14:textId="77777777" w:rsidR="00281416" w:rsidRPr="00641065" w:rsidRDefault="00281416" w:rsidP="00955C45">
            <w:pPr>
              <w:tabs>
                <w:tab w:val="left" w:pos="972"/>
              </w:tabs>
              <w:rPr>
                <w:b/>
                <w:color w:val="000000"/>
              </w:rPr>
            </w:pPr>
            <w:r w:rsidRPr="00641065">
              <w:rPr>
                <w:color w:val="000000"/>
              </w:rPr>
              <w:t>2.</w:t>
            </w:r>
          </w:p>
        </w:tc>
        <w:tc>
          <w:tcPr>
            <w:tcW w:w="7338" w:type="dxa"/>
          </w:tcPr>
          <w:p w14:paraId="7F9C208A" w14:textId="77777777" w:rsidR="00281416" w:rsidRPr="00D74669" w:rsidRDefault="00281416" w:rsidP="00AC4396">
            <w:pPr>
              <w:tabs>
                <w:tab w:val="left" w:pos="750"/>
              </w:tabs>
              <w:rPr>
                <w:b/>
                <w:color w:val="000000"/>
              </w:rPr>
            </w:pPr>
            <w:r w:rsidRPr="00D74669">
              <w:rPr>
                <w:color w:val="000000"/>
              </w:rPr>
              <w:t>Principal tools and</w:t>
            </w:r>
            <w:r>
              <w:rPr>
                <w:color w:val="000000"/>
              </w:rPr>
              <w:t xml:space="preserve"> equipment are furnished by the </w:t>
            </w:r>
            <w:r w:rsidRPr="00D74669">
              <w:rPr>
                <w:color w:val="000000"/>
              </w:rPr>
              <w:t>Government.</w:t>
            </w:r>
          </w:p>
        </w:tc>
        <w:tc>
          <w:tcPr>
            <w:tcW w:w="722" w:type="dxa"/>
          </w:tcPr>
          <w:p w14:paraId="239950E2" w14:textId="77777777" w:rsidR="00281416" w:rsidRPr="00D74669" w:rsidRDefault="00281416" w:rsidP="00D02902">
            <w:pPr>
              <w:ind w:left="360"/>
              <w:rPr>
                <w:b/>
                <w:color w:val="000000"/>
              </w:rPr>
            </w:pPr>
          </w:p>
        </w:tc>
        <w:tc>
          <w:tcPr>
            <w:tcW w:w="628" w:type="dxa"/>
          </w:tcPr>
          <w:p w14:paraId="4BC0C697" w14:textId="77777777" w:rsidR="00281416" w:rsidRPr="00D74669" w:rsidRDefault="00281416" w:rsidP="00D02902">
            <w:pPr>
              <w:ind w:left="360"/>
              <w:rPr>
                <w:b/>
                <w:color w:val="000000"/>
              </w:rPr>
            </w:pPr>
          </w:p>
        </w:tc>
      </w:tr>
      <w:tr w:rsidR="00281416" w:rsidRPr="00D74669" w14:paraId="78D9DBFF" w14:textId="77777777" w:rsidTr="00E91355">
        <w:tc>
          <w:tcPr>
            <w:tcW w:w="540" w:type="dxa"/>
          </w:tcPr>
          <w:p w14:paraId="44AA0411" w14:textId="77777777" w:rsidR="00281416" w:rsidRPr="00641065" w:rsidRDefault="00281416" w:rsidP="00D02902">
            <w:pPr>
              <w:rPr>
                <w:b/>
                <w:color w:val="000000"/>
              </w:rPr>
            </w:pPr>
            <w:r w:rsidRPr="00641065">
              <w:rPr>
                <w:color w:val="000000"/>
              </w:rPr>
              <w:t>3</w:t>
            </w:r>
            <w:r>
              <w:rPr>
                <w:color w:val="000000"/>
              </w:rPr>
              <w:t>.</w:t>
            </w:r>
          </w:p>
        </w:tc>
        <w:tc>
          <w:tcPr>
            <w:tcW w:w="7338" w:type="dxa"/>
          </w:tcPr>
          <w:p w14:paraId="496AC7A8" w14:textId="77777777" w:rsidR="00281416" w:rsidRPr="00D74669" w:rsidRDefault="00281416" w:rsidP="00D02902">
            <w:pPr>
              <w:spacing w:after="120"/>
              <w:rPr>
                <w:b/>
                <w:color w:val="000000"/>
              </w:rPr>
            </w:pPr>
            <w:r w:rsidRPr="00D74669">
              <w:rPr>
                <w:color w:val="000000"/>
              </w:rPr>
              <w:t>Services are applied directly to the integral effort of the agency or an organizational subpart in furtherance of assigned function or mission.</w:t>
            </w:r>
          </w:p>
        </w:tc>
        <w:tc>
          <w:tcPr>
            <w:tcW w:w="722" w:type="dxa"/>
          </w:tcPr>
          <w:p w14:paraId="207A5CD0" w14:textId="77777777" w:rsidR="00281416" w:rsidRPr="00D74669" w:rsidRDefault="00281416" w:rsidP="00D02902">
            <w:pPr>
              <w:ind w:left="360"/>
              <w:rPr>
                <w:b/>
                <w:color w:val="000000"/>
              </w:rPr>
            </w:pPr>
          </w:p>
        </w:tc>
        <w:tc>
          <w:tcPr>
            <w:tcW w:w="628" w:type="dxa"/>
          </w:tcPr>
          <w:p w14:paraId="114756CE" w14:textId="77777777" w:rsidR="00281416" w:rsidRPr="00D74669" w:rsidRDefault="00281416" w:rsidP="00D02902">
            <w:pPr>
              <w:ind w:left="360"/>
              <w:rPr>
                <w:b/>
                <w:color w:val="000000"/>
              </w:rPr>
            </w:pPr>
          </w:p>
        </w:tc>
      </w:tr>
      <w:tr w:rsidR="00281416" w:rsidRPr="00D74669" w14:paraId="3F45F4E1" w14:textId="77777777" w:rsidTr="00E91355">
        <w:tc>
          <w:tcPr>
            <w:tcW w:w="540" w:type="dxa"/>
          </w:tcPr>
          <w:p w14:paraId="58D9CA8F" w14:textId="77777777" w:rsidR="00281416" w:rsidRPr="00641065" w:rsidRDefault="00281416" w:rsidP="00D02902">
            <w:pPr>
              <w:rPr>
                <w:b/>
                <w:color w:val="000000"/>
              </w:rPr>
            </w:pPr>
            <w:r w:rsidRPr="00641065">
              <w:rPr>
                <w:color w:val="000000"/>
              </w:rPr>
              <w:t>4</w:t>
            </w:r>
            <w:r>
              <w:rPr>
                <w:color w:val="000000"/>
              </w:rPr>
              <w:t>.</w:t>
            </w:r>
          </w:p>
        </w:tc>
        <w:tc>
          <w:tcPr>
            <w:tcW w:w="7338" w:type="dxa"/>
          </w:tcPr>
          <w:p w14:paraId="363CB2C8" w14:textId="77777777" w:rsidR="00281416" w:rsidRPr="00D74669" w:rsidRDefault="00281416" w:rsidP="00D02902">
            <w:pPr>
              <w:spacing w:after="120"/>
              <w:rPr>
                <w:b/>
                <w:color w:val="000000"/>
              </w:rPr>
            </w:pPr>
            <w:r>
              <w:rPr>
                <w:color w:val="000000"/>
              </w:rPr>
              <w:t>C</w:t>
            </w:r>
            <w:r w:rsidRPr="00D74669">
              <w:rPr>
                <w:color w:val="000000"/>
              </w:rPr>
              <w:t xml:space="preserve">omparable services meeting comparable needs are performed in this agency or similar agencies using civil-service personnel.  </w:t>
            </w:r>
          </w:p>
        </w:tc>
        <w:tc>
          <w:tcPr>
            <w:tcW w:w="722" w:type="dxa"/>
          </w:tcPr>
          <w:p w14:paraId="51A36C89" w14:textId="77777777" w:rsidR="00281416" w:rsidRPr="00D74669" w:rsidRDefault="00281416" w:rsidP="00D02902">
            <w:pPr>
              <w:ind w:left="360"/>
              <w:rPr>
                <w:b/>
                <w:color w:val="000000"/>
              </w:rPr>
            </w:pPr>
          </w:p>
        </w:tc>
        <w:tc>
          <w:tcPr>
            <w:tcW w:w="628" w:type="dxa"/>
          </w:tcPr>
          <w:p w14:paraId="0587A15C" w14:textId="77777777" w:rsidR="00281416" w:rsidRPr="00D74669" w:rsidRDefault="00281416" w:rsidP="00D02902">
            <w:pPr>
              <w:ind w:left="360"/>
              <w:rPr>
                <w:b/>
                <w:color w:val="000000"/>
              </w:rPr>
            </w:pPr>
          </w:p>
        </w:tc>
      </w:tr>
      <w:tr w:rsidR="00281416" w:rsidRPr="00D74669" w14:paraId="7EC687FB" w14:textId="77777777" w:rsidTr="00E91355">
        <w:tc>
          <w:tcPr>
            <w:tcW w:w="540" w:type="dxa"/>
          </w:tcPr>
          <w:p w14:paraId="79D026E3" w14:textId="77777777" w:rsidR="00281416" w:rsidRPr="00641065" w:rsidRDefault="00281416" w:rsidP="00D02902">
            <w:pPr>
              <w:rPr>
                <w:b/>
                <w:color w:val="000000"/>
              </w:rPr>
            </w:pPr>
            <w:r w:rsidRPr="00641065">
              <w:rPr>
                <w:color w:val="000000"/>
              </w:rPr>
              <w:lastRenderedPageBreak/>
              <w:t>5.</w:t>
            </w:r>
          </w:p>
        </w:tc>
        <w:tc>
          <w:tcPr>
            <w:tcW w:w="7338" w:type="dxa"/>
          </w:tcPr>
          <w:p w14:paraId="4170D9C9" w14:textId="77777777" w:rsidR="00281416" w:rsidRPr="00D74669" w:rsidRDefault="00281416" w:rsidP="00D02902">
            <w:pPr>
              <w:spacing w:after="120"/>
              <w:rPr>
                <w:b/>
                <w:color w:val="000000"/>
              </w:rPr>
            </w:pPr>
            <w:r>
              <w:rPr>
                <w:color w:val="000000"/>
              </w:rPr>
              <w:t>T</w:t>
            </w:r>
            <w:r w:rsidRPr="00D74669">
              <w:rPr>
                <w:color w:val="000000"/>
              </w:rPr>
              <w:t>he need for the service provided can reasonably be expected to last beyond one year.</w:t>
            </w:r>
          </w:p>
        </w:tc>
        <w:tc>
          <w:tcPr>
            <w:tcW w:w="722" w:type="dxa"/>
          </w:tcPr>
          <w:p w14:paraId="215FCFA9" w14:textId="77777777" w:rsidR="00281416" w:rsidRPr="00D74669" w:rsidRDefault="00281416" w:rsidP="00D02902">
            <w:pPr>
              <w:ind w:left="360"/>
              <w:rPr>
                <w:b/>
                <w:color w:val="000000"/>
              </w:rPr>
            </w:pPr>
          </w:p>
        </w:tc>
        <w:tc>
          <w:tcPr>
            <w:tcW w:w="628" w:type="dxa"/>
          </w:tcPr>
          <w:p w14:paraId="73AE3F7D" w14:textId="77777777" w:rsidR="00281416" w:rsidRPr="00D74669" w:rsidRDefault="00281416" w:rsidP="00D02902">
            <w:pPr>
              <w:ind w:left="360"/>
              <w:rPr>
                <w:b/>
                <w:color w:val="000000"/>
              </w:rPr>
            </w:pPr>
          </w:p>
        </w:tc>
      </w:tr>
      <w:tr w:rsidR="00281416" w:rsidRPr="00D74669" w14:paraId="64B8522D" w14:textId="77777777" w:rsidTr="00E91355">
        <w:tc>
          <w:tcPr>
            <w:tcW w:w="540" w:type="dxa"/>
          </w:tcPr>
          <w:p w14:paraId="215BA5D7" w14:textId="77777777" w:rsidR="00281416" w:rsidRPr="00641065" w:rsidRDefault="00281416" w:rsidP="00D02902">
            <w:pPr>
              <w:rPr>
                <w:b/>
                <w:color w:val="000000"/>
              </w:rPr>
            </w:pPr>
            <w:r>
              <w:rPr>
                <w:color w:val="000000"/>
              </w:rPr>
              <w:t>6.</w:t>
            </w:r>
          </w:p>
        </w:tc>
        <w:tc>
          <w:tcPr>
            <w:tcW w:w="7338" w:type="dxa"/>
          </w:tcPr>
          <w:p w14:paraId="53F5F41C" w14:textId="77777777" w:rsidR="00281416" w:rsidRDefault="00281416" w:rsidP="00E6596F">
            <w:pPr>
              <w:spacing w:after="120"/>
              <w:rPr>
                <w:b/>
                <w:color w:val="000000"/>
              </w:rPr>
            </w:pPr>
            <w:r>
              <w:rPr>
                <w:color w:val="000000"/>
              </w:rPr>
              <w:t>The inherent nature of the service, or the manner in which it is to be provided, reasonably requires (directly or indirectly) Government direction or supervision of contractor employees in order to: (a) adequately protect the Government’s interest; (b) retain control of the function involved; or (c) retain full personal responsibility for the function supported in a duly authorized Federal officer or employee.</w:t>
            </w:r>
          </w:p>
        </w:tc>
        <w:tc>
          <w:tcPr>
            <w:tcW w:w="722" w:type="dxa"/>
          </w:tcPr>
          <w:p w14:paraId="1DA2A932" w14:textId="77777777" w:rsidR="00281416" w:rsidRPr="00D74669" w:rsidRDefault="00281416" w:rsidP="00D02902">
            <w:pPr>
              <w:ind w:left="360"/>
              <w:rPr>
                <w:b/>
                <w:color w:val="000000"/>
              </w:rPr>
            </w:pPr>
          </w:p>
        </w:tc>
        <w:tc>
          <w:tcPr>
            <w:tcW w:w="628" w:type="dxa"/>
          </w:tcPr>
          <w:p w14:paraId="0441A089" w14:textId="77777777" w:rsidR="00281416" w:rsidRPr="00D74669" w:rsidRDefault="00281416" w:rsidP="00D02902">
            <w:pPr>
              <w:ind w:left="360"/>
              <w:rPr>
                <w:b/>
                <w:color w:val="000000"/>
              </w:rPr>
            </w:pPr>
          </w:p>
        </w:tc>
      </w:tr>
    </w:tbl>
    <w:p w14:paraId="0E358136" w14:textId="77777777" w:rsidR="00281416" w:rsidRDefault="00281416" w:rsidP="00D02902">
      <w:pPr>
        <w:ind w:left="360" w:right="360" w:firstLine="720"/>
        <w:rPr>
          <w:b/>
          <w:color w:val="000000"/>
        </w:rPr>
      </w:pPr>
    </w:p>
    <w:p w14:paraId="35AAA792" w14:textId="77777777" w:rsidR="00281416" w:rsidRPr="00D74669" w:rsidRDefault="00281416">
      <w:pPr>
        <w:ind w:left="360" w:right="360" w:firstLine="720"/>
        <w:rPr>
          <w:b/>
          <w:color w:val="000000"/>
        </w:rPr>
      </w:pPr>
      <w:r>
        <w:rPr>
          <w:b/>
          <w:color w:val="000000"/>
        </w:rPr>
        <w:br/>
      </w:r>
    </w:p>
    <w:p w14:paraId="6EEB534B" w14:textId="77777777" w:rsidR="00281416" w:rsidRDefault="00281416">
      <w:pPr>
        <w:sectPr w:rsidR="00281416" w:rsidSect="00FE1487">
          <w:headerReference w:type="default" r:id="rId26"/>
          <w:footerReference w:type="default" r:id="rId27"/>
          <w:pgSz w:w="12240" w:h="15840"/>
          <w:pgMar w:top="1440" w:right="1440" w:bottom="1440" w:left="1440" w:header="720" w:footer="720" w:gutter="0"/>
          <w:cols w:space="720"/>
          <w:docGrid w:linePitch="360"/>
        </w:sectPr>
      </w:pPr>
    </w:p>
    <w:p w14:paraId="54E75A7B" w14:textId="77777777" w:rsidR="00281416" w:rsidRDefault="00281416" w:rsidP="00632A65">
      <w:pPr>
        <w:widowControl w:val="0"/>
      </w:pPr>
      <w:r w:rsidRPr="00632A65">
        <w:lastRenderedPageBreak/>
        <w:t xml:space="preserve">PGI 237.70—MORTUARY SERVICES </w:t>
      </w:r>
    </w:p>
    <w:p w14:paraId="4A8712CD" w14:textId="77777777" w:rsidR="00281416" w:rsidRDefault="00281416" w:rsidP="00843CC2">
      <w:pPr>
        <w:pStyle w:val="Heading3"/>
      </w:pPr>
      <w:r>
        <w:br/>
      </w:r>
      <w:bookmarkStart w:id="43" w:name="_Toc37415870"/>
      <w:bookmarkStart w:id="44" w:name="_Toc37677713"/>
      <w:bookmarkStart w:id="45" w:name="_Toc37756769"/>
      <w:r w:rsidRPr="00632A65">
        <w:rPr>
          <w:b/>
          <w:szCs w:val="24"/>
        </w:rPr>
        <w:t xml:space="preserve">PGI </w:t>
      </w:r>
      <w:proofErr w:type="gramStart"/>
      <w:r w:rsidRPr="00632A65">
        <w:rPr>
          <w:b/>
          <w:szCs w:val="24"/>
        </w:rPr>
        <w:t>237.7002  Area</w:t>
      </w:r>
      <w:proofErr w:type="gramEnd"/>
      <w:r w:rsidRPr="00632A65">
        <w:rPr>
          <w:b/>
          <w:szCs w:val="24"/>
        </w:rPr>
        <w:t xml:space="preserve"> of performance and distribution of contracts.</w:t>
      </w:r>
      <w:bookmarkEnd w:id="43"/>
      <w:bookmarkEnd w:id="44"/>
      <w:bookmarkEnd w:id="45"/>
    </w:p>
    <w:p w14:paraId="3AE90E73" w14:textId="77777777" w:rsidR="00281416" w:rsidRDefault="00281416" w:rsidP="00843CC2">
      <w:pPr>
        <w:pStyle w:val="List2"/>
      </w:pPr>
      <w:r>
        <w:rPr>
          <w:b/>
          <w:szCs w:val="24"/>
        </w:rPr>
        <w:br/>
      </w:r>
      <w:r w:rsidRPr="00632A65">
        <w:rPr>
          <w:szCs w:val="24"/>
        </w:rPr>
        <w:t>(1)  Determine and define the geographical area to be covered by the contract using the following general guidelines:</w:t>
      </w:r>
    </w:p>
    <w:p w14:paraId="19DC32AA" w14:textId="77777777" w:rsidR="00281416" w:rsidRDefault="00281416" w:rsidP="0000559C">
      <w:pPr>
        <w:pStyle w:val="List3"/>
      </w:pPr>
      <w:r>
        <w:br/>
      </w:r>
      <w:r w:rsidRPr="00632A65">
        <w:t>(</w:t>
      </w:r>
      <w:proofErr w:type="spellStart"/>
      <w:r w:rsidRPr="00632A65">
        <w:t>i</w:t>
      </w:r>
      <w:proofErr w:type="spellEnd"/>
      <w:r w:rsidRPr="00632A65">
        <w:t>)  Use political boundaries, streets, or other features as demarcation lines.</w:t>
      </w:r>
    </w:p>
    <w:p w14:paraId="2F9051EA" w14:textId="77777777" w:rsidR="00281416" w:rsidRDefault="00281416" w:rsidP="00843CC2">
      <w:pPr>
        <w:pStyle w:val="List3"/>
      </w:pPr>
      <w:r>
        <w:rPr>
          <w:szCs w:val="24"/>
        </w:rPr>
        <w:br/>
      </w:r>
      <w:r w:rsidRPr="00632A65">
        <w:rPr>
          <w:szCs w:val="24"/>
        </w:rPr>
        <w:t>(ii)  The size should be roughly equivalent to the contiguous metropolitan or municipal area enlarged to include the activities served.</w:t>
      </w:r>
    </w:p>
    <w:p w14:paraId="4EA353A6" w14:textId="77777777" w:rsidR="00281416" w:rsidRDefault="00281416" w:rsidP="00843CC2">
      <w:pPr>
        <w:pStyle w:val="List3"/>
      </w:pPr>
      <w:r>
        <w:rPr>
          <w:szCs w:val="24"/>
        </w:rPr>
        <w:br/>
      </w:r>
      <w:r w:rsidRPr="00632A65">
        <w:rPr>
          <w:szCs w:val="24"/>
        </w:rPr>
        <w:t>(iii)  If the area of performance best suited to the needs of a particular contract is not large enough to include a carrier terminal commonly used by people within the area, the contract area of performance shall specifically state that it includes the terminal as a pickup or delivery point.</w:t>
      </w:r>
    </w:p>
    <w:p w14:paraId="6ACCF8BE" w14:textId="77777777" w:rsidR="00281416" w:rsidRDefault="00281416" w:rsidP="00843CC2">
      <w:pPr>
        <w:pStyle w:val="List2"/>
      </w:pPr>
      <w:r>
        <w:rPr>
          <w:szCs w:val="24"/>
        </w:rPr>
        <w:br/>
      </w:r>
      <w:r w:rsidRPr="00632A65">
        <w:rPr>
          <w:szCs w:val="24"/>
        </w:rPr>
        <w:t>(2)  In addition to normal contract distribution, send three copies of each contract to each activity authorized to use the contract, and two copies to each of the following:</w:t>
      </w:r>
    </w:p>
    <w:p w14:paraId="546F9160" w14:textId="77777777" w:rsidR="00281416" w:rsidRDefault="00281416" w:rsidP="0000559C">
      <w:pPr>
        <w:pStyle w:val="List3"/>
      </w:pPr>
      <w:r>
        <w:br/>
      </w:r>
      <w:r w:rsidRPr="00632A65">
        <w:t>(</w:t>
      </w:r>
      <w:proofErr w:type="spellStart"/>
      <w:r w:rsidRPr="00632A65">
        <w:t>i</w:t>
      </w:r>
      <w:proofErr w:type="spellEnd"/>
      <w:r w:rsidRPr="00632A65">
        <w:t xml:space="preserve">)  HQDA (TAPC-PEC-D), </w:t>
      </w:r>
      <w:smartTag w:uri="urn:schemas-microsoft-com:office:smarttags" w:element="place">
        <w:smartTag w:uri="urn:schemas-microsoft-com:office:smarttags" w:element="City">
          <w:r w:rsidRPr="00632A65">
            <w:t>Alexandria</w:t>
          </w:r>
        </w:smartTag>
        <w:r w:rsidRPr="00632A65">
          <w:t xml:space="preserve">, </w:t>
        </w:r>
        <w:smartTag w:uri="urn:schemas-microsoft-com:office:smarttags" w:element="State">
          <w:r w:rsidRPr="00632A65">
            <w:t>VA</w:t>
          </w:r>
        </w:smartTag>
        <w:r w:rsidRPr="00632A65">
          <w:t xml:space="preserve"> </w:t>
        </w:r>
        <w:smartTag w:uri="urn:schemas-microsoft-com:office:smarttags" w:element="PostalCode">
          <w:r w:rsidRPr="00632A65">
            <w:t>22331</w:t>
          </w:r>
        </w:smartTag>
      </w:smartTag>
      <w:r w:rsidRPr="00632A65">
        <w:t>.</w:t>
      </w:r>
    </w:p>
    <w:p w14:paraId="5728EF8F" w14:textId="77777777" w:rsidR="00281416" w:rsidRDefault="00281416" w:rsidP="00843CC2">
      <w:pPr>
        <w:pStyle w:val="List3"/>
      </w:pPr>
      <w:r>
        <w:br/>
      </w:r>
      <w:r w:rsidRPr="00632A65">
        <w:t xml:space="preserve">(ii)  Commander, Naval Medical Command, Department of the Navy (MED 3141), 23rd and E Streets NW, </w:t>
      </w:r>
      <w:smartTag w:uri="urn:schemas-microsoft-com:office:smarttags" w:element="place">
        <w:smartTag w:uri="urn:schemas-microsoft-com:office:smarttags" w:element="City">
          <w:r w:rsidRPr="00632A65">
            <w:t>Washington</w:t>
          </w:r>
        </w:smartTag>
        <w:r w:rsidRPr="00632A65">
          <w:t xml:space="preserve">, </w:t>
        </w:r>
        <w:smartTag w:uri="urn:schemas-microsoft-com:office:smarttags" w:element="State">
          <w:r w:rsidRPr="00632A65">
            <w:t>DC</w:t>
          </w:r>
        </w:smartTag>
        <w:r w:rsidRPr="00632A65">
          <w:t xml:space="preserve"> </w:t>
        </w:r>
        <w:smartTag w:uri="urn:schemas-microsoft-com:office:smarttags" w:element="PostalCode">
          <w:r w:rsidRPr="00632A65">
            <w:t>20372</w:t>
          </w:r>
        </w:smartTag>
      </w:smartTag>
      <w:r w:rsidRPr="00632A65">
        <w:t xml:space="preserve">. </w:t>
      </w:r>
    </w:p>
    <w:p w14:paraId="587B1910" w14:textId="77777777" w:rsidR="00281416" w:rsidRDefault="00281416" w:rsidP="00843CC2">
      <w:pPr>
        <w:pStyle w:val="List3"/>
      </w:pPr>
      <w:r>
        <w:rPr>
          <w:szCs w:val="24"/>
        </w:rPr>
        <w:br/>
      </w:r>
      <w:r w:rsidRPr="00632A65">
        <w:rPr>
          <w:szCs w:val="24"/>
        </w:rPr>
        <w:t>(iii)  Headquarters, AFMPC-MPCCM.</w:t>
      </w:r>
    </w:p>
    <w:p w14:paraId="057D6C08" w14:textId="77777777" w:rsidR="00281416" w:rsidRPr="00632A65" w:rsidRDefault="00281416" w:rsidP="00843CC2">
      <w:r>
        <w:br/>
      </w:r>
    </w:p>
    <w:p w14:paraId="37A633FE" w14:textId="77777777" w:rsidR="00850595" w:rsidRDefault="00850595"/>
    <w:sectPr w:rsidR="00850595" w:rsidSect="003B0A63">
      <w:headerReference w:type="default" r:id="rId28"/>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5AEAEF" w14:textId="77777777" w:rsidR="00E747BB" w:rsidRDefault="00E747BB">
      <w:pPr>
        <w:spacing w:after="0" w:line="240" w:lineRule="auto"/>
      </w:pPr>
      <w:r>
        <w:separator/>
      </w:r>
    </w:p>
  </w:endnote>
  <w:endnote w:type="continuationSeparator" w:id="0">
    <w:p w14:paraId="7244589C" w14:textId="77777777" w:rsidR="00E747BB" w:rsidRDefault="00E747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neva">
    <w:altName w:val="Arial"/>
    <w:panose1 w:val="00000000000000000000"/>
    <w:charset w:val="00"/>
    <w:family w:val="swiss"/>
    <w:notTrueType/>
    <w:pitch w:val="variable"/>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D11B5D" w14:textId="77777777" w:rsidR="001E126C" w:rsidRDefault="00E747BB">
    <w:pPr>
      <w:pStyle w:val="Footer"/>
      <w:rPr>
        <w:rFonts w:ascii="Century Schoolbook" w:hAnsi="Century Schoolbook"/>
        <w:sz w:val="20"/>
      </w:rPr>
    </w:pPr>
  </w:p>
  <w:p w14:paraId="3813B8FE" w14:textId="77777777" w:rsidR="001E126C" w:rsidRDefault="00E747BB">
    <w:pPr>
      <w:pStyle w:val="Footer"/>
      <w:tabs>
        <w:tab w:val="clear" w:pos="8640"/>
      </w:tabs>
      <w:rPr>
        <w:rFonts w:ascii="Century Schoolbook" w:hAnsi="Century Schoolbook"/>
        <w:b/>
        <w:sz w:val="20"/>
      </w:rPr>
    </w:pPr>
  </w:p>
  <w:p w14:paraId="67ACCC00" w14:textId="77777777" w:rsidR="001E126C" w:rsidRPr="00BC71C0" w:rsidRDefault="00281416">
    <w:pPr>
      <w:pStyle w:val="Footer"/>
      <w:pBdr>
        <w:top w:val="single" w:sz="6" w:space="1" w:color="auto"/>
      </w:pBdr>
      <w:tabs>
        <w:tab w:val="clear" w:pos="8640"/>
        <w:tab w:val="right" w:pos="9260"/>
      </w:tabs>
      <w:rPr>
        <w:szCs w:val="22"/>
      </w:rPr>
    </w:pPr>
    <w:r w:rsidRPr="00BC71C0">
      <w:rPr>
        <w:szCs w:val="22"/>
      </w:rPr>
      <w:t>2004 EDITION</w:t>
    </w:r>
    <w:r w:rsidRPr="00BC71C0">
      <w:rPr>
        <w:szCs w:val="22"/>
      </w:rPr>
      <w:tab/>
    </w:r>
    <w:r w:rsidRPr="00BC71C0">
      <w:rPr>
        <w:szCs w:val="22"/>
      </w:rPr>
      <w:tab/>
      <w:t>2</w:t>
    </w:r>
    <w:r>
      <w:rPr>
        <w:szCs w:val="22"/>
      </w:rPr>
      <w:t>37</w:t>
    </w:r>
    <w:r w:rsidRPr="00BC71C0">
      <w:rPr>
        <w:szCs w:val="22"/>
      </w:rPr>
      <w:t>.</w:t>
    </w:r>
    <w:r>
      <w:rPr>
        <w:szCs w:val="22"/>
      </w:rPr>
      <w:t>1</w:t>
    </w:r>
    <w:r w:rsidRPr="00BC71C0">
      <w:rPr>
        <w:szCs w:val="22"/>
      </w:rPr>
      <w:t>-</w:t>
    </w:r>
    <w:r w:rsidRPr="00BC71C0">
      <w:rPr>
        <w:szCs w:val="22"/>
      </w:rPr>
      <w:pgNum/>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DB10E2" w14:textId="77777777" w:rsidR="00F24E8A" w:rsidRDefault="00E747BB">
    <w:pPr>
      <w:pStyle w:val="Footer"/>
      <w:rPr>
        <w:rFonts w:ascii="Century Schoolbook" w:hAnsi="Century Schoolbook"/>
        <w:sz w:val="20"/>
      </w:rPr>
    </w:pPr>
  </w:p>
  <w:p w14:paraId="3B2383BF" w14:textId="77777777" w:rsidR="00F24E8A" w:rsidRDefault="00E747BB">
    <w:pPr>
      <w:pStyle w:val="Footer"/>
      <w:tabs>
        <w:tab w:val="clear" w:pos="8640"/>
      </w:tabs>
      <w:rPr>
        <w:rFonts w:ascii="Century Schoolbook" w:hAnsi="Century Schoolbook"/>
        <w:b/>
        <w:sz w:val="20"/>
      </w:rPr>
    </w:pPr>
  </w:p>
  <w:p w14:paraId="5C820177" w14:textId="77777777" w:rsidR="00F24E8A" w:rsidRPr="00BC71C0" w:rsidRDefault="00281416">
    <w:pPr>
      <w:pStyle w:val="Footer"/>
      <w:pBdr>
        <w:top w:val="single" w:sz="6" w:space="1" w:color="auto"/>
      </w:pBdr>
      <w:tabs>
        <w:tab w:val="clear" w:pos="8640"/>
        <w:tab w:val="right" w:pos="9260"/>
      </w:tabs>
      <w:rPr>
        <w:szCs w:val="22"/>
      </w:rPr>
    </w:pPr>
    <w:r w:rsidRPr="00BC71C0">
      <w:rPr>
        <w:szCs w:val="22"/>
      </w:rPr>
      <w:t>2004 EDITION</w:t>
    </w:r>
    <w:r w:rsidRPr="00BC71C0">
      <w:rPr>
        <w:szCs w:val="22"/>
      </w:rPr>
      <w:tab/>
    </w:r>
    <w:r w:rsidRPr="00BC71C0">
      <w:rPr>
        <w:szCs w:val="22"/>
      </w:rPr>
      <w:tab/>
      <w:t>2</w:t>
    </w:r>
    <w:r>
      <w:rPr>
        <w:szCs w:val="22"/>
      </w:rPr>
      <w:t>37</w:t>
    </w:r>
    <w:r w:rsidRPr="00BC71C0">
      <w:rPr>
        <w:szCs w:val="22"/>
      </w:rPr>
      <w:t>.</w:t>
    </w:r>
    <w:r>
      <w:rPr>
        <w:szCs w:val="22"/>
      </w:rPr>
      <w:t>2</w:t>
    </w:r>
    <w:r w:rsidRPr="00BC71C0">
      <w:rPr>
        <w:szCs w:val="22"/>
      </w:rPr>
      <w:t>-</w:t>
    </w:r>
    <w:r w:rsidRPr="00BC71C0">
      <w:rPr>
        <w:szCs w:val="22"/>
      </w:rPr>
      <w:pgNum/>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BE939F" w14:textId="77777777" w:rsidR="00F24E8A" w:rsidRDefault="00E747BB">
    <w:pPr>
      <w:pStyle w:val="Footer"/>
      <w:rPr>
        <w:rFonts w:ascii="Century Schoolbook" w:hAnsi="Century Schoolbook"/>
        <w:sz w:val="20"/>
      </w:rPr>
    </w:pPr>
  </w:p>
  <w:p w14:paraId="4B31F1D5" w14:textId="77777777" w:rsidR="00F24E8A" w:rsidRDefault="00E747BB">
    <w:pPr>
      <w:pStyle w:val="Footer"/>
      <w:tabs>
        <w:tab w:val="clear" w:pos="8640"/>
      </w:tabs>
      <w:rPr>
        <w:rFonts w:ascii="Century Schoolbook" w:hAnsi="Century Schoolbook"/>
        <w:b/>
        <w:sz w:val="20"/>
      </w:rPr>
    </w:pPr>
  </w:p>
  <w:p w14:paraId="561765A0" w14:textId="77777777" w:rsidR="00F24E8A" w:rsidRPr="00BC71C0" w:rsidRDefault="00281416">
    <w:pPr>
      <w:pStyle w:val="Footer"/>
      <w:pBdr>
        <w:top w:val="single" w:sz="6" w:space="1" w:color="auto"/>
      </w:pBdr>
      <w:tabs>
        <w:tab w:val="clear" w:pos="8640"/>
        <w:tab w:val="right" w:pos="9260"/>
      </w:tabs>
      <w:rPr>
        <w:szCs w:val="22"/>
      </w:rPr>
    </w:pPr>
    <w:r w:rsidRPr="00BC71C0">
      <w:rPr>
        <w:szCs w:val="22"/>
      </w:rPr>
      <w:t>2004 EDITION</w:t>
    </w:r>
    <w:r w:rsidRPr="00BC71C0">
      <w:rPr>
        <w:szCs w:val="22"/>
      </w:rPr>
      <w:tab/>
    </w:r>
    <w:r w:rsidRPr="00BC71C0">
      <w:rPr>
        <w:szCs w:val="22"/>
      </w:rPr>
      <w:tab/>
      <w:t>2</w:t>
    </w:r>
    <w:r>
      <w:rPr>
        <w:szCs w:val="22"/>
      </w:rPr>
      <w:t>37</w:t>
    </w:r>
    <w:r w:rsidRPr="00BC71C0">
      <w:rPr>
        <w:szCs w:val="22"/>
      </w:rPr>
      <w:t>.</w:t>
    </w:r>
    <w:r>
      <w:rPr>
        <w:szCs w:val="22"/>
      </w:rPr>
      <w:t>5</w:t>
    </w:r>
    <w:r w:rsidRPr="00BC71C0">
      <w:rPr>
        <w:szCs w:val="22"/>
      </w:rPr>
      <w:t>-</w:t>
    </w:r>
    <w:r w:rsidRPr="00BC71C0">
      <w:rPr>
        <w:szCs w:val="22"/>
      </w:rPr>
      <w:pgNum/>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5C47E4" w14:textId="77777777" w:rsidR="009C49C6" w:rsidRDefault="00E747BB">
    <w:pPr>
      <w:pStyle w:val="Footer"/>
      <w:rPr>
        <w:rFonts w:ascii="Century Schoolbook" w:hAnsi="Century Schoolbook"/>
        <w:sz w:val="20"/>
      </w:rPr>
    </w:pPr>
  </w:p>
  <w:p w14:paraId="623EBE35" w14:textId="77777777" w:rsidR="009C49C6" w:rsidRDefault="00E747BB">
    <w:pPr>
      <w:pStyle w:val="Footer"/>
      <w:tabs>
        <w:tab w:val="clear" w:pos="8640"/>
      </w:tabs>
      <w:rPr>
        <w:rFonts w:ascii="Century Schoolbook" w:hAnsi="Century Schoolbook"/>
        <w:b/>
        <w:sz w:val="20"/>
      </w:rPr>
    </w:pPr>
  </w:p>
  <w:p w14:paraId="1C13E2EE" w14:textId="77777777" w:rsidR="009C49C6" w:rsidRPr="00BC71C0" w:rsidRDefault="00281416">
    <w:pPr>
      <w:pStyle w:val="Footer"/>
      <w:pBdr>
        <w:top w:val="single" w:sz="6" w:space="1" w:color="auto"/>
      </w:pBdr>
      <w:tabs>
        <w:tab w:val="clear" w:pos="8640"/>
        <w:tab w:val="right" w:pos="9260"/>
      </w:tabs>
      <w:rPr>
        <w:szCs w:val="22"/>
      </w:rPr>
    </w:pPr>
    <w:r w:rsidRPr="00BC71C0">
      <w:rPr>
        <w:szCs w:val="22"/>
      </w:rPr>
      <w:t>2004 EDITION</w:t>
    </w:r>
    <w:r w:rsidRPr="00BC71C0">
      <w:rPr>
        <w:szCs w:val="22"/>
      </w:rPr>
      <w:tab/>
    </w:r>
    <w:r w:rsidRPr="00BC71C0">
      <w:rPr>
        <w:szCs w:val="22"/>
      </w:rPr>
      <w:tab/>
      <w:t>2</w:t>
    </w:r>
    <w:r>
      <w:rPr>
        <w:szCs w:val="22"/>
      </w:rPr>
      <w:t>37</w:t>
    </w:r>
    <w:r w:rsidRPr="00BC71C0">
      <w:rPr>
        <w:szCs w:val="22"/>
      </w:rPr>
      <w:t>.</w:t>
    </w:r>
    <w:r>
      <w:rPr>
        <w:szCs w:val="22"/>
      </w:rPr>
      <w:t>70</w:t>
    </w:r>
    <w:r w:rsidRPr="00BC71C0">
      <w:rPr>
        <w:szCs w:val="22"/>
      </w:rPr>
      <w:t>-</w:t>
    </w:r>
    <w:r w:rsidRPr="00BC71C0">
      <w:rPr>
        <w:szCs w:val="22"/>
      </w:rPr>
      <w:pgNum/>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FBEEBA" w14:textId="77777777" w:rsidR="00E747BB" w:rsidRDefault="00E747BB">
      <w:pPr>
        <w:spacing w:after="0" w:line="240" w:lineRule="auto"/>
      </w:pPr>
      <w:r>
        <w:separator/>
      </w:r>
    </w:p>
  </w:footnote>
  <w:footnote w:type="continuationSeparator" w:id="0">
    <w:p w14:paraId="1CCAF8E0" w14:textId="77777777" w:rsidR="00E747BB" w:rsidRDefault="00E747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88453B" w14:textId="77777777" w:rsidR="001E126C" w:rsidRDefault="00281416" w:rsidP="003E6AA4">
    <w:pPr>
      <w:pStyle w:val="Header"/>
      <w:tabs>
        <w:tab w:val="clear" w:pos="8640"/>
        <w:tab w:val="left" w:pos="4590"/>
      </w:tabs>
      <w:jc w:val="center"/>
      <w:rPr>
        <w:sz w:val="28"/>
        <w:szCs w:val="28"/>
      </w:rPr>
    </w:pPr>
    <w:r w:rsidRPr="002B1BC7">
      <w:rPr>
        <w:sz w:val="28"/>
        <w:szCs w:val="28"/>
      </w:rPr>
      <w:t>DFARS Procedures, Guidance, and Information</w:t>
    </w:r>
  </w:p>
  <w:p w14:paraId="51D4BF80" w14:textId="77777777" w:rsidR="001E126C" w:rsidRPr="002B1BC7" w:rsidRDefault="00E747BB" w:rsidP="003E6AA4">
    <w:pPr>
      <w:pStyle w:val="Header"/>
      <w:tabs>
        <w:tab w:val="clear" w:pos="8640"/>
        <w:tab w:val="left" w:pos="4590"/>
      </w:tabs>
      <w:jc w:val="center"/>
      <w:rPr>
        <w:sz w:val="28"/>
        <w:szCs w:val="28"/>
      </w:rPr>
    </w:pPr>
  </w:p>
  <w:p w14:paraId="69C36DE2" w14:textId="77777777" w:rsidR="001E126C" w:rsidRPr="00BC71C0" w:rsidRDefault="00281416">
    <w:pPr>
      <w:pStyle w:val="Header"/>
      <w:pBdr>
        <w:bottom w:val="single" w:sz="6" w:space="1" w:color="auto"/>
      </w:pBdr>
      <w:tabs>
        <w:tab w:val="clear" w:pos="8640"/>
        <w:tab w:val="right" w:pos="9260"/>
      </w:tabs>
      <w:spacing w:after="20"/>
      <w:rPr>
        <w:szCs w:val="24"/>
      </w:rPr>
    </w:pPr>
    <w:r w:rsidRPr="00BC71C0">
      <w:rPr>
        <w:szCs w:val="24"/>
      </w:rPr>
      <w:t>P</w:t>
    </w:r>
    <w:r>
      <w:rPr>
        <w:szCs w:val="24"/>
      </w:rPr>
      <w:t>GI</w:t>
    </w:r>
    <w:r w:rsidRPr="00BC71C0">
      <w:rPr>
        <w:szCs w:val="24"/>
      </w:rPr>
      <w:t xml:space="preserve"> 2</w:t>
    </w:r>
    <w:r>
      <w:rPr>
        <w:szCs w:val="24"/>
      </w:rPr>
      <w:t>37</w:t>
    </w:r>
    <w:r w:rsidRPr="00BC71C0">
      <w:rPr>
        <w:szCs w:val="24"/>
      </w:rPr>
      <w:t>—</w:t>
    </w:r>
    <w:r>
      <w:rPr>
        <w:szCs w:val="24"/>
      </w:rPr>
      <w:t>Service Contracting</w:t>
    </w:r>
  </w:p>
  <w:p w14:paraId="095B75E2" w14:textId="77777777" w:rsidR="001E126C" w:rsidRDefault="00E747BB">
    <w:pPr>
      <w:pStyle w:val="Header"/>
      <w:tabs>
        <w:tab w:val="clear" w:pos="8640"/>
        <w:tab w:val="right" w:pos="9260"/>
      </w:tabs>
      <w:spacing w:before="20" w:line="20" w:lineRule="exact"/>
      <w:rPr>
        <w:rFonts w:ascii="Geneva" w:hAnsi="Geneva"/>
        <w:b/>
        <w:position w:val="6"/>
        <w:sz w:val="18"/>
      </w:rPr>
    </w:pPr>
  </w:p>
  <w:p w14:paraId="14C61F78" w14:textId="77777777" w:rsidR="001E126C" w:rsidRDefault="00E747BB">
    <w:pPr>
      <w:pStyle w:val="Header"/>
      <w:tabs>
        <w:tab w:val="clear" w:pos="8640"/>
        <w:tab w:val="right" w:pos="9260"/>
      </w:tabs>
      <w:rPr>
        <w:rFonts w:ascii="Century Schoolbook" w:hAnsi="Century Schoolbook"/>
        <w:b/>
        <w:sz w:val="20"/>
      </w:rPr>
    </w:pPr>
  </w:p>
  <w:p w14:paraId="0FB1F332" w14:textId="77777777" w:rsidR="001E126C" w:rsidRDefault="00E747BB">
    <w:pPr>
      <w:pStyle w:val="Header"/>
      <w:rPr>
        <w:rFonts w:ascii="Century Schoolbook" w:hAnsi="Century Schoolbook"/>
        <w:b/>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B9F837" w14:textId="77777777" w:rsidR="00F24E8A" w:rsidRDefault="00281416" w:rsidP="003E6AA4">
    <w:pPr>
      <w:pStyle w:val="Header"/>
      <w:tabs>
        <w:tab w:val="clear" w:pos="8640"/>
        <w:tab w:val="left" w:pos="4590"/>
      </w:tabs>
      <w:jc w:val="center"/>
      <w:rPr>
        <w:sz w:val="28"/>
        <w:szCs w:val="28"/>
      </w:rPr>
    </w:pPr>
    <w:r w:rsidRPr="002B1BC7">
      <w:rPr>
        <w:sz w:val="28"/>
        <w:szCs w:val="28"/>
      </w:rPr>
      <w:t>DFARS Procedures, Guidance, and Information</w:t>
    </w:r>
  </w:p>
  <w:p w14:paraId="61740901" w14:textId="77777777" w:rsidR="00F24E8A" w:rsidRPr="002B1BC7" w:rsidRDefault="00E747BB" w:rsidP="003E6AA4">
    <w:pPr>
      <w:pStyle w:val="Header"/>
      <w:tabs>
        <w:tab w:val="clear" w:pos="8640"/>
        <w:tab w:val="left" w:pos="4590"/>
      </w:tabs>
      <w:jc w:val="center"/>
      <w:rPr>
        <w:sz w:val="28"/>
        <w:szCs w:val="28"/>
      </w:rPr>
    </w:pPr>
  </w:p>
  <w:p w14:paraId="3B8A5FF4" w14:textId="77777777" w:rsidR="00F24E8A" w:rsidRPr="00BC71C0" w:rsidRDefault="00281416">
    <w:pPr>
      <w:pStyle w:val="Header"/>
      <w:pBdr>
        <w:bottom w:val="single" w:sz="6" w:space="1" w:color="auto"/>
      </w:pBdr>
      <w:tabs>
        <w:tab w:val="clear" w:pos="8640"/>
        <w:tab w:val="right" w:pos="9260"/>
      </w:tabs>
      <w:spacing w:after="20"/>
      <w:rPr>
        <w:szCs w:val="24"/>
      </w:rPr>
    </w:pPr>
    <w:r w:rsidRPr="00BC71C0">
      <w:rPr>
        <w:szCs w:val="24"/>
      </w:rPr>
      <w:t>P</w:t>
    </w:r>
    <w:r>
      <w:rPr>
        <w:szCs w:val="24"/>
      </w:rPr>
      <w:t>GI</w:t>
    </w:r>
    <w:r w:rsidRPr="00BC71C0">
      <w:rPr>
        <w:szCs w:val="24"/>
      </w:rPr>
      <w:t xml:space="preserve"> 2</w:t>
    </w:r>
    <w:r>
      <w:rPr>
        <w:szCs w:val="24"/>
      </w:rPr>
      <w:t>37</w:t>
    </w:r>
    <w:r w:rsidRPr="00BC71C0">
      <w:rPr>
        <w:szCs w:val="24"/>
      </w:rPr>
      <w:t>—</w:t>
    </w:r>
    <w:r>
      <w:rPr>
        <w:szCs w:val="24"/>
      </w:rPr>
      <w:t>Service Contracting</w:t>
    </w:r>
  </w:p>
  <w:p w14:paraId="468FDF65" w14:textId="77777777" w:rsidR="00F24E8A" w:rsidRDefault="00E747BB">
    <w:pPr>
      <w:pStyle w:val="Header"/>
      <w:tabs>
        <w:tab w:val="clear" w:pos="8640"/>
        <w:tab w:val="right" w:pos="9260"/>
      </w:tabs>
      <w:spacing w:before="20" w:line="20" w:lineRule="exact"/>
      <w:rPr>
        <w:rFonts w:ascii="Geneva" w:hAnsi="Geneva"/>
        <w:b/>
        <w:position w:val="6"/>
        <w:sz w:val="18"/>
      </w:rPr>
    </w:pPr>
  </w:p>
  <w:p w14:paraId="1879F1AC" w14:textId="77777777" w:rsidR="00F24E8A" w:rsidRDefault="00E747BB">
    <w:pPr>
      <w:pStyle w:val="Header"/>
      <w:rPr>
        <w:rFonts w:ascii="Century Schoolbook" w:hAnsi="Century Schoolbook"/>
        <w:b/>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049FF3" w14:textId="77777777" w:rsidR="00F24E8A" w:rsidRDefault="00281416" w:rsidP="003E6AA4">
    <w:pPr>
      <w:pStyle w:val="Header"/>
      <w:tabs>
        <w:tab w:val="clear" w:pos="8640"/>
        <w:tab w:val="left" w:pos="4590"/>
      </w:tabs>
      <w:jc w:val="center"/>
      <w:rPr>
        <w:sz w:val="28"/>
        <w:szCs w:val="28"/>
      </w:rPr>
    </w:pPr>
    <w:r w:rsidRPr="002B1BC7">
      <w:rPr>
        <w:sz w:val="28"/>
        <w:szCs w:val="28"/>
      </w:rPr>
      <w:t>DFARS Procedures, Guidance, and Information</w:t>
    </w:r>
  </w:p>
  <w:p w14:paraId="4F7924CA" w14:textId="77777777" w:rsidR="00F24E8A" w:rsidRPr="002B1BC7" w:rsidRDefault="00E747BB" w:rsidP="003E6AA4">
    <w:pPr>
      <w:pStyle w:val="Header"/>
      <w:tabs>
        <w:tab w:val="clear" w:pos="8640"/>
        <w:tab w:val="left" w:pos="4590"/>
      </w:tabs>
      <w:jc w:val="center"/>
      <w:rPr>
        <w:sz w:val="28"/>
        <w:szCs w:val="28"/>
      </w:rPr>
    </w:pPr>
  </w:p>
  <w:p w14:paraId="75853F5B" w14:textId="77777777" w:rsidR="00F24E8A" w:rsidRPr="00BC71C0" w:rsidRDefault="00281416">
    <w:pPr>
      <w:pStyle w:val="Header"/>
      <w:pBdr>
        <w:bottom w:val="single" w:sz="6" w:space="1" w:color="auto"/>
      </w:pBdr>
      <w:tabs>
        <w:tab w:val="clear" w:pos="8640"/>
        <w:tab w:val="right" w:pos="9260"/>
      </w:tabs>
      <w:spacing w:after="20"/>
      <w:rPr>
        <w:szCs w:val="24"/>
      </w:rPr>
    </w:pPr>
    <w:r w:rsidRPr="00BC71C0">
      <w:rPr>
        <w:szCs w:val="24"/>
      </w:rPr>
      <w:t>P</w:t>
    </w:r>
    <w:r>
      <w:rPr>
        <w:szCs w:val="24"/>
      </w:rPr>
      <w:t>GI</w:t>
    </w:r>
    <w:r w:rsidRPr="00BC71C0">
      <w:rPr>
        <w:szCs w:val="24"/>
      </w:rPr>
      <w:t xml:space="preserve"> 2</w:t>
    </w:r>
    <w:r>
      <w:rPr>
        <w:szCs w:val="24"/>
      </w:rPr>
      <w:t>37</w:t>
    </w:r>
    <w:r w:rsidRPr="00BC71C0">
      <w:rPr>
        <w:szCs w:val="24"/>
      </w:rPr>
      <w:t>—</w:t>
    </w:r>
    <w:r>
      <w:rPr>
        <w:szCs w:val="24"/>
      </w:rPr>
      <w:t>Service Contracting</w:t>
    </w:r>
  </w:p>
  <w:p w14:paraId="13DC8E6E" w14:textId="77777777" w:rsidR="00F24E8A" w:rsidRDefault="00E747BB">
    <w:pPr>
      <w:pStyle w:val="Header"/>
      <w:tabs>
        <w:tab w:val="clear" w:pos="8640"/>
        <w:tab w:val="right" w:pos="9260"/>
      </w:tabs>
      <w:spacing w:before="20" w:line="20" w:lineRule="exact"/>
      <w:rPr>
        <w:rFonts w:ascii="Geneva" w:hAnsi="Geneva"/>
        <w:b/>
        <w:position w:val="6"/>
        <w:sz w:val="18"/>
      </w:rPr>
    </w:pPr>
  </w:p>
  <w:p w14:paraId="0F50DBEB" w14:textId="77777777" w:rsidR="00F24E8A" w:rsidRDefault="00E747BB">
    <w:pPr>
      <w:pStyle w:val="Header"/>
      <w:tabs>
        <w:tab w:val="clear" w:pos="8640"/>
        <w:tab w:val="right" w:pos="9260"/>
      </w:tabs>
      <w:rPr>
        <w:rFonts w:ascii="Century Schoolbook" w:hAnsi="Century Schoolbook"/>
        <w:b/>
        <w:sz w:val="20"/>
      </w:rPr>
    </w:pPr>
  </w:p>
  <w:p w14:paraId="2C118490" w14:textId="77777777" w:rsidR="00F24E8A" w:rsidRDefault="00E747BB">
    <w:pPr>
      <w:pStyle w:val="Header"/>
      <w:rPr>
        <w:rFonts w:ascii="Century Schoolbook" w:hAnsi="Century Schoolbook"/>
        <w:b/>
        <w:sz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DC9487" w14:textId="77777777" w:rsidR="009C49C6" w:rsidRDefault="00281416" w:rsidP="003E6AA4">
    <w:pPr>
      <w:pStyle w:val="Header"/>
      <w:tabs>
        <w:tab w:val="clear" w:pos="8640"/>
        <w:tab w:val="left" w:pos="4590"/>
      </w:tabs>
      <w:jc w:val="center"/>
      <w:rPr>
        <w:sz w:val="28"/>
        <w:szCs w:val="28"/>
      </w:rPr>
    </w:pPr>
    <w:r w:rsidRPr="002B1BC7">
      <w:rPr>
        <w:sz w:val="28"/>
        <w:szCs w:val="28"/>
      </w:rPr>
      <w:t>DFARS Procedures, Guidance, and Information</w:t>
    </w:r>
  </w:p>
  <w:p w14:paraId="773ABB35" w14:textId="77777777" w:rsidR="009C49C6" w:rsidRPr="002B1BC7" w:rsidRDefault="00E747BB" w:rsidP="003E6AA4">
    <w:pPr>
      <w:pStyle w:val="Header"/>
      <w:tabs>
        <w:tab w:val="clear" w:pos="8640"/>
        <w:tab w:val="left" w:pos="4590"/>
      </w:tabs>
      <w:jc w:val="center"/>
      <w:rPr>
        <w:sz w:val="28"/>
        <w:szCs w:val="28"/>
      </w:rPr>
    </w:pPr>
  </w:p>
  <w:p w14:paraId="232CDAFD" w14:textId="77777777" w:rsidR="009C49C6" w:rsidRPr="00BC71C0" w:rsidRDefault="00281416">
    <w:pPr>
      <w:pStyle w:val="Header"/>
      <w:pBdr>
        <w:bottom w:val="single" w:sz="6" w:space="1" w:color="auto"/>
      </w:pBdr>
      <w:tabs>
        <w:tab w:val="clear" w:pos="8640"/>
        <w:tab w:val="right" w:pos="9260"/>
      </w:tabs>
      <w:spacing w:after="20"/>
      <w:rPr>
        <w:szCs w:val="24"/>
      </w:rPr>
    </w:pPr>
    <w:r w:rsidRPr="00BC71C0">
      <w:rPr>
        <w:szCs w:val="24"/>
      </w:rPr>
      <w:t>P</w:t>
    </w:r>
    <w:r>
      <w:rPr>
        <w:szCs w:val="24"/>
      </w:rPr>
      <w:t>GI</w:t>
    </w:r>
    <w:r w:rsidRPr="00BC71C0">
      <w:rPr>
        <w:szCs w:val="24"/>
      </w:rPr>
      <w:t xml:space="preserve"> 2</w:t>
    </w:r>
    <w:r>
      <w:rPr>
        <w:szCs w:val="24"/>
      </w:rPr>
      <w:t>37</w:t>
    </w:r>
    <w:r w:rsidRPr="00BC71C0">
      <w:rPr>
        <w:szCs w:val="24"/>
      </w:rPr>
      <w:t>—</w:t>
    </w:r>
    <w:r>
      <w:rPr>
        <w:szCs w:val="24"/>
      </w:rPr>
      <w:t>Service Contracting</w:t>
    </w:r>
  </w:p>
  <w:p w14:paraId="0AD9E3C5" w14:textId="77777777" w:rsidR="009C49C6" w:rsidRDefault="00E747BB">
    <w:pPr>
      <w:pStyle w:val="Header"/>
      <w:tabs>
        <w:tab w:val="clear" w:pos="8640"/>
        <w:tab w:val="right" w:pos="9260"/>
      </w:tabs>
      <w:spacing w:before="20" w:line="20" w:lineRule="exact"/>
      <w:rPr>
        <w:rFonts w:ascii="Geneva" w:hAnsi="Geneva"/>
        <w:b/>
        <w:position w:val="6"/>
        <w:sz w:val="18"/>
      </w:rPr>
    </w:pPr>
  </w:p>
  <w:p w14:paraId="6403B775" w14:textId="77777777" w:rsidR="009C49C6" w:rsidRDefault="00E747BB">
    <w:pPr>
      <w:pStyle w:val="Header"/>
      <w:tabs>
        <w:tab w:val="clear" w:pos="8640"/>
        <w:tab w:val="right" w:pos="9260"/>
      </w:tabs>
      <w:rPr>
        <w:rFonts w:ascii="Century Schoolbook" w:hAnsi="Century Schoolbook"/>
        <w:b/>
        <w:sz w:val="20"/>
      </w:rPr>
    </w:pPr>
  </w:p>
  <w:p w14:paraId="7DA1FADC" w14:textId="77777777" w:rsidR="009C49C6" w:rsidRDefault="00E747BB">
    <w:pPr>
      <w:pStyle w:val="Header"/>
      <w:rPr>
        <w:rFonts w:ascii="Century Schoolbook" w:hAnsi="Century Schoolbook"/>
        <w:b/>
        <w:sz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416"/>
    <w:rsid w:val="00281416"/>
    <w:rsid w:val="00505901"/>
    <w:rsid w:val="007053C0"/>
    <w:rsid w:val="007D6208"/>
    <w:rsid w:val="00850595"/>
    <w:rsid w:val="00B8095C"/>
    <w:rsid w:val="00BF48DE"/>
    <w:rsid w:val="00E747BB"/>
    <w:rsid w:val="00EB6B83"/>
    <w:rsid w:val="00EB7122"/>
    <w:rsid w:val="00EE23E5"/>
    <w:rsid w:val="00F210F4"/>
    <w:rsid w:val="00FB1C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ostalCode"/>
  <w:smartTagType w:namespaceuri="urn:schemas-microsoft-com:office:smarttags" w:name="State"/>
  <w:smartTagType w:namespaceuri="urn:schemas-microsoft-com:office:smarttags" w:name="City"/>
  <w:shapeDefaults>
    <o:shapedefaults v:ext="edit" spidmax="1026"/>
    <o:shapelayout v:ext="edit">
      <o:idmap v:ext="edit" data="1"/>
    </o:shapelayout>
  </w:shapeDefaults>
  <w:decimalSymbol w:val="."/>
  <w:listSeparator w:val=","/>
  <w14:docId w14:val="1E2AE51E"/>
  <w15:chartTrackingRefBased/>
  <w15:docId w15:val="{69AC045E-3244-4A6C-82DF-442F61874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iPriority="0"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cs="Arial"/>
    </w:rPr>
  </w:style>
  <w:style w:type="paragraph" w:styleId="Heading1">
    <w:name w:val="heading 1"/>
    <w:basedOn w:val="Normal"/>
    <w:next w:val="Normal"/>
    <w:link w:val="Heading1Char"/>
    <w:uiPriority w:val="9"/>
    <w:qFormat/>
    <w:rsid w:val="00281416"/>
    <w:pPr>
      <w:keepNext/>
      <w:keepLines/>
      <w:spacing w:before="240" w:after="0" w:afterAutospacing="1" w:line="240" w:lineRule="auto"/>
      <w:jc w:val="center"/>
      <w:outlineLvl w:val="0"/>
    </w:pPr>
    <w:rPr>
      <w:rFonts w:eastAsiaTheme="majorEastAsia"/>
      <w:b/>
      <w:color w:val="000000" w:themeColor="text1"/>
      <w:sz w:val="28"/>
      <w:szCs w:val="32"/>
    </w:rPr>
  </w:style>
  <w:style w:type="paragraph" w:styleId="Heading2">
    <w:name w:val="heading 2"/>
    <w:link w:val="Heading2Char"/>
    <w:uiPriority w:val="9"/>
    <w:semiHidden/>
    <w:unhideWhenUsed/>
    <w:qFormat/>
    <w:rsid w:val="00281416"/>
    <w:pPr>
      <w:keepNext/>
      <w:keepLines/>
      <w:spacing w:before="40" w:after="0" w:line="240" w:lineRule="auto"/>
      <w:outlineLvl w:val="1"/>
    </w:pPr>
    <w:rPr>
      <w:rFonts w:ascii="Arial" w:eastAsiaTheme="majorEastAsia" w:hAnsi="Arial" w:cs="Arial"/>
      <w:b/>
      <w:sz w:val="28"/>
      <w:szCs w:val="26"/>
    </w:rPr>
  </w:style>
  <w:style w:type="paragraph" w:styleId="Heading3">
    <w:name w:val="heading 3"/>
    <w:basedOn w:val="Normal"/>
    <w:next w:val="Normal"/>
    <w:link w:val="Heading3Char"/>
    <w:qFormat/>
    <w:rsid w:val="00281416"/>
    <w:pPr>
      <w:keepNext/>
      <w:tabs>
        <w:tab w:val="left" w:pos="1000"/>
      </w:tabs>
      <w:spacing w:before="120" w:after="120" w:afterAutospacing="1" w:line="240" w:lineRule="auto"/>
      <w:outlineLvl w:val="2"/>
    </w:pPr>
    <w:rPr>
      <w:rFonts w:eastAsia="Times New Roman"/>
      <w:szCs w:val="20"/>
    </w:rPr>
  </w:style>
  <w:style w:type="paragraph" w:styleId="Heading4">
    <w:name w:val="heading 4"/>
    <w:basedOn w:val="Normal"/>
    <w:next w:val="Normal"/>
    <w:link w:val="Heading4Char"/>
    <w:qFormat/>
    <w:rsid w:val="00281416"/>
    <w:pPr>
      <w:spacing w:before="120" w:after="100" w:afterAutospacing="1" w:line="240" w:lineRule="auto"/>
      <w:outlineLvl w:val="3"/>
    </w:pPr>
    <w:rPr>
      <w:rFonts w:eastAsia="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1416"/>
    <w:rPr>
      <w:rFonts w:ascii="Arial" w:eastAsiaTheme="majorEastAsia" w:hAnsi="Arial" w:cs="Arial"/>
      <w:b/>
      <w:color w:val="000000" w:themeColor="text1"/>
      <w:sz w:val="28"/>
      <w:szCs w:val="32"/>
    </w:rPr>
  </w:style>
  <w:style w:type="character" w:customStyle="1" w:styleId="Heading2Char">
    <w:name w:val="Heading 2 Char"/>
    <w:basedOn w:val="DefaultParagraphFont"/>
    <w:link w:val="Heading2"/>
    <w:uiPriority w:val="9"/>
    <w:semiHidden/>
    <w:rsid w:val="00281416"/>
    <w:rPr>
      <w:rFonts w:ascii="Arial" w:eastAsiaTheme="majorEastAsia" w:hAnsi="Arial" w:cs="Arial"/>
      <w:b/>
      <w:sz w:val="28"/>
      <w:szCs w:val="26"/>
    </w:rPr>
  </w:style>
  <w:style w:type="character" w:customStyle="1" w:styleId="Heading3Char">
    <w:name w:val="Heading 3 Char"/>
    <w:basedOn w:val="DefaultParagraphFont"/>
    <w:link w:val="Heading3"/>
    <w:rsid w:val="00281416"/>
    <w:rPr>
      <w:rFonts w:ascii="Arial" w:eastAsia="Times New Roman" w:hAnsi="Arial" w:cs="Arial"/>
      <w:szCs w:val="20"/>
    </w:rPr>
  </w:style>
  <w:style w:type="character" w:customStyle="1" w:styleId="Heading4Char">
    <w:name w:val="Heading 4 Char"/>
    <w:basedOn w:val="DefaultParagraphFont"/>
    <w:link w:val="Heading4"/>
    <w:rsid w:val="00281416"/>
    <w:rPr>
      <w:rFonts w:ascii="Arial" w:eastAsia="Times New Roman" w:hAnsi="Arial" w:cs="Arial"/>
      <w:szCs w:val="20"/>
    </w:rPr>
  </w:style>
  <w:style w:type="paragraph" w:styleId="Footer">
    <w:name w:val="footer"/>
    <w:basedOn w:val="Normal"/>
    <w:link w:val="FooterChar"/>
    <w:rsid w:val="00281416"/>
    <w:pPr>
      <w:tabs>
        <w:tab w:val="left" w:pos="1000"/>
        <w:tab w:val="center" w:pos="4320"/>
        <w:tab w:val="right" w:pos="8640"/>
      </w:tabs>
      <w:spacing w:before="120" w:after="100" w:afterAutospacing="1" w:line="240" w:lineRule="auto"/>
    </w:pPr>
    <w:rPr>
      <w:rFonts w:eastAsia="Times New Roman"/>
      <w:szCs w:val="20"/>
      <w:lang w:val="x-none" w:eastAsia="x-none"/>
    </w:rPr>
  </w:style>
  <w:style w:type="character" w:customStyle="1" w:styleId="FooterChar">
    <w:name w:val="Footer Char"/>
    <w:basedOn w:val="DefaultParagraphFont"/>
    <w:link w:val="Footer"/>
    <w:uiPriority w:val="99"/>
    <w:rsid w:val="00281416"/>
    <w:rPr>
      <w:rFonts w:ascii="Arial" w:eastAsia="Times New Roman" w:hAnsi="Arial" w:cs="Arial"/>
      <w:szCs w:val="20"/>
      <w:lang w:val="x-none" w:eastAsia="x-none"/>
    </w:rPr>
  </w:style>
  <w:style w:type="paragraph" w:styleId="Header">
    <w:name w:val="header"/>
    <w:basedOn w:val="Normal"/>
    <w:link w:val="HeaderChar"/>
    <w:rsid w:val="00281416"/>
    <w:pPr>
      <w:tabs>
        <w:tab w:val="left" w:pos="1000"/>
        <w:tab w:val="center" w:pos="4320"/>
        <w:tab w:val="right" w:pos="8640"/>
      </w:tabs>
      <w:spacing w:before="120" w:after="100" w:afterAutospacing="1" w:line="240" w:lineRule="auto"/>
    </w:pPr>
    <w:rPr>
      <w:rFonts w:eastAsia="Times New Roman"/>
      <w:szCs w:val="20"/>
    </w:rPr>
  </w:style>
  <w:style w:type="character" w:customStyle="1" w:styleId="HeaderChar">
    <w:name w:val="Header Char"/>
    <w:basedOn w:val="DefaultParagraphFont"/>
    <w:link w:val="Header"/>
    <w:rsid w:val="00281416"/>
    <w:rPr>
      <w:rFonts w:ascii="Arial" w:eastAsia="Times New Roman" w:hAnsi="Arial" w:cs="Arial"/>
      <w:szCs w:val="20"/>
    </w:rPr>
  </w:style>
  <w:style w:type="character" w:styleId="Hyperlink">
    <w:name w:val="Hyperlink"/>
    <w:uiPriority w:val="99"/>
    <w:rsid w:val="00281416"/>
    <w:rPr>
      <w:color w:val="0000FF"/>
      <w:u w:val="single"/>
    </w:rPr>
  </w:style>
  <w:style w:type="paragraph" w:customStyle="1" w:styleId="List1">
    <w:name w:val="List 1"/>
    <w:link w:val="List1Char"/>
    <w:rsid w:val="00281416"/>
    <w:pPr>
      <w:spacing w:after="0" w:line="240" w:lineRule="auto"/>
      <w:ind w:left="360" w:hanging="360"/>
      <w:contextualSpacing/>
    </w:pPr>
    <w:rPr>
      <w:rFonts w:ascii="Arial" w:eastAsia="Times New Roman" w:hAnsi="Arial" w:cs="Arial"/>
      <w:szCs w:val="24"/>
    </w:rPr>
  </w:style>
  <w:style w:type="character" w:customStyle="1" w:styleId="List1Char">
    <w:name w:val="List 1 Char"/>
    <w:basedOn w:val="DefaultParagraphFont"/>
    <w:link w:val="List1"/>
    <w:rsid w:val="00281416"/>
    <w:rPr>
      <w:rFonts w:ascii="Arial" w:eastAsia="Times New Roman" w:hAnsi="Arial" w:cs="Arial"/>
      <w:szCs w:val="24"/>
    </w:rPr>
  </w:style>
  <w:style w:type="paragraph" w:styleId="List2">
    <w:name w:val="List 2"/>
    <w:link w:val="List2Char"/>
    <w:uiPriority w:val="99"/>
    <w:unhideWhenUsed/>
    <w:rsid w:val="00281416"/>
    <w:pPr>
      <w:spacing w:after="0" w:line="240" w:lineRule="auto"/>
      <w:ind w:left="720" w:hanging="360"/>
      <w:contextualSpacing/>
    </w:pPr>
    <w:rPr>
      <w:rFonts w:ascii="Arial" w:eastAsia="Times New Roman" w:hAnsi="Arial" w:cs="Arial"/>
      <w:szCs w:val="20"/>
    </w:rPr>
  </w:style>
  <w:style w:type="paragraph" w:styleId="List3">
    <w:name w:val="List 3"/>
    <w:link w:val="List3Char"/>
    <w:uiPriority w:val="99"/>
    <w:unhideWhenUsed/>
    <w:rsid w:val="00281416"/>
    <w:pPr>
      <w:spacing w:after="0" w:line="240" w:lineRule="auto"/>
      <w:ind w:left="1080" w:hanging="360"/>
      <w:contextualSpacing/>
    </w:pPr>
    <w:rPr>
      <w:rFonts w:ascii="Arial" w:eastAsia="Times New Roman" w:hAnsi="Arial" w:cs="Arial"/>
      <w:szCs w:val="20"/>
    </w:rPr>
  </w:style>
  <w:style w:type="paragraph" w:styleId="List4">
    <w:name w:val="List 4"/>
    <w:link w:val="List4Char"/>
    <w:rsid w:val="00281416"/>
    <w:pPr>
      <w:spacing w:after="0" w:line="240" w:lineRule="auto"/>
      <w:ind w:left="1440" w:hanging="360"/>
      <w:contextualSpacing/>
    </w:pPr>
    <w:rPr>
      <w:rFonts w:ascii="Arial" w:eastAsia="Times New Roman" w:hAnsi="Arial" w:cs="Arial"/>
      <w:szCs w:val="20"/>
    </w:rPr>
  </w:style>
  <w:style w:type="character" w:customStyle="1" w:styleId="List4Char">
    <w:name w:val="List 4 Char"/>
    <w:basedOn w:val="DefaultParagraphFont"/>
    <w:link w:val="List4"/>
    <w:rsid w:val="00281416"/>
    <w:rPr>
      <w:rFonts w:ascii="Arial" w:eastAsia="Times New Roman" w:hAnsi="Arial" w:cs="Arial"/>
      <w:szCs w:val="20"/>
    </w:rPr>
  </w:style>
  <w:style w:type="character" w:customStyle="1" w:styleId="List2Char">
    <w:name w:val="List 2 Char"/>
    <w:basedOn w:val="DefaultParagraphFont"/>
    <w:link w:val="List2"/>
    <w:uiPriority w:val="99"/>
    <w:rsid w:val="00281416"/>
    <w:rPr>
      <w:rFonts w:ascii="Arial" w:eastAsia="Times New Roman" w:hAnsi="Arial" w:cs="Arial"/>
      <w:szCs w:val="20"/>
    </w:rPr>
  </w:style>
  <w:style w:type="character" w:customStyle="1" w:styleId="List3Char">
    <w:name w:val="List 3 Char"/>
    <w:basedOn w:val="DefaultParagraphFont"/>
    <w:link w:val="List3"/>
    <w:uiPriority w:val="99"/>
    <w:rsid w:val="00281416"/>
    <w:rPr>
      <w:rFonts w:ascii="Arial" w:eastAsia="Times New Roman" w:hAnsi="Arial" w:cs="Arial"/>
      <w:szCs w:val="20"/>
    </w:rPr>
  </w:style>
  <w:style w:type="paragraph" w:styleId="TOC1">
    <w:name w:val="toc 1"/>
    <w:basedOn w:val="Normal"/>
    <w:next w:val="Normal"/>
    <w:autoRedefine/>
    <w:uiPriority w:val="39"/>
    <w:unhideWhenUsed/>
    <w:rsid w:val="00281416"/>
    <w:pPr>
      <w:spacing w:after="100"/>
    </w:pPr>
  </w:style>
  <w:style w:type="paragraph" w:styleId="TOC2">
    <w:name w:val="toc 2"/>
    <w:basedOn w:val="Normal"/>
    <w:next w:val="Normal"/>
    <w:autoRedefine/>
    <w:uiPriority w:val="39"/>
    <w:unhideWhenUsed/>
    <w:rsid w:val="00281416"/>
    <w:pPr>
      <w:spacing w:after="100"/>
      <w:ind w:left="220"/>
    </w:pPr>
  </w:style>
  <w:style w:type="paragraph" w:styleId="TOC3">
    <w:name w:val="toc 3"/>
    <w:basedOn w:val="Normal"/>
    <w:next w:val="Normal"/>
    <w:autoRedefine/>
    <w:uiPriority w:val="39"/>
    <w:unhideWhenUsed/>
    <w:rsid w:val="00281416"/>
    <w:pPr>
      <w:spacing w:after="100"/>
      <w:ind w:left="440"/>
    </w:pPr>
  </w:style>
  <w:style w:type="paragraph" w:styleId="TOC4">
    <w:name w:val="toc 4"/>
    <w:basedOn w:val="Normal"/>
    <w:next w:val="Normal"/>
    <w:autoRedefine/>
    <w:uiPriority w:val="39"/>
    <w:unhideWhenUsed/>
    <w:rsid w:val="00281416"/>
    <w:pPr>
      <w:spacing w:after="100"/>
      <w:ind w:left="660"/>
    </w:pPr>
  </w:style>
  <w:style w:type="paragraph" w:styleId="TOC5">
    <w:name w:val="toc 5"/>
    <w:basedOn w:val="Normal"/>
    <w:next w:val="Normal"/>
    <w:autoRedefine/>
    <w:uiPriority w:val="39"/>
    <w:semiHidden/>
    <w:unhideWhenUsed/>
    <w:rsid w:val="00281416"/>
    <w:pPr>
      <w:spacing w:after="100"/>
      <w:ind w:left="880"/>
    </w:pPr>
  </w:style>
  <w:style w:type="paragraph" w:styleId="TOC6">
    <w:name w:val="toc 6"/>
    <w:basedOn w:val="Normal"/>
    <w:next w:val="Normal"/>
    <w:autoRedefine/>
    <w:uiPriority w:val="39"/>
    <w:semiHidden/>
    <w:unhideWhenUsed/>
    <w:rsid w:val="00281416"/>
    <w:pPr>
      <w:spacing w:after="100"/>
      <w:ind w:left="1100"/>
    </w:pPr>
  </w:style>
  <w:style w:type="paragraph" w:styleId="TOC7">
    <w:name w:val="toc 7"/>
    <w:basedOn w:val="Normal"/>
    <w:next w:val="Normal"/>
    <w:autoRedefine/>
    <w:uiPriority w:val="39"/>
    <w:semiHidden/>
    <w:unhideWhenUsed/>
    <w:rsid w:val="00281416"/>
    <w:pPr>
      <w:spacing w:after="100"/>
      <w:ind w:left="1320"/>
    </w:pPr>
  </w:style>
  <w:style w:type="paragraph" w:styleId="TOC8">
    <w:name w:val="toc 8"/>
    <w:basedOn w:val="Normal"/>
    <w:next w:val="Normal"/>
    <w:autoRedefine/>
    <w:uiPriority w:val="39"/>
    <w:semiHidden/>
    <w:unhideWhenUsed/>
    <w:rsid w:val="00281416"/>
    <w:pPr>
      <w:spacing w:after="100"/>
      <w:ind w:left="1540"/>
    </w:pPr>
  </w:style>
  <w:style w:type="paragraph" w:styleId="TOC9">
    <w:name w:val="toc 9"/>
    <w:basedOn w:val="Normal"/>
    <w:next w:val="Normal"/>
    <w:autoRedefine/>
    <w:uiPriority w:val="39"/>
    <w:semiHidden/>
    <w:unhideWhenUsed/>
    <w:rsid w:val="00281416"/>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cq.osd.mil/dpap/dars/docs/SeniorMentorPolicy.pdf" TargetMode="External"/><Relationship Id="rId13" Type="http://schemas.openxmlformats.org/officeDocument/2006/relationships/hyperlink" Target="https://www.acq.osd.mil/dpap/dars/pgi/docs/Criteria_for_Acquisition_of_Services_(Pre_and_Postaward).doc" TargetMode="External"/><Relationship Id="rId18" Type="http://schemas.openxmlformats.org/officeDocument/2006/relationships/hyperlink" Target="https://www.acq.osd.mil/dpap/dars/pgi/docs/Private_Sector_Notificaton_Requirements_in_Support_of_In-sourcing_Actions.pdf" TargetMode="External"/><Relationship Id="rId26" Type="http://schemas.openxmlformats.org/officeDocument/2006/relationships/header" Target="header3.xml"/><Relationship Id="rId3" Type="http://schemas.openxmlformats.org/officeDocument/2006/relationships/webSettings" Target="webSettings.xml"/><Relationship Id="rId21" Type="http://schemas.openxmlformats.org/officeDocument/2006/relationships/header" Target="header1.xml"/><Relationship Id="rId7" Type="http://schemas.openxmlformats.org/officeDocument/2006/relationships/hyperlink" Target="https://www.acq.osd.mil/dpap/dars/dfars/html/current/237_1.htm" TargetMode="External"/><Relationship Id="rId12" Type="http://schemas.openxmlformats.org/officeDocument/2006/relationships/hyperlink" Target="https://www.dau.mil/tools/dag" TargetMode="External"/><Relationship Id="rId17" Type="http://schemas.openxmlformats.org/officeDocument/2006/relationships/hyperlink" Target="https://www.acq.osd.mil/dpap/dars/pgi/pgi_htm/PGI210_0.htm" TargetMode="External"/><Relationship Id="rId25" Type="http://schemas.openxmlformats.org/officeDocument/2006/relationships/hyperlink" Target="http://www.acq.osd.mil/dpap/dars/dfars/html/current/237_5.htm" TargetMode="External"/><Relationship Id="rId2" Type="http://schemas.openxmlformats.org/officeDocument/2006/relationships/settings" Target="settings.xml"/><Relationship Id="rId16" Type="http://schemas.openxmlformats.org/officeDocument/2006/relationships/hyperlink" Target="https://www.dau.edu/tools/Documents/SAM/resources/ARRT_Home.html" TargetMode="External"/><Relationship Id="rId20" Type="http://schemas.openxmlformats.org/officeDocument/2006/relationships/hyperlink" Target="https://www.acq.osd.mil/dpap/dars/pgi/pgi_htm/PGI222_17.htm" TargetMode="External"/><Relationship Id="rId29" Type="http://schemas.openxmlformats.org/officeDocument/2006/relationships/footer" Target="footer4.xml"/><Relationship Id="rId1" Type="http://schemas.openxmlformats.org/officeDocument/2006/relationships/styles" Target="styles.xml"/><Relationship Id="rId6" Type="http://schemas.openxmlformats.org/officeDocument/2006/relationships/hyperlink" Target="https://www.acq.osd.mil/dpap/dars/dfars/html/current/237_1.htm" TargetMode="External"/><Relationship Id="rId11" Type="http://schemas.openxmlformats.org/officeDocument/2006/relationships/hyperlink" Target="https://www.acq.osd.mil/dpap/dars/pgi/docs/Acquisition_services_taxonomy.xlsx" TargetMode="External"/><Relationship Id="rId24"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hyperlink" Target="https://www.acq.osd.mil/dpap/dars/pgi/pgi_htm/PGI201_1.htm" TargetMode="External"/><Relationship Id="rId23" Type="http://schemas.openxmlformats.org/officeDocument/2006/relationships/header" Target="header2.xml"/><Relationship Id="rId28" Type="http://schemas.openxmlformats.org/officeDocument/2006/relationships/header" Target="header4.xml"/><Relationship Id="rId10" Type="http://schemas.openxmlformats.org/officeDocument/2006/relationships/hyperlink" Target="https://www.acq.osd.mil/dpap/policy/policyvault/USA004219-12-DPAP.pdf" TargetMode="External"/><Relationship Id="rId19" Type="http://schemas.openxmlformats.org/officeDocument/2006/relationships/hyperlink" Target="http://www.defenselink.mil/specials/unifiedcommand/" TargetMode="External"/><Relationship Id="rId31"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s://www.acq.osd.mil/dpap/dars/docs/Updated%20Conversion%20Guidance%208%20Jul%202010.pdf" TargetMode="External"/><Relationship Id="rId14" Type="http://schemas.openxmlformats.org/officeDocument/2006/relationships/hyperlink" Target="https://www.acq.osd.mil/dpap/dars/dfars/html/current/201_1.htm" TargetMode="External"/><Relationship Id="rId22" Type="http://schemas.openxmlformats.org/officeDocument/2006/relationships/footer" Target="footer1.xml"/><Relationship Id="rId27" Type="http://schemas.openxmlformats.org/officeDocument/2006/relationships/footer" Target="footer3.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2500</Words>
  <Characters>14250</Characters>
  <Application>Microsoft Office Word</Application>
  <DocSecurity>0</DocSecurity>
  <Lines>118</Lines>
  <Paragraphs>33</Paragraphs>
  <ScaleCrop>false</ScaleCrop>
  <Company/>
  <LinksUpToDate>false</LinksUpToDate>
  <CharactersWithSpaces>16717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Pangborn</dc:creator>
  <cp:keywords/>
  <dc:description/>
  <cp:lastModifiedBy>Gregory Pangborn</cp:lastModifiedBy>
  <cp:revision>5</cp:revision>
  <dcterms:created xsi:type="dcterms:W3CDTF">2020-04-10T16:55:00Z</dcterms:created>
  <dcterms:modified xsi:type="dcterms:W3CDTF">2020-04-14T15:38:00Z</dcterms:modified>
</cp:coreProperties>
</file>