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BF98E" w14:textId="77777777" w:rsidR="0028138D" w:rsidRDefault="0028138D">
      <w:pPr>
        <w:sectPr w:rsidR="0028138D">
          <w:pgSz w:w="12240" w:h="15840"/>
          <w:pgMar w:top="1440" w:right="1440" w:bottom="1440" w:left="1440" w:header="720" w:footer="720" w:gutter="0"/>
          <w:cols w:space="720"/>
          <w:docGrid w:linePitch="360"/>
        </w:sectPr>
      </w:pPr>
    </w:p>
    <w:p w14:paraId="42D189C3" w14:textId="77777777" w:rsidR="0028138D" w:rsidRDefault="0028138D" w:rsidP="009B675E">
      <w:pPr>
        <w:pStyle w:val="Heading1"/>
      </w:pPr>
      <w:bookmarkStart w:id="0" w:name="_Toc37677732"/>
      <w:bookmarkStart w:id="1" w:name="_Toc37756729"/>
      <w:r w:rsidRPr="007B495C">
        <w:lastRenderedPageBreak/>
        <w:t>PART 2</w:t>
      </w:r>
      <w:r>
        <w:t>41</w:t>
      </w:r>
      <w:r w:rsidRPr="007B495C">
        <w:t xml:space="preserve"> - </w:t>
      </w:r>
      <w:r>
        <w:br/>
      </w:r>
      <w:r w:rsidRPr="00836BC5">
        <w:t>Acquisition of Utility Services</w:t>
      </w:r>
      <w:bookmarkEnd w:id="0"/>
      <w:bookmarkEnd w:id="1"/>
      <w:r w:rsidRPr="00836BC5">
        <w:tab/>
      </w:r>
    </w:p>
    <w:p w14:paraId="7B9EDB1F" w14:textId="77777777" w:rsidR="0028138D" w:rsidRDefault="0028138D">
      <w:r>
        <w:br w:type="page"/>
      </w:r>
      <w:r>
        <w:lastRenderedPageBreak/>
        <w:br/>
      </w:r>
    </w:p>
    <w:p w14:paraId="184939F0" w14:textId="77777777" w:rsidR="00D4589B" w:rsidRPr="006E66C8" w:rsidRDefault="00D4589B" w:rsidP="006E66C8">
      <w:pPr>
        <w:jc w:val="center"/>
        <w:rPr>
          <w:b/>
        </w:rPr>
      </w:pPr>
      <w:r w:rsidRPr="006E66C8">
        <w:rPr>
          <w:b/>
        </w:rPr>
        <w:t>Table of Contents</w:t>
      </w:r>
    </w:p>
    <w:p w14:paraId="454F14A6" w14:textId="5AC3D42B" w:rsidR="00A348B6" w:rsidRDefault="00A348B6" w:rsidP="00A348B6">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729" w:history="1">
        <w:r w:rsidRPr="000D1A5D">
          <w:rPr>
            <w:rStyle w:val="Hyperlink"/>
            <w:noProof/>
          </w:rPr>
          <w:t>PART 241 -  Acquisition of Utility Services</w:t>
        </w:r>
      </w:hyperlink>
    </w:p>
    <w:p w14:paraId="05D80783" w14:textId="52FB02DB" w:rsidR="00A348B6" w:rsidRDefault="00A348B6" w:rsidP="00A348B6">
      <w:pPr>
        <w:pStyle w:val="TOC2"/>
        <w:tabs>
          <w:tab w:val="right" w:leader="dot" w:pos="9350"/>
        </w:tabs>
        <w:rPr>
          <w:rFonts w:asciiTheme="minorHAnsi" w:eastAsiaTheme="minorEastAsia" w:hAnsiTheme="minorHAnsi" w:cstheme="minorBidi"/>
          <w:noProof/>
        </w:rPr>
      </w:pPr>
      <w:hyperlink w:anchor="_Toc37756730" w:history="1">
        <w:r w:rsidRPr="000D1A5D">
          <w:rPr>
            <w:rStyle w:val="Hyperlink"/>
            <w:noProof/>
          </w:rPr>
          <w:t>PGI 241.1--GENERAL</w:t>
        </w:r>
      </w:hyperlink>
    </w:p>
    <w:p w14:paraId="4BA4F2F2" w14:textId="38646310" w:rsidR="00A348B6" w:rsidRDefault="00A348B6" w:rsidP="00A348B6">
      <w:pPr>
        <w:pStyle w:val="TOC3"/>
        <w:tabs>
          <w:tab w:val="right" w:leader="dot" w:pos="9350"/>
        </w:tabs>
        <w:rPr>
          <w:rFonts w:asciiTheme="minorHAnsi" w:eastAsiaTheme="minorEastAsia" w:hAnsiTheme="minorHAnsi" w:cstheme="minorBidi"/>
          <w:noProof/>
        </w:rPr>
      </w:pPr>
      <w:hyperlink w:anchor="_Toc37756731" w:history="1">
        <w:r w:rsidRPr="000D1A5D">
          <w:rPr>
            <w:rStyle w:val="Hyperlink"/>
            <w:b/>
            <w:noProof/>
          </w:rPr>
          <w:t>PGI 241.103  Statutory and delegated authority.</w:t>
        </w:r>
      </w:hyperlink>
    </w:p>
    <w:p w14:paraId="12091D43" w14:textId="72BEFB2E" w:rsidR="00A348B6" w:rsidRDefault="00A348B6" w:rsidP="00A348B6">
      <w:pPr>
        <w:pStyle w:val="TOC3"/>
        <w:tabs>
          <w:tab w:val="right" w:leader="dot" w:pos="9350"/>
        </w:tabs>
        <w:rPr>
          <w:rFonts w:asciiTheme="minorHAnsi" w:eastAsiaTheme="minorEastAsia" w:hAnsiTheme="minorHAnsi" w:cstheme="minorBidi"/>
          <w:noProof/>
        </w:rPr>
      </w:pPr>
      <w:hyperlink w:anchor="_Toc37756732" w:history="1">
        <w:r w:rsidRPr="000D1A5D">
          <w:rPr>
            <w:rStyle w:val="Hyperlink"/>
            <w:b/>
            <w:noProof/>
          </w:rPr>
          <w:t>PGI 241.202  Procedures.</w:t>
        </w:r>
      </w:hyperlink>
    </w:p>
    <w:p w14:paraId="02B443AC" w14:textId="3D33FB6B" w:rsidR="00A348B6" w:rsidRDefault="00A348B6" w:rsidP="00A348B6">
      <w:pPr>
        <w:pStyle w:val="TOC3"/>
        <w:tabs>
          <w:tab w:val="right" w:leader="dot" w:pos="9350"/>
        </w:tabs>
        <w:rPr>
          <w:rFonts w:asciiTheme="minorHAnsi" w:eastAsiaTheme="minorEastAsia" w:hAnsiTheme="minorHAnsi" w:cstheme="minorBidi"/>
          <w:noProof/>
        </w:rPr>
      </w:pPr>
      <w:hyperlink w:anchor="_Toc37756733" w:history="1">
        <w:r w:rsidRPr="000D1A5D">
          <w:rPr>
            <w:rStyle w:val="Hyperlink"/>
            <w:b/>
            <w:noProof/>
          </w:rPr>
          <w:t>PGI 241.205  Separate contracts.</w:t>
        </w:r>
      </w:hyperlink>
    </w:p>
    <w:p w14:paraId="3457A325" w14:textId="5894D707" w:rsidR="0028138D" w:rsidRPr="0028138D" w:rsidRDefault="00A348B6" w:rsidP="0028138D">
      <w:r>
        <w:rPr>
          <w:rStyle w:val="Hyperlink"/>
          <w:b/>
          <w:noProof/>
        </w:rPr>
        <w:fldChar w:fldCharType="end"/>
      </w:r>
    </w:p>
    <w:p w14:paraId="211A838E" w14:textId="77777777" w:rsidR="0028138D" w:rsidRPr="00EA374C" w:rsidRDefault="0028138D" w:rsidP="00AC180B">
      <w:pPr>
        <w:jc w:val="center"/>
      </w:pPr>
      <w:bookmarkStart w:id="2" w:name="BM241_0"/>
      <w:r>
        <w:rPr>
          <w:b/>
          <w:szCs w:val="24"/>
        </w:rPr>
        <w:tab/>
      </w:r>
      <w:r>
        <w:rPr>
          <w:b/>
          <w:szCs w:val="24"/>
        </w:rPr>
        <w:tab/>
      </w:r>
      <w:r>
        <w:rPr>
          <w:b/>
          <w:szCs w:val="24"/>
        </w:rPr>
        <w:tab/>
      </w:r>
      <w:r>
        <w:rPr>
          <w:b/>
          <w:szCs w:val="24"/>
        </w:rPr>
        <w:tab/>
      </w:r>
      <w:r>
        <w:rPr>
          <w:b/>
          <w:szCs w:val="24"/>
        </w:rPr>
        <w:tab/>
      </w:r>
      <w:r>
        <w:rPr>
          <w:b/>
          <w:szCs w:val="24"/>
        </w:rPr>
        <w:tab/>
      </w:r>
      <w:r w:rsidRPr="00EA374C">
        <w:rPr>
          <w:i/>
          <w:szCs w:val="24"/>
        </w:rPr>
        <w:t>(Revised October 15, 2009)</w:t>
      </w:r>
    </w:p>
    <w:p w14:paraId="1135B282" w14:textId="77777777" w:rsidR="0028138D" w:rsidRDefault="0028138D" w:rsidP="00AC180B">
      <w:pPr>
        <w:pStyle w:val="Heading2"/>
      </w:pPr>
      <w:bookmarkStart w:id="3" w:name="_Toc37415881"/>
      <w:bookmarkStart w:id="4" w:name="_Toc37677733"/>
      <w:bookmarkStart w:id="5" w:name="_Toc37756730"/>
      <w:r w:rsidRPr="00BD0973">
        <w:rPr>
          <w:szCs w:val="24"/>
        </w:rPr>
        <w:t>PGI 241.1--GENERAL</w:t>
      </w:r>
      <w:bookmarkEnd w:id="3"/>
      <w:bookmarkEnd w:id="4"/>
      <w:bookmarkEnd w:id="5"/>
    </w:p>
    <w:p w14:paraId="540DE97C" w14:textId="77777777" w:rsidR="0028138D" w:rsidRDefault="0028138D" w:rsidP="00AC180B">
      <w:pPr>
        <w:pStyle w:val="Heading3"/>
      </w:pPr>
      <w:r>
        <w:rPr>
          <w:b/>
          <w:szCs w:val="24"/>
        </w:rPr>
        <w:br/>
      </w:r>
      <w:bookmarkStart w:id="6" w:name="_Toc37415882"/>
      <w:bookmarkStart w:id="7" w:name="_Toc37677734"/>
      <w:bookmarkStart w:id="8" w:name="_Toc37756731"/>
      <w:r w:rsidRPr="00BD0973">
        <w:rPr>
          <w:b/>
          <w:szCs w:val="24"/>
        </w:rPr>
        <w:t xml:space="preserve">PGI </w:t>
      </w:r>
      <w:proofErr w:type="gramStart"/>
      <w:r w:rsidRPr="00AC180B">
        <w:rPr>
          <w:b/>
        </w:rPr>
        <w:t xml:space="preserve">241.103  </w:t>
      </w:r>
      <w:r w:rsidRPr="00BD0973">
        <w:rPr>
          <w:b/>
          <w:szCs w:val="24"/>
        </w:rPr>
        <w:t>Statutory</w:t>
      </w:r>
      <w:proofErr w:type="gramEnd"/>
      <w:r w:rsidRPr="00BD0973">
        <w:rPr>
          <w:b/>
          <w:szCs w:val="24"/>
        </w:rPr>
        <w:t xml:space="preserve"> and delegated authority.</w:t>
      </w:r>
      <w:bookmarkEnd w:id="6"/>
      <w:bookmarkEnd w:id="7"/>
      <w:bookmarkEnd w:id="8"/>
    </w:p>
    <w:p w14:paraId="34C32618" w14:textId="77777777" w:rsidR="0028138D" w:rsidRPr="00BD0973" w:rsidRDefault="0028138D" w:rsidP="00AC180B">
      <w:pPr>
        <w:rPr>
          <w:b/>
        </w:rPr>
      </w:pPr>
      <w:r>
        <w:rPr>
          <w:b/>
          <w:szCs w:val="24"/>
        </w:rPr>
        <w:br/>
      </w:r>
      <w:r w:rsidRPr="00BD0973">
        <w:t xml:space="preserve">Summary of Statutory Authority for Utility/Energy Purchases </w:t>
      </w:r>
    </w:p>
    <w:p w14:paraId="3D993DB6" w14:textId="77777777" w:rsidR="0028138D" w:rsidRPr="00BD0973" w:rsidRDefault="0028138D" w:rsidP="004460B0">
      <w:pPr>
        <w:rPr>
          <w: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8"/>
        <w:gridCol w:w="3150"/>
        <w:gridCol w:w="1980"/>
      </w:tblGrid>
      <w:tr w:rsidR="0028138D" w:rsidRPr="00BD0973" w14:paraId="60AF8EB0" w14:textId="77777777">
        <w:tc>
          <w:tcPr>
            <w:tcW w:w="4518" w:type="dxa"/>
          </w:tcPr>
          <w:p w14:paraId="3AE14489" w14:textId="77777777" w:rsidR="0028138D" w:rsidRPr="00BD0973" w:rsidRDefault="0028138D" w:rsidP="004460B0">
            <w:pPr>
              <w:ind w:right="-108"/>
              <w:jc w:val="center"/>
              <w:rPr>
                <w:b/>
              </w:rPr>
            </w:pPr>
            <w:r w:rsidRPr="00BD0973">
              <w:t>Acquisition Type</w:t>
            </w:r>
          </w:p>
        </w:tc>
        <w:tc>
          <w:tcPr>
            <w:tcW w:w="3150" w:type="dxa"/>
          </w:tcPr>
          <w:p w14:paraId="6F0F184E" w14:textId="77777777" w:rsidR="0028138D" w:rsidRPr="00BD0973" w:rsidRDefault="0028138D" w:rsidP="004460B0">
            <w:pPr>
              <w:jc w:val="center"/>
              <w:rPr>
                <w:b/>
              </w:rPr>
            </w:pPr>
            <w:r w:rsidRPr="00BD0973">
              <w:t>Authority</w:t>
            </w:r>
          </w:p>
        </w:tc>
        <w:tc>
          <w:tcPr>
            <w:tcW w:w="1980" w:type="dxa"/>
          </w:tcPr>
          <w:p w14:paraId="31244EB0" w14:textId="77777777" w:rsidR="0028138D" w:rsidRDefault="0028138D" w:rsidP="00FF1F9C">
            <w:pPr>
              <w:jc w:val="center"/>
              <w:rPr>
                <w:b/>
              </w:rPr>
            </w:pPr>
            <w:r w:rsidRPr="00BD0973">
              <w:t>Maximum Term</w:t>
            </w:r>
          </w:p>
          <w:p w14:paraId="58EB9492" w14:textId="77777777" w:rsidR="0028138D" w:rsidRPr="00BD0973" w:rsidRDefault="0028138D" w:rsidP="00FF1F9C">
            <w:pPr>
              <w:jc w:val="center"/>
              <w:rPr>
                <w:b/>
              </w:rPr>
            </w:pPr>
            <w:r w:rsidRPr="00BD0973">
              <w:t xml:space="preserve"> (years)</w:t>
            </w:r>
          </w:p>
        </w:tc>
      </w:tr>
      <w:tr w:rsidR="0028138D" w:rsidRPr="00BD0973" w14:paraId="4B38CC90" w14:textId="77777777">
        <w:tc>
          <w:tcPr>
            <w:tcW w:w="4518" w:type="dxa"/>
          </w:tcPr>
          <w:p w14:paraId="4A01D41F" w14:textId="77777777" w:rsidR="0028138D" w:rsidRPr="00BD0973" w:rsidRDefault="0028138D" w:rsidP="004460B0">
            <w:pPr>
              <w:ind w:right="-108"/>
              <w:rPr>
                <w:b/>
              </w:rPr>
            </w:pPr>
            <w:r w:rsidRPr="00BD0973">
              <w:t>Energy Commodities (purchased as supplies) (</w:t>
            </w:r>
            <w:r>
              <w:t>n</w:t>
            </w:r>
            <w:r w:rsidRPr="00BD0973">
              <w:t xml:space="preserve">atural </w:t>
            </w:r>
            <w:r>
              <w:t>g</w:t>
            </w:r>
            <w:r w:rsidRPr="00BD0973">
              <w:t xml:space="preserve">as &amp; </w:t>
            </w:r>
            <w:r>
              <w:t>e</w:t>
            </w:r>
            <w:r w:rsidRPr="00BD0973">
              <w:t>lectricity) *</w:t>
            </w:r>
          </w:p>
        </w:tc>
        <w:tc>
          <w:tcPr>
            <w:tcW w:w="3150" w:type="dxa"/>
          </w:tcPr>
          <w:p w14:paraId="43338F77" w14:textId="77777777" w:rsidR="0028138D" w:rsidRPr="00BD0973" w:rsidRDefault="0028138D" w:rsidP="004460B0">
            <w:pPr>
              <w:rPr>
                <w:b/>
              </w:rPr>
            </w:pPr>
            <w:r w:rsidRPr="00BD0973">
              <w:t xml:space="preserve">10 U.S.C. 2306b/ </w:t>
            </w:r>
          </w:p>
          <w:p w14:paraId="2C1398C8" w14:textId="77777777" w:rsidR="0028138D" w:rsidRPr="00BD0973" w:rsidRDefault="0028138D" w:rsidP="004460B0">
            <w:pPr>
              <w:rPr>
                <w:b/>
              </w:rPr>
            </w:pPr>
            <w:r w:rsidRPr="00BD0973">
              <w:t>10 U.S.C. 2829</w:t>
            </w:r>
          </w:p>
        </w:tc>
        <w:tc>
          <w:tcPr>
            <w:tcW w:w="1980" w:type="dxa"/>
          </w:tcPr>
          <w:p w14:paraId="06D8EE40" w14:textId="77777777" w:rsidR="0028138D" w:rsidRPr="00BD0973" w:rsidRDefault="0028138D" w:rsidP="004460B0">
            <w:pPr>
              <w:jc w:val="center"/>
              <w:rPr>
                <w:b/>
              </w:rPr>
            </w:pPr>
            <w:r>
              <w:t xml:space="preserve">        </w:t>
            </w:r>
            <w:proofErr w:type="gramStart"/>
            <w:r w:rsidRPr="00BD0973">
              <w:t xml:space="preserve">5 </w:t>
            </w:r>
            <w:r>
              <w:t xml:space="preserve"> </w:t>
            </w:r>
            <w:r w:rsidRPr="00BD0973">
              <w:t>(</w:t>
            </w:r>
            <w:proofErr w:type="gramEnd"/>
            <w:r w:rsidRPr="00BD0973">
              <w:t>4) **</w:t>
            </w:r>
          </w:p>
        </w:tc>
      </w:tr>
      <w:tr w:rsidR="0028138D" w:rsidRPr="00BD0973" w14:paraId="5AB968D9" w14:textId="77777777">
        <w:tc>
          <w:tcPr>
            <w:tcW w:w="4518" w:type="dxa"/>
          </w:tcPr>
          <w:p w14:paraId="5D0C9CCF" w14:textId="77777777" w:rsidR="0028138D" w:rsidRPr="00BD0973" w:rsidRDefault="0028138D" w:rsidP="004460B0">
            <w:pPr>
              <w:ind w:right="-108"/>
              <w:rPr>
                <w:b/>
              </w:rPr>
            </w:pPr>
            <w:r w:rsidRPr="00BD0973">
              <w:t>Utility Service Contracts</w:t>
            </w:r>
            <w:r w:rsidRPr="00BD0973">
              <w:br/>
              <w:t xml:space="preserve">(in support of </w:t>
            </w:r>
            <w:r>
              <w:t>p</w:t>
            </w:r>
            <w:r w:rsidRPr="00BD0973">
              <w:t xml:space="preserve">rivatization) </w:t>
            </w:r>
          </w:p>
        </w:tc>
        <w:tc>
          <w:tcPr>
            <w:tcW w:w="3150" w:type="dxa"/>
          </w:tcPr>
          <w:p w14:paraId="47E88BA3" w14:textId="77777777" w:rsidR="0028138D" w:rsidRPr="00BD0973" w:rsidRDefault="0028138D" w:rsidP="004460B0">
            <w:pPr>
              <w:rPr>
                <w:b/>
              </w:rPr>
            </w:pPr>
            <w:r w:rsidRPr="00BD0973">
              <w:t>10 U.S.C. 2688(</w:t>
            </w:r>
            <w:r>
              <w:t>d</w:t>
            </w:r>
            <w:r w:rsidRPr="00BD0973">
              <w:t>)(</w:t>
            </w:r>
            <w:r>
              <w:t>2</w:t>
            </w:r>
            <w:r w:rsidRPr="00BD0973">
              <w:t>)</w:t>
            </w:r>
          </w:p>
        </w:tc>
        <w:tc>
          <w:tcPr>
            <w:tcW w:w="1980" w:type="dxa"/>
          </w:tcPr>
          <w:p w14:paraId="3F41CF45" w14:textId="77777777" w:rsidR="0028138D" w:rsidRPr="00BD0973" w:rsidRDefault="0028138D" w:rsidP="004460B0">
            <w:pPr>
              <w:jc w:val="center"/>
              <w:rPr>
                <w:b/>
              </w:rPr>
            </w:pPr>
            <w:r w:rsidRPr="00BD0973">
              <w:t>50</w:t>
            </w:r>
          </w:p>
        </w:tc>
      </w:tr>
      <w:tr w:rsidR="0028138D" w:rsidRPr="00BD0973" w14:paraId="0888A7E2" w14:textId="77777777">
        <w:tc>
          <w:tcPr>
            <w:tcW w:w="4518" w:type="dxa"/>
          </w:tcPr>
          <w:p w14:paraId="15F8446C" w14:textId="77777777" w:rsidR="0028138D" w:rsidRPr="00BD0973" w:rsidRDefault="0028138D" w:rsidP="004460B0">
            <w:pPr>
              <w:ind w:right="-108"/>
              <w:rPr>
                <w:b/>
              </w:rPr>
            </w:pPr>
            <w:r w:rsidRPr="00BD0973">
              <w:t>Utility Service Contracts ***</w:t>
            </w:r>
          </w:p>
          <w:p w14:paraId="706592D0" w14:textId="77777777" w:rsidR="0028138D" w:rsidRPr="00BD0973" w:rsidRDefault="0028138D" w:rsidP="004460B0">
            <w:pPr>
              <w:ind w:right="-108"/>
              <w:rPr>
                <w:b/>
              </w:rPr>
            </w:pPr>
            <w:r>
              <w:lastRenderedPageBreak/>
              <w:t xml:space="preserve">               </w:t>
            </w:r>
            <w:r w:rsidRPr="00BD0973">
              <w:t xml:space="preserve">(when not in support of </w:t>
            </w:r>
            <w:r>
              <w:t>p</w:t>
            </w:r>
            <w:r w:rsidRPr="00BD0973">
              <w:t>rivatization)</w:t>
            </w:r>
          </w:p>
        </w:tc>
        <w:tc>
          <w:tcPr>
            <w:tcW w:w="3150" w:type="dxa"/>
          </w:tcPr>
          <w:p w14:paraId="03BE1C85" w14:textId="77777777" w:rsidR="0028138D" w:rsidRPr="00BD0973" w:rsidRDefault="0028138D" w:rsidP="004460B0">
            <w:pPr>
              <w:rPr>
                <w:b/>
              </w:rPr>
            </w:pPr>
            <w:r w:rsidRPr="00BD0973">
              <w:lastRenderedPageBreak/>
              <w:t>10 U.S.C. 2304</w:t>
            </w:r>
          </w:p>
          <w:p w14:paraId="2F58BD9C" w14:textId="77777777" w:rsidR="0028138D" w:rsidRPr="00BD0973" w:rsidRDefault="0028138D" w:rsidP="004460B0">
            <w:pPr>
              <w:rPr>
                <w:b/>
              </w:rPr>
            </w:pPr>
            <w:r w:rsidRPr="00BD0973">
              <w:lastRenderedPageBreak/>
              <w:t xml:space="preserve">40 U.S.C. 113(e)(3) </w:t>
            </w:r>
          </w:p>
        </w:tc>
        <w:tc>
          <w:tcPr>
            <w:tcW w:w="1980" w:type="dxa"/>
          </w:tcPr>
          <w:p w14:paraId="7A6ED259" w14:textId="77777777" w:rsidR="0028138D" w:rsidRPr="00BD0973" w:rsidRDefault="0028138D" w:rsidP="004460B0">
            <w:pPr>
              <w:jc w:val="center"/>
              <w:rPr>
                <w:b/>
              </w:rPr>
            </w:pPr>
            <w:r w:rsidRPr="00BD0973">
              <w:lastRenderedPageBreak/>
              <w:t>10</w:t>
            </w:r>
          </w:p>
        </w:tc>
      </w:tr>
      <w:tr w:rsidR="0028138D" w:rsidRPr="00BD0973" w14:paraId="2CAB840A" w14:textId="77777777">
        <w:tc>
          <w:tcPr>
            <w:tcW w:w="9648" w:type="dxa"/>
            <w:gridSpan w:val="3"/>
          </w:tcPr>
          <w:p w14:paraId="7D9D2CD7" w14:textId="77777777" w:rsidR="0028138D" w:rsidRPr="00BD0973" w:rsidRDefault="0028138D" w:rsidP="004460B0">
            <w:pPr>
              <w:rPr>
                <w:b/>
              </w:rPr>
            </w:pPr>
          </w:p>
          <w:p w14:paraId="11CE2699" w14:textId="77777777" w:rsidR="0028138D" w:rsidRPr="00BD0973" w:rsidRDefault="0028138D" w:rsidP="004460B0">
            <w:pPr>
              <w:rPr>
                <w:b/>
              </w:rPr>
            </w:pPr>
            <w:r w:rsidRPr="00BD0973">
              <w:t xml:space="preserve">* Section 8093 of Public Law 100-202 specifically precludes the Federal Government from expending appropriated funds to purchase electricity in a manner inconsistent with </w:t>
            </w:r>
            <w:r>
              <w:t>S</w:t>
            </w:r>
            <w:r w:rsidRPr="00BD0973">
              <w:t xml:space="preserve">tate law and regulation.  </w:t>
            </w:r>
          </w:p>
        </w:tc>
      </w:tr>
      <w:tr w:rsidR="0028138D" w:rsidRPr="00BD0973" w14:paraId="7D1ED7AA" w14:textId="77777777">
        <w:tc>
          <w:tcPr>
            <w:tcW w:w="9648" w:type="dxa"/>
            <w:gridSpan w:val="3"/>
          </w:tcPr>
          <w:p w14:paraId="4AF53FE9" w14:textId="77777777" w:rsidR="0028138D" w:rsidRPr="00BD0973" w:rsidRDefault="0028138D" w:rsidP="004460B0">
            <w:pPr>
              <w:rPr>
                <w:b/>
              </w:rPr>
            </w:pPr>
          </w:p>
          <w:p w14:paraId="3DA1A40A" w14:textId="77777777" w:rsidR="0028138D" w:rsidRPr="00BD0973" w:rsidRDefault="0028138D" w:rsidP="004460B0">
            <w:pPr>
              <w:rPr>
                <w:b/>
              </w:rPr>
            </w:pPr>
            <w:r w:rsidRPr="00BD0973">
              <w:t xml:space="preserve">** </w:t>
            </w:r>
            <w:r>
              <w:t>5</w:t>
            </w:r>
            <w:r w:rsidRPr="00BD0973">
              <w:t xml:space="preserve"> years in support of facilities and installations (10 U.S.C. 2306b) and </w:t>
            </w:r>
            <w:r>
              <w:t>4</w:t>
            </w:r>
            <w:r w:rsidRPr="00BD0973">
              <w:t xml:space="preserve"> years for military family housing (10 U.S.C. 2829).</w:t>
            </w:r>
          </w:p>
        </w:tc>
      </w:tr>
      <w:tr w:rsidR="0028138D" w:rsidRPr="00BD0973" w14:paraId="184D1BD5" w14:textId="77777777">
        <w:tc>
          <w:tcPr>
            <w:tcW w:w="9648" w:type="dxa"/>
            <w:gridSpan w:val="3"/>
          </w:tcPr>
          <w:p w14:paraId="23449244" w14:textId="77777777" w:rsidR="0028138D" w:rsidRPr="00BD0973" w:rsidRDefault="0028138D" w:rsidP="004460B0">
            <w:pPr>
              <w:rPr>
                <w:b/>
              </w:rPr>
            </w:pPr>
          </w:p>
          <w:p w14:paraId="18ABF7C6" w14:textId="77777777" w:rsidR="0028138D" w:rsidRPr="00BD0973" w:rsidRDefault="0028138D" w:rsidP="004460B0">
            <w:pPr>
              <w:rPr>
                <w:b/>
              </w:rPr>
            </w:pPr>
            <w:r w:rsidRPr="00BD0973">
              <w:t xml:space="preserve">*** GSA has delegated to DoD its authority, under 40 U.S.C. 501(b), to </w:t>
            </w:r>
            <w:proofErr w:type="gramStart"/>
            <w:r w:rsidRPr="00BD0973">
              <w:t>enter into</w:t>
            </w:r>
            <w:proofErr w:type="gramEnd"/>
            <w:r w:rsidRPr="00BD0973">
              <w:t xml:space="preserve"> utility service contracts for periods not exceeding </w:t>
            </w:r>
            <w:r>
              <w:t>10</w:t>
            </w:r>
            <w:r w:rsidRPr="00BD0973">
              <w:t xml:space="preserve"> years.  Absent this authority, the length of DoD utility service contracts in support of facilities and installations would be limited to </w:t>
            </w:r>
            <w:r>
              <w:t>5</w:t>
            </w:r>
            <w:r w:rsidRPr="00BD0973">
              <w:t xml:space="preserve"> years (10 U.S.C. 2306c) and, for military family housing, </w:t>
            </w:r>
            <w:r>
              <w:t xml:space="preserve">would be </w:t>
            </w:r>
            <w:r w:rsidRPr="00BD0973">
              <w:t xml:space="preserve">limited to </w:t>
            </w:r>
            <w:r>
              <w:t>4</w:t>
            </w:r>
            <w:r w:rsidRPr="00BD0973">
              <w:t xml:space="preserve"> years (10 U.S.C. 2829).</w:t>
            </w:r>
          </w:p>
        </w:tc>
      </w:tr>
      <w:bookmarkEnd w:id="2"/>
    </w:tbl>
    <w:p w14:paraId="613176FF" w14:textId="77777777" w:rsidR="0028138D" w:rsidRPr="00BD0973" w:rsidRDefault="0028138D" w:rsidP="004460B0">
      <w:pPr>
        <w:rPr>
          <w:b/>
        </w:rPr>
      </w:pPr>
    </w:p>
    <w:p w14:paraId="41AEEC74" w14:textId="77777777" w:rsidR="0028138D" w:rsidRDefault="0028138D">
      <w:pPr>
        <w:sectPr w:rsidR="0028138D" w:rsidSect="005E5BDC">
          <w:headerReference w:type="default" r:id="rId6"/>
          <w:footerReference w:type="default" r:id="rId7"/>
          <w:pgSz w:w="12240" w:h="15840"/>
          <w:pgMar w:top="1440" w:right="1440" w:bottom="1440" w:left="1440" w:header="720" w:footer="720" w:gutter="0"/>
          <w:cols w:space="720"/>
          <w:docGrid w:linePitch="360"/>
        </w:sectPr>
      </w:pPr>
    </w:p>
    <w:p w14:paraId="6EB1F37B" w14:textId="77777777" w:rsidR="0028138D" w:rsidRDefault="0028138D" w:rsidP="001E53B0">
      <w:r w:rsidRPr="00DF47A9">
        <w:rPr>
          <w:b/>
          <w:szCs w:val="24"/>
        </w:rPr>
        <w:lastRenderedPageBreak/>
        <w:t>PGI 241.2--ACQUIRING UTILITY SERVICES</w:t>
      </w:r>
    </w:p>
    <w:p w14:paraId="3BD6B19E" w14:textId="77777777" w:rsidR="0028138D" w:rsidRDefault="0028138D" w:rsidP="001E53B0">
      <w:pPr>
        <w:pStyle w:val="Heading3"/>
      </w:pPr>
      <w:r>
        <w:rPr>
          <w:b/>
          <w:szCs w:val="24"/>
        </w:rPr>
        <w:br/>
      </w:r>
      <w:bookmarkStart w:id="9" w:name="_Toc37415883"/>
      <w:bookmarkStart w:id="10" w:name="_Toc37677735"/>
      <w:bookmarkStart w:id="11" w:name="_Toc37756732"/>
      <w:r w:rsidRPr="00DF47A9">
        <w:rPr>
          <w:b/>
          <w:szCs w:val="24"/>
        </w:rPr>
        <w:t xml:space="preserve">PGI </w:t>
      </w:r>
      <w:proofErr w:type="gramStart"/>
      <w:r w:rsidRPr="00DF47A9">
        <w:rPr>
          <w:b/>
          <w:szCs w:val="24"/>
        </w:rPr>
        <w:t>241.202  Procedures</w:t>
      </w:r>
      <w:proofErr w:type="gramEnd"/>
      <w:r w:rsidRPr="00DF47A9">
        <w:rPr>
          <w:b/>
          <w:szCs w:val="24"/>
        </w:rPr>
        <w:t>.</w:t>
      </w:r>
      <w:bookmarkEnd w:id="9"/>
      <w:bookmarkEnd w:id="10"/>
      <w:bookmarkEnd w:id="11"/>
    </w:p>
    <w:p w14:paraId="3668BEA9" w14:textId="77777777" w:rsidR="0028138D" w:rsidRDefault="0028138D" w:rsidP="001E53B0">
      <w:pPr>
        <w:pStyle w:val="List2"/>
      </w:pPr>
      <w:r>
        <w:rPr>
          <w:b/>
          <w:szCs w:val="24"/>
        </w:rPr>
        <w:br/>
      </w:r>
      <w:r w:rsidRPr="00DF47A9">
        <w:rPr>
          <w:szCs w:val="24"/>
        </w:rPr>
        <w:t>(2)(</w:t>
      </w:r>
      <w:proofErr w:type="gramStart"/>
      <w:r>
        <w:rPr>
          <w:szCs w:val="24"/>
        </w:rPr>
        <w:t>A</w:t>
      </w:r>
      <w:r w:rsidRPr="00DF47A9">
        <w:rPr>
          <w:szCs w:val="24"/>
        </w:rPr>
        <w:t>)  Do</w:t>
      </w:r>
      <w:proofErr w:type="gramEnd"/>
      <w:r w:rsidRPr="00DF47A9">
        <w:rPr>
          <w:szCs w:val="24"/>
        </w:rPr>
        <w:t xml:space="preserve"> not use the connection charge provisions for the installation of Government-owned distribution lines and facilities.  The acquisition of such facilities must be authorized by legislation and accomplished in accordance with FAR Part 36.  Also, do not use the connection charge provisions for the installation of new facilities related to the supplier's production and general “backbone” system unless authorized by legislation.</w:t>
      </w:r>
    </w:p>
    <w:p w14:paraId="6B671F13" w14:textId="77777777" w:rsidR="0028138D" w:rsidRDefault="0028138D" w:rsidP="001E53B0">
      <w:pPr>
        <w:pStyle w:val="List4"/>
      </w:pPr>
      <w:r>
        <w:br/>
      </w:r>
      <w:r w:rsidRPr="00DF47A9">
        <w:t>(</w:t>
      </w:r>
      <w:r>
        <w:t>B</w:t>
      </w:r>
      <w:r w:rsidRPr="00DF47A9">
        <w:t>)  Construction labor standards ordinarily do not apply to construction accomplished under the connection charge provisions of this part.  However, if installation includes construction of a public building or public work as defined in FAR 36.102, construction labor standards may apply.</w:t>
      </w:r>
    </w:p>
    <w:p w14:paraId="6E201941" w14:textId="77777777" w:rsidR="0028138D" w:rsidRDefault="0028138D" w:rsidP="001E53B0">
      <w:pPr>
        <w:pStyle w:val="Heading3"/>
      </w:pPr>
      <w:r>
        <w:rPr>
          <w:szCs w:val="24"/>
        </w:rPr>
        <w:br/>
      </w:r>
      <w:bookmarkStart w:id="12" w:name="_Toc37415884"/>
      <w:bookmarkStart w:id="13" w:name="_Toc37677736"/>
      <w:bookmarkStart w:id="14" w:name="_Toc37756733"/>
      <w:r w:rsidRPr="00DF47A9">
        <w:rPr>
          <w:b/>
          <w:szCs w:val="24"/>
        </w:rPr>
        <w:t xml:space="preserve">PGI </w:t>
      </w:r>
      <w:proofErr w:type="gramStart"/>
      <w:r w:rsidRPr="00DF47A9">
        <w:rPr>
          <w:b/>
          <w:szCs w:val="24"/>
        </w:rPr>
        <w:t>241.205  Separate</w:t>
      </w:r>
      <w:proofErr w:type="gramEnd"/>
      <w:r w:rsidRPr="00DF47A9">
        <w:rPr>
          <w:b/>
          <w:szCs w:val="24"/>
        </w:rPr>
        <w:t xml:space="preserve"> contracts.</w:t>
      </w:r>
      <w:bookmarkEnd w:id="12"/>
      <w:bookmarkEnd w:id="13"/>
      <w:bookmarkEnd w:id="14"/>
    </w:p>
    <w:p w14:paraId="6075CE78" w14:textId="77777777" w:rsidR="0028138D" w:rsidRDefault="0028138D" w:rsidP="001E53B0">
      <w:pPr>
        <w:pStyle w:val="List2"/>
      </w:pPr>
      <w:r>
        <w:rPr>
          <w:b/>
          <w:szCs w:val="24"/>
        </w:rPr>
        <w:br/>
      </w:r>
      <w:r w:rsidRPr="00DF47A9">
        <w:rPr>
          <w:szCs w:val="24"/>
        </w:rPr>
        <w:t xml:space="preserve">(1)  </w:t>
      </w:r>
      <w:r w:rsidRPr="00DF47A9">
        <w:rPr>
          <w:i/>
          <w:szCs w:val="24"/>
        </w:rPr>
        <w:t>Definitions</w:t>
      </w:r>
      <w:r w:rsidRPr="00DF47A9">
        <w:rPr>
          <w:szCs w:val="24"/>
        </w:rPr>
        <w:t>.  As used in this section—</w:t>
      </w:r>
    </w:p>
    <w:p w14:paraId="227EB52D" w14:textId="77777777" w:rsidR="0028138D" w:rsidRDefault="0028138D" w:rsidP="001E53B0">
      <w:r>
        <w:rPr>
          <w:szCs w:val="24"/>
        </w:rPr>
        <w:br/>
      </w:r>
      <w:r w:rsidRPr="00DF47A9">
        <w:rPr>
          <w:szCs w:val="24"/>
        </w:rPr>
        <w:tab/>
      </w:r>
      <w:r w:rsidRPr="00DF47A9">
        <w:rPr>
          <w:szCs w:val="24"/>
        </w:rPr>
        <w:tab/>
        <w:t>“Definite term contract” means a contract for utility services for a definite period of not less than one nor more than ten years.</w:t>
      </w:r>
    </w:p>
    <w:p w14:paraId="71F9422E" w14:textId="77777777" w:rsidR="0028138D" w:rsidRDefault="0028138D" w:rsidP="001E53B0">
      <w:r>
        <w:br/>
      </w:r>
      <w:r w:rsidRPr="00DF47A9">
        <w:tab/>
      </w:r>
      <w:r w:rsidRPr="00DF47A9">
        <w:tab/>
        <w:t xml:space="preserve">“Indefinite term contract” means a month-to-month contract for utility services </w:t>
      </w:r>
      <w:r>
        <w:t>that</w:t>
      </w:r>
      <w:r w:rsidRPr="00DF47A9">
        <w:t xml:space="preserve"> may be terminated by the Government upon proper notice.</w:t>
      </w:r>
    </w:p>
    <w:p w14:paraId="026CDFD1" w14:textId="77777777" w:rsidR="0028138D" w:rsidRDefault="0028138D" w:rsidP="001E53B0">
      <w:pPr>
        <w:pStyle w:val="List2"/>
      </w:pPr>
      <w:r>
        <w:rPr>
          <w:szCs w:val="24"/>
        </w:rPr>
        <w:br/>
      </w:r>
      <w:r w:rsidRPr="00DF47A9">
        <w:rPr>
          <w:szCs w:val="24"/>
        </w:rPr>
        <w:t>(2)  Requests for proposals shall state the anticipated service period in terms of months or years.  If the period extends beyond the current fiscal year, evaluate offers of incentives for a definite term contract.</w:t>
      </w:r>
    </w:p>
    <w:p w14:paraId="25D30734" w14:textId="77777777" w:rsidR="0028138D" w:rsidRDefault="0028138D" w:rsidP="001E53B0">
      <w:pPr>
        <w:pStyle w:val="List2"/>
      </w:pPr>
      <w:r>
        <w:rPr>
          <w:szCs w:val="24"/>
        </w:rPr>
        <w:br/>
      </w:r>
      <w:r w:rsidRPr="00DF47A9">
        <w:rPr>
          <w:szCs w:val="24"/>
        </w:rPr>
        <w:t xml:space="preserve">(3)  The solicitation may permit offerors the choice of proposing </w:t>
      </w:r>
      <w:proofErr w:type="gramStart"/>
      <w:r w:rsidRPr="00DF47A9">
        <w:rPr>
          <w:szCs w:val="24"/>
        </w:rPr>
        <w:t>on the basis of</w:t>
      </w:r>
      <w:proofErr w:type="gramEnd"/>
      <w:r w:rsidRPr="00DF47A9">
        <w:rPr>
          <w:szCs w:val="24"/>
        </w:rPr>
        <w:t>—</w:t>
      </w:r>
    </w:p>
    <w:p w14:paraId="2BC82B2A" w14:textId="77777777" w:rsidR="0028138D" w:rsidRDefault="0028138D" w:rsidP="00AE0C82">
      <w:pPr>
        <w:pStyle w:val="List3"/>
      </w:pPr>
      <w:r>
        <w:lastRenderedPageBreak/>
        <w:br/>
      </w:r>
      <w:r w:rsidRPr="00DF47A9">
        <w:t>(</w:t>
      </w:r>
      <w:proofErr w:type="spellStart"/>
      <w:r>
        <w:t>i</w:t>
      </w:r>
      <w:proofErr w:type="spellEnd"/>
      <w:r w:rsidRPr="00DF47A9">
        <w:t>)  A definite term not to exceed the anticipated service period; or</w:t>
      </w:r>
    </w:p>
    <w:p w14:paraId="392CA97F" w14:textId="77777777" w:rsidR="0028138D" w:rsidRDefault="0028138D" w:rsidP="001E53B0">
      <w:pPr>
        <w:pStyle w:val="List3"/>
      </w:pPr>
      <w:r>
        <w:rPr>
          <w:szCs w:val="24"/>
        </w:rPr>
        <w:br/>
      </w:r>
      <w:r w:rsidRPr="00DF47A9">
        <w:rPr>
          <w:szCs w:val="24"/>
        </w:rPr>
        <w:t>(</w:t>
      </w:r>
      <w:r>
        <w:rPr>
          <w:szCs w:val="24"/>
        </w:rPr>
        <w:t>ii</w:t>
      </w:r>
      <w:r w:rsidRPr="00DF47A9">
        <w:rPr>
          <w:szCs w:val="24"/>
        </w:rPr>
        <w:t xml:space="preserve">)  An indefinite term </w:t>
      </w:r>
      <w:proofErr w:type="gramStart"/>
      <w:r w:rsidRPr="00DF47A9">
        <w:rPr>
          <w:szCs w:val="24"/>
        </w:rPr>
        <w:t>contract</w:t>
      </w:r>
      <w:proofErr w:type="gramEnd"/>
      <w:r w:rsidRPr="00DF47A9">
        <w:rPr>
          <w:szCs w:val="24"/>
        </w:rPr>
        <w:t>.</w:t>
      </w:r>
    </w:p>
    <w:p w14:paraId="016F52AB" w14:textId="77777777" w:rsidR="0028138D" w:rsidRDefault="0028138D" w:rsidP="001E53B0">
      <w:pPr>
        <w:pStyle w:val="List2"/>
      </w:pPr>
      <w:r>
        <w:rPr>
          <w:szCs w:val="24"/>
        </w:rPr>
        <w:br/>
      </w:r>
      <w:r w:rsidRPr="00DF47A9">
        <w:rPr>
          <w:szCs w:val="24"/>
        </w:rPr>
        <w:t xml:space="preserve">(4)  If the expected service period is less than the current fiscal year, the solicitation shall be </w:t>
      </w:r>
      <w:proofErr w:type="gramStart"/>
      <w:r w:rsidRPr="00DF47A9">
        <w:rPr>
          <w:szCs w:val="24"/>
        </w:rPr>
        <w:t>on the basis of</w:t>
      </w:r>
      <w:proofErr w:type="gramEnd"/>
      <w:r w:rsidRPr="00DF47A9">
        <w:rPr>
          <w:szCs w:val="24"/>
        </w:rPr>
        <w:t xml:space="preserve"> an indefinite term contract.</w:t>
      </w:r>
    </w:p>
    <w:p w14:paraId="26C32252" w14:textId="77777777" w:rsidR="0028138D" w:rsidRDefault="0028138D" w:rsidP="001E53B0">
      <w:pPr>
        <w:pStyle w:val="List2"/>
      </w:pPr>
      <w:r>
        <w:rPr>
          <w:szCs w:val="24"/>
        </w:rPr>
        <w:br/>
      </w:r>
      <w:r w:rsidRPr="00DF47A9">
        <w:rPr>
          <w:szCs w:val="24"/>
        </w:rPr>
        <w:t>(5)  Contracts for utility services for leased premises shall identify the lease document on the face of the contract.</w:t>
      </w:r>
    </w:p>
    <w:p w14:paraId="2708601C" w14:textId="77777777" w:rsidR="0028138D" w:rsidRDefault="0028138D" w:rsidP="001E53B0">
      <w:pPr>
        <w:pStyle w:val="List2"/>
      </w:pPr>
      <w:r>
        <w:rPr>
          <w:szCs w:val="24"/>
        </w:rPr>
        <w:br/>
      </w:r>
      <w:r w:rsidRPr="00DF47A9">
        <w:rPr>
          <w:szCs w:val="24"/>
        </w:rPr>
        <w:t xml:space="preserve">(6)  Use an indefinite term utility service contract when it </w:t>
      </w:r>
      <w:proofErr w:type="gramStart"/>
      <w:r w:rsidRPr="00DF47A9">
        <w:rPr>
          <w:szCs w:val="24"/>
        </w:rPr>
        <w:t>is considered to be</w:t>
      </w:r>
      <w:proofErr w:type="gramEnd"/>
      <w:r w:rsidRPr="00DF47A9">
        <w:rPr>
          <w:szCs w:val="24"/>
        </w:rPr>
        <w:t xml:space="preserve"> in the Government's best interest to—</w:t>
      </w:r>
    </w:p>
    <w:p w14:paraId="075BD99F" w14:textId="77777777" w:rsidR="0028138D" w:rsidRDefault="0028138D" w:rsidP="00AE0C82">
      <w:pPr>
        <w:pStyle w:val="List3"/>
      </w:pPr>
      <w:r>
        <w:br/>
      </w:r>
      <w:r w:rsidRPr="00DF47A9">
        <w:t>(</w:t>
      </w:r>
      <w:proofErr w:type="spellStart"/>
      <w:r>
        <w:t>i</w:t>
      </w:r>
      <w:proofErr w:type="spellEnd"/>
      <w:r w:rsidRPr="00DF47A9">
        <w:t>)  Have the right to terminate on a 30-day (or longer) notice.  A notice of up to one year may be granted by an installation if needed to obtain a more favorable rate, more advantageous conditions, or for other valid reasons; or</w:t>
      </w:r>
    </w:p>
    <w:p w14:paraId="69B85082" w14:textId="77777777" w:rsidR="0028138D" w:rsidRDefault="0028138D" w:rsidP="001E53B0">
      <w:pPr>
        <w:pStyle w:val="List3"/>
      </w:pPr>
      <w:r>
        <w:rPr>
          <w:szCs w:val="24"/>
        </w:rPr>
        <w:br/>
      </w:r>
      <w:r w:rsidRPr="00DF47A9">
        <w:rPr>
          <w:szCs w:val="24"/>
        </w:rPr>
        <w:t>(</w:t>
      </w:r>
      <w:r>
        <w:rPr>
          <w:szCs w:val="24"/>
        </w:rPr>
        <w:t>ii</w:t>
      </w:r>
      <w:r w:rsidRPr="00DF47A9">
        <w:rPr>
          <w:szCs w:val="24"/>
        </w:rPr>
        <w:t>)  Grant the supplier the right to terminate the contract when of benefit to the Government in the form of lower rates, larger discounts</w:t>
      </w:r>
      <w:r>
        <w:rPr>
          <w:szCs w:val="24"/>
        </w:rPr>
        <w:t>,</w:t>
      </w:r>
      <w:r w:rsidRPr="00DF47A9">
        <w:rPr>
          <w:szCs w:val="24"/>
        </w:rPr>
        <w:t xml:space="preserve"> or more favorable terms and conditions.</w:t>
      </w:r>
    </w:p>
    <w:p w14:paraId="5EF58612" w14:textId="77777777" w:rsidR="0028138D" w:rsidRPr="00DF47A9" w:rsidRDefault="0028138D" w:rsidP="001E53B0">
      <w:r>
        <w:br/>
      </w:r>
    </w:p>
    <w:p w14:paraId="0C2545D8" w14:textId="77777777" w:rsidR="00850595" w:rsidRDefault="00850595"/>
    <w:sectPr w:rsidR="00850595" w:rsidSect="00A8356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0CA29" w14:textId="77777777" w:rsidR="007663D5" w:rsidRDefault="007663D5">
      <w:pPr>
        <w:spacing w:after="0" w:line="240" w:lineRule="auto"/>
      </w:pPr>
      <w:r>
        <w:separator/>
      </w:r>
    </w:p>
  </w:endnote>
  <w:endnote w:type="continuationSeparator" w:id="0">
    <w:p w14:paraId="33F5E631" w14:textId="77777777" w:rsidR="007663D5" w:rsidRDefault="00766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3B7E2" w14:textId="77777777" w:rsidR="002520EB" w:rsidRDefault="007663D5">
    <w:pPr>
      <w:pStyle w:val="Footer"/>
      <w:rPr>
        <w:rFonts w:ascii="Century Schoolbook" w:hAnsi="Century Schoolbook"/>
        <w:sz w:val="20"/>
      </w:rPr>
    </w:pPr>
  </w:p>
  <w:p w14:paraId="5ED24BAA" w14:textId="77777777" w:rsidR="002520EB" w:rsidRDefault="007663D5">
    <w:pPr>
      <w:pStyle w:val="Footer"/>
      <w:tabs>
        <w:tab w:val="clear" w:pos="8640"/>
      </w:tabs>
      <w:rPr>
        <w:rFonts w:ascii="Century Schoolbook" w:hAnsi="Century Schoolbook"/>
        <w:b/>
        <w:sz w:val="20"/>
      </w:rPr>
    </w:pPr>
  </w:p>
  <w:p w14:paraId="44ADAE9F" w14:textId="77777777" w:rsidR="002520EB" w:rsidRPr="00BC71C0" w:rsidRDefault="0028138D">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41</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97B2F" w14:textId="77777777" w:rsidR="00713477" w:rsidRDefault="007663D5">
    <w:pPr>
      <w:pStyle w:val="Footer"/>
      <w:rPr>
        <w:rFonts w:ascii="Century Schoolbook" w:hAnsi="Century Schoolbook"/>
        <w:sz w:val="20"/>
      </w:rPr>
    </w:pPr>
  </w:p>
  <w:p w14:paraId="78D7C5E3" w14:textId="77777777" w:rsidR="00713477" w:rsidRDefault="007663D5">
    <w:pPr>
      <w:pStyle w:val="Footer"/>
      <w:tabs>
        <w:tab w:val="clear" w:pos="8640"/>
      </w:tabs>
      <w:rPr>
        <w:rFonts w:ascii="Century Schoolbook" w:hAnsi="Century Schoolbook"/>
        <w:b/>
        <w:sz w:val="20"/>
      </w:rPr>
    </w:pPr>
  </w:p>
  <w:p w14:paraId="08CF9393" w14:textId="77777777" w:rsidR="00713477" w:rsidRPr="00BC71C0" w:rsidRDefault="0028138D">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41</w:t>
    </w:r>
    <w:r w:rsidRPr="00BC71C0">
      <w:rPr>
        <w:szCs w:val="22"/>
      </w:rPr>
      <w:t>.</w:t>
    </w:r>
    <w:r>
      <w:rPr>
        <w:szCs w:val="22"/>
      </w:rPr>
      <w:t>2</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47843" w14:textId="77777777" w:rsidR="007663D5" w:rsidRDefault="007663D5">
      <w:pPr>
        <w:spacing w:after="0" w:line="240" w:lineRule="auto"/>
      </w:pPr>
      <w:r>
        <w:separator/>
      </w:r>
    </w:p>
  </w:footnote>
  <w:footnote w:type="continuationSeparator" w:id="0">
    <w:p w14:paraId="75EE1E84" w14:textId="77777777" w:rsidR="007663D5" w:rsidRDefault="00766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DA2C8" w14:textId="77777777" w:rsidR="002520EB" w:rsidRDefault="0028138D" w:rsidP="003E6AA4">
    <w:pPr>
      <w:pStyle w:val="Header"/>
      <w:tabs>
        <w:tab w:val="clear" w:pos="8640"/>
        <w:tab w:val="left" w:pos="4590"/>
      </w:tabs>
      <w:jc w:val="center"/>
      <w:rPr>
        <w:sz w:val="28"/>
        <w:szCs w:val="28"/>
      </w:rPr>
    </w:pPr>
    <w:r w:rsidRPr="002B1BC7">
      <w:rPr>
        <w:sz w:val="28"/>
        <w:szCs w:val="28"/>
      </w:rPr>
      <w:t>DFARS Procedures, Guidance, and Information</w:t>
    </w:r>
  </w:p>
  <w:p w14:paraId="1C9A8190" w14:textId="77777777" w:rsidR="002520EB" w:rsidRPr="002B1BC7" w:rsidRDefault="007663D5" w:rsidP="003E6AA4">
    <w:pPr>
      <w:pStyle w:val="Header"/>
      <w:tabs>
        <w:tab w:val="clear" w:pos="8640"/>
        <w:tab w:val="left" w:pos="4590"/>
      </w:tabs>
      <w:jc w:val="center"/>
      <w:rPr>
        <w:sz w:val="28"/>
        <w:szCs w:val="28"/>
      </w:rPr>
    </w:pPr>
  </w:p>
  <w:p w14:paraId="6E693FE9" w14:textId="77777777" w:rsidR="002520EB" w:rsidRPr="00BC71C0" w:rsidRDefault="0028138D">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41</w:t>
    </w:r>
    <w:r w:rsidRPr="00BC71C0">
      <w:rPr>
        <w:szCs w:val="24"/>
      </w:rPr>
      <w:t>—</w:t>
    </w:r>
    <w:r>
      <w:rPr>
        <w:szCs w:val="24"/>
      </w:rPr>
      <w:t>Acquisition of Utility Services</w:t>
    </w:r>
  </w:p>
  <w:p w14:paraId="56C5BC3D" w14:textId="77777777" w:rsidR="002520EB" w:rsidRDefault="007663D5">
    <w:pPr>
      <w:pStyle w:val="Header"/>
      <w:tabs>
        <w:tab w:val="clear" w:pos="8640"/>
        <w:tab w:val="right" w:pos="9260"/>
      </w:tabs>
      <w:spacing w:before="20" w:line="20" w:lineRule="exact"/>
      <w:rPr>
        <w:rFonts w:ascii="Geneva" w:hAnsi="Geneva"/>
        <w:b/>
        <w:position w:val="6"/>
        <w:sz w:val="18"/>
      </w:rPr>
    </w:pPr>
  </w:p>
  <w:p w14:paraId="7AD34DE4" w14:textId="77777777" w:rsidR="002520EB" w:rsidRDefault="007663D5">
    <w:pPr>
      <w:pStyle w:val="Header"/>
      <w:tabs>
        <w:tab w:val="clear" w:pos="8640"/>
        <w:tab w:val="right" w:pos="9260"/>
      </w:tabs>
      <w:rPr>
        <w:rFonts w:ascii="Century Schoolbook" w:hAnsi="Century Schoolbook"/>
        <w:b/>
        <w:sz w:val="20"/>
      </w:rPr>
    </w:pPr>
  </w:p>
  <w:p w14:paraId="17602CF3" w14:textId="77777777" w:rsidR="002520EB" w:rsidRDefault="007663D5">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D4F1C" w14:textId="77777777" w:rsidR="00713477" w:rsidRDefault="0028138D" w:rsidP="003E6AA4">
    <w:pPr>
      <w:pStyle w:val="Header"/>
      <w:tabs>
        <w:tab w:val="clear" w:pos="8640"/>
        <w:tab w:val="left" w:pos="4590"/>
      </w:tabs>
      <w:jc w:val="center"/>
      <w:rPr>
        <w:sz w:val="28"/>
        <w:szCs w:val="28"/>
      </w:rPr>
    </w:pPr>
    <w:r w:rsidRPr="002B1BC7">
      <w:rPr>
        <w:sz w:val="28"/>
        <w:szCs w:val="28"/>
      </w:rPr>
      <w:t>DFARS Procedures, Guidance, and Information</w:t>
    </w:r>
  </w:p>
  <w:p w14:paraId="19B0CC6D" w14:textId="77777777" w:rsidR="00713477" w:rsidRPr="002B1BC7" w:rsidRDefault="007663D5" w:rsidP="003E6AA4">
    <w:pPr>
      <w:pStyle w:val="Header"/>
      <w:tabs>
        <w:tab w:val="clear" w:pos="8640"/>
        <w:tab w:val="left" w:pos="4590"/>
      </w:tabs>
      <w:jc w:val="center"/>
      <w:rPr>
        <w:sz w:val="28"/>
        <w:szCs w:val="28"/>
      </w:rPr>
    </w:pPr>
  </w:p>
  <w:p w14:paraId="2E9F309D" w14:textId="77777777" w:rsidR="00713477" w:rsidRPr="00BC71C0" w:rsidRDefault="0028138D">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41</w:t>
    </w:r>
    <w:r w:rsidRPr="00BC71C0">
      <w:rPr>
        <w:szCs w:val="24"/>
      </w:rPr>
      <w:t>—</w:t>
    </w:r>
    <w:r>
      <w:rPr>
        <w:szCs w:val="24"/>
      </w:rPr>
      <w:t>Acquisition of Utility Services</w:t>
    </w:r>
  </w:p>
  <w:p w14:paraId="2C18C7A9" w14:textId="77777777" w:rsidR="00713477" w:rsidRDefault="007663D5">
    <w:pPr>
      <w:pStyle w:val="Header"/>
      <w:tabs>
        <w:tab w:val="clear" w:pos="8640"/>
        <w:tab w:val="right" w:pos="9260"/>
      </w:tabs>
      <w:spacing w:before="20" w:line="20" w:lineRule="exact"/>
      <w:rPr>
        <w:rFonts w:ascii="Geneva" w:hAnsi="Geneva"/>
        <w:b/>
        <w:position w:val="6"/>
        <w:sz w:val="18"/>
      </w:rPr>
    </w:pPr>
  </w:p>
  <w:p w14:paraId="4DB062F4" w14:textId="77777777" w:rsidR="00713477" w:rsidRDefault="007663D5">
    <w:pPr>
      <w:pStyle w:val="Header"/>
      <w:tabs>
        <w:tab w:val="clear" w:pos="8640"/>
        <w:tab w:val="right" w:pos="9260"/>
      </w:tabs>
      <w:rPr>
        <w:rFonts w:ascii="Century Schoolbook" w:hAnsi="Century Schoolbook"/>
        <w:b/>
        <w:sz w:val="20"/>
      </w:rPr>
    </w:pPr>
  </w:p>
  <w:p w14:paraId="02D10C34" w14:textId="77777777" w:rsidR="00713477" w:rsidRDefault="007663D5">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8D"/>
    <w:rsid w:val="0028138D"/>
    <w:rsid w:val="00505901"/>
    <w:rsid w:val="006E66C8"/>
    <w:rsid w:val="007663D5"/>
    <w:rsid w:val="007D6208"/>
    <w:rsid w:val="00850595"/>
    <w:rsid w:val="00A348B6"/>
    <w:rsid w:val="00B8095C"/>
    <w:rsid w:val="00BF48DE"/>
    <w:rsid w:val="00C752EC"/>
    <w:rsid w:val="00D4589B"/>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0E40"/>
  <w15:chartTrackingRefBased/>
  <w15:docId w15:val="{6CA997E5-CCF7-4ADF-BD62-C0E8D385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28138D"/>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semiHidden/>
    <w:unhideWhenUsed/>
    <w:qFormat/>
    <w:rsid w:val="0028138D"/>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28138D"/>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uiPriority w:val="9"/>
    <w:semiHidden/>
    <w:unhideWhenUsed/>
    <w:qFormat/>
    <w:rsid w:val="00D458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38D"/>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semiHidden/>
    <w:rsid w:val="0028138D"/>
    <w:rPr>
      <w:rFonts w:ascii="Arial" w:eastAsiaTheme="majorEastAsia" w:hAnsi="Arial" w:cs="Arial"/>
      <w:b/>
      <w:bCs/>
      <w:iCs/>
      <w:sz w:val="28"/>
      <w:szCs w:val="28"/>
    </w:rPr>
  </w:style>
  <w:style w:type="character" w:customStyle="1" w:styleId="Heading3Char">
    <w:name w:val="Heading 3 Char"/>
    <w:basedOn w:val="DefaultParagraphFont"/>
    <w:link w:val="Heading3"/>
    <w:rsid w:val="0028138D"/>
    <w:rPr>
      <w:rFonts w:ascii="Arial" w:eastAsia="Times New Roman" w:hAnsi="Arial" w:cs="Arial"/>
      <w:szCs w:val="20"/>
    </w:rPr>
  </w:style>
  <w:style w:type="paragraph" w:styleId="Footer">
    <w:name w:val="footer"/>
    <w:basedOn w:val="Normal"/>
    <w:link w:val="FooterChar"/>
    <w:rsid w:val="0028138D"/>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28138D"/>
    <w:rPr>
      <w:rFonts w:ascii="Arial" w:eastAsia="Times New Roman" w:hAnsi="Arial" w:cs="Arial"/>
      <w:szCs w:val="20"/>
    </w:rPr>
  </w:style>
  <w:style w:type="paragraph" w:styleId="Header">
    <w:name w:val="header"/>
    <w:basedOn w:val="Normal"/>
    <w:link w:val="HeaderChar"/>
    <w:rsid w:val="0028138D"/>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28138D"/>
    <w:rPr>
      <w:rFonts w:ascii="Arial" w:eastAsia="Times New Roman" w:hAnsi="Arial" w:cs="Arial"/>
      <w:szCs w:val="20"/>
    </w:rPr>
  </w:style>
  <w:style w:type="paragraph" w:styleId="List2">
    <w:name w:val="List 2"/>
    <w:uiPriority w:val="99"/>
    <w:semiHidden/>
    <w:unhideWhenUsed/>
    <w:rsid w:val="0028138D"/>
    <w:pPr>
      <w:spacing w:after="0" w:line="240" w:lineRule="auto"/>
      <w:ind w:left="720" w:hanging="360"/>
      <w:contextualSpacing/>
    </w:pPr>
    <w:rPr>
      <w:rFonts w:ascii="Arial" w:eastAsia="Times New Roman" w:hAnsi="Arial" w:cs="Arial"/>
      <w:szCs w:val="20"/>
    </w:rPr>
  </w:style>
  <w:style w:type="paragraph" w:styleId="List3">
    <w:name w:val="List 3"/>
    <w:uiPriority w:val="99"/>
    <w:semiHidden/>
    <w:unhideWhenUsed/>
    <w:rsid w:val="0028138D"/>
    <w:pPr>
      <w:spacing w:after="0" w:line="240" w:lineRule="auto"/>
      <w:ind w:left="1080" w:hanging="360"/>
      <w:contextualSpacing/>
    </w:pPr>
    <w:rPr>
      <w:rFonts w:ascii="Arial" w:eastAsia="Times New Roman" w:hAnsi="Arial" w:cs="Arial"/>
      <w:szCs w:val="20"/>
    </w:rPr>
  </w:style>
  <w:style w:type="paragraph" w:styleId="List4">
    <w:name w:val="List 4"/>
    <w:link w:val="List4Char"/>
    <w:uiPriority w:val="99"/>
    <w:unhideWhenUsed/>
    <w:rsid w:val="0028138D"/>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uiPriority w:val="99"/>
    <w:rsid w:val="0028138D"/>
    <w:rPr>
      <w:rFonts w:ascii="Arial" w:eastAsia="Times New Roman" w:hAnsi="Arial" w:cs="Arial"/>
      <w:szCs w:val="20"/>
    </w:rPr>
  </w:style>
  <w:style w:type="paragraph" w:styleId="TOC1">
    <w:name w:val="toc 1"/>
    <w:basedOn w:val="Normal"/>
    <w:next w:val="Normal"/>
    <w:autoRedefine/>
    <w:uiPriority w:val="39"/>
    <w:unhideWhenUsed/>
    <w:rsid w:val="0028138D"/>
    <w:pPr>
      <w:spacing w:after="100"/>
    </w:pPr>
  </w:style>
  <w:style w:type="paragraph" w:styleId="TOC2">
    <w:name w:val="toc 2"/>
    <w:basedOn w:val="Normal"/>
    <w:next w:val="Normal"/>
    <w:autoRedefine/>
    <w:uiPriority w:val="39"/>
    <w:unhideWhenUsed/>
    <w:rsid w:val="0028138D"/>
    <w:pPr>
      <w:spacing w:after="100"/>
      <w:ind w:left="220"/>
    </w:pPr>
  </w:style>
  <w:style w:type="paragraph" w:styleId="TOC3">
    <w:name w:val="toc 3"/>
    <w:basedOn w:val="Normal"/>
    <w:next w:val="Normal"/>
    <w:autoRedefine/>
    <w:uiPriority w:val="39"/>
    <w:unhideWhenUsed/>
    <w:rsid w:val="0028138D"/>
    <w:pPr>
      <w:spacing w:after="100"/>
      <w:ind w:left="440"/>
    </w:pPr>
  </w:style>
  <w:style w:type="character" w:styleId="Hyperlink">
    <w:name w:val="Hyperlink"/>
    <w:basedOn w:val="DefaultParagraphFont"/>
    <w:uiPriority w:val="99"/>
    <w:unhideWhenUsed/>
    <w:rsid w:val="0028138D"/>
    <w:rPr>
      <w:color w:val="0563C1" w:themeColor="hyperlink"/>
      <w:u w:val="single"/>
    </w:rPr>
  </w:style>
  <w:style w:type="paragraph" w:styleId="TOC4">
    <w:name w:val="toc 4"/>
    <w:basedOn w:val="Normal"/>
    <w:next w:val="Normal"/>
    <w:autoRedefine/>
    <w:uiPriority w:val="39"/>
    <w:semiHidden/>
    <w:unhideWhenUsed/>
    <w:rsid w:val="0028138D"/>
    <w:pPr>
      <w:spacing w:after="100"/>
      <w:ind w:left="660"/>
    </w:pPr>
  </w:style>
  <w:style w:type="paragraph" w:styleId="TOC5">
    <w:name w:val="toc 5"/>
    <w:basedOn w:val="Normal"/>
    <w:next w:val="Normal"/>
    <w:autoRedefine/>
    <w:uiPriority w:val="39"/>
    <w:semiHidden/>
    <w:unhideWhenUsed/>
    <w:rsid w:val="0028138D"/>
    <w:pPr>
      <w:spacing w:after="100"/>
      <w:ind w:left="880"/>
    </w:pPr>
  </w:style>
  <w:style w:type="paragraph" w:styleId="TOC6">
    <w:name w:val="toc 6"/>
    <w:basedOn w:val="Normal"/>
    <w:next w:val="Normal"/>
    <w:autoRedefine/>
    <w:uiPriority w:val="39"/>
    <w:semiHidden/>
    <w:unhideWhenUsed/>
    <w:rsid w:val="0028138D"/>
    <w:pPr>
      <w:spacing w:after="100"/>
      <w:ind w:left="1100"/>
    </w:pPr>
  </w:style>
  <w:style w:type="paragraph" w:styleId="TOC7">
    <w:name w:val="toc 7"/>
    <w:basedOn w:val="Normal"/>
    <w:next w:val="Normal"/>
    <w:autoRedefine/>
    <w:uiPriority w:val="39"/>
    <w:semiHidden/>
    <w:unhideWhenUsed/>
    <w:rsid w:val="0028138D"/>
    <w:pPr>
      <w:spacing w:after="100"/>
      <w:ind w:left="1320"/>
    </w:pPr>
  </w:style>
  <w:style w:type="paragraph" w:styleId="TOC8">
    <w:name w:val="toc 8"/>
    <w:basedOn w:val="Normal"/>
    <w:next w:val="Normal"/>
    <w:autoRedefine/>
    <w:uiPriority w:val="39"/>
    <w:semiHidden/>
    <w:unhideWhenUsed/>
    <w:rsid w:val="0028138D"/>
    <w:pPr>
      <w:spacing w:after="100"/>
      <w:ind w:left="1540"/>
    </w:pPr>
  </w:style>
  <w:style w:type="paragraph" w:styleId="TOC9">
    <w:name w:val="toc 9"/>
    <w:basedOn w:val="Normal"/>
    <w:next w:val="Normal"/>
    <w:autoRedefine/>
    <w:uiPriority w:val="39"/>
    <w:semiHidden/>
    <w:unhideWhenUsed/>
    <w:rsid w:val="0028138D"/>
    <w:pPr>
      <w:spacing w:after="100"/>
      <w:ind w:left="1760"/>
    </w:pPr>
  </w:style>
  <w:style w:type="character" w:customStyle="1" w:styleId="Heading4Char">
    <w:name w:val="Heading 4 Char"/>
    <w:basedOn w:val="DefaultParagraphFont"/>
    <w:link w:val="Heading4"/>
    <w:uiPriority w:val="9"/>
    <w:semiHidden/>
    <w:rsid w:val="00D458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2020-04-10T16:55:00Z</dcterms:created>
  <dcterms:modified xsi:type="dcterms:W3CDTF">2020-04-14T15:38:00Z</dcterms:modified>
</cp:coreProperties>
</file>