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9F2B7" w14:textId="77777777" w:rsidR="001843D7" w:rsidRDefault="001843D7">
      <w:pPr>
        <w:sectPr w:rsidR="001843D7">
          <w:pgSz w:w="12240" w:h="15840"/>
          <w:pgMar w:top="1440" w:right="1440" w:bottom="1440" w:left="1440" w:header="720" w:footer="720" w:gutter="0"/>
          <w:cols w:space="720"/>
          <w:docGrid w:linePitch="360"/>
        </w:sectPr>
      </w:pPr>
    </w:p>
    <w:p w14:paraId="10F13C3C" w14:textId="77777777" w:rsidR="001843D7" w:rsidRDefault="001843D7" w:rsidP="00672422">
      <w:pPr>
        <w:pStyle w:val="Heading1"/>
      </w:pPr>
      <w:bookmarkStart w:id="0" w:name="_Toc37677754"/>
      <w:bookmarkStart w:id="1" w:name="_Toc37756744"/>
      <w:r w:rsidRPr="007B495C">
        <w:lastRenderedPageBreak/>
        <w:t>PART 2</w:t>
      </w:r>
      <w:r>
        <w:t>43</w:t>
      </w:r>
      <w:r w:rsidRPr="007B495C">
        <w:t xml:space="preserve"> - </w:t>
      </w:r>
      <w:r>
        <w:br/>
      </w:r>
      <w:r w:rsidRPr="00435D86">
        <w:t>Contract Modifications</w:t>
      </w:r>
      <w:bookmarkEnd w:id="0"/>
      <w:bookmarkEnd w:id="1"/>
    </w:p>
    <w:p w14:paraId="11A096E7" w14:textId="77777777" w:rsidR="001843D7" w:rsidRDefault="001843D7">
      <w:r>
        <w:br w:type="page"/>
      </w:r>
      <w:r>
        <w:lastRenderedPageBreak/>
        <w:br/>
      </w:r>
    </w:p>
    <w:p w14:paraId="58C9CBDF" w14:textId="77777777" w:rsidR="007306C8" w:rsidRPr="00B35B9C" w:rsidRDefault="007306C8" w:rsidP="00B35B9C">
      <w:pPr>
        <w:jc w:val="center"/>
        <w:rPr>
          <w:b/>
        </w:rPr>
      </w:pPr>
      <w:r w:rsidRPr="00B35B9C">
        <w:rPr>
          <w:b/>
        </w:rPr>
        <w:t>Table of Contents</w:t>
      </w:r>
    </w:p>
    <w:p w14:paraId="67D370A8" w14:textId="08843F77" w:rsidR="001D6C1F" w:rsidRDefault="001D6C1F" w:rsidP="001D6C1F">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744" w:history="1">
        <w:r w:rsidRPr="008C5DB9">
          <w:rPr>
            <w:rStyle w:val="Hyperlink"/>
            <w:noProof/>
          </w:rPr>
          <w:t>PART 243 -  Contract Modifications</w:t>
        </w:r>
      </w:hyperlink>
    </w:p>
    <w:p w14:paraId="3595CE19" w14:textId="5151CA38" w:rsidR="001D6C1F" w:rsidRDefault="001D6C1F" w:rsidP="001D6C1F">
      <w:pPr>
        <w:pStyle w:val="TOC2"/>
        <w:tabs>
          <w:tab w:val="right" w:leader="dot" w:pos="9350"/>
        </w:tabs>
        <w:rPr>
          <w:rFonts w:asciiTheme="minorHAnsi" w:eastAsiaTheme="minorEastAsia" w:hAnsiTheme="minorHAnsi" w:cstheme="minorBidi"/>
          <w:noProof/>
        </w:rPr>
      </w:pPr>
      <w:hyperlink w:anchor="_Toc37756745" w:history="1">
        <w:r w:rsidRPr="008C5DB9">
          <w:rPr>
            <w:rStyle w:val="Hyperlink"/>
            <w:caps/>
            <w:noProof/>
          </w:rPr>
          <w:t>PGI 243.1</w:t>
        </w:r>
        <w:r w:rsidRPr="008C5DB9">
          <w:rPr>
            <w:rStyle w:val="Hyperlink"/>
            <w:noProof/>
          </w:rPr>
          <w:t>—</w:t>
        </w:r>
        <w:r w:rsidRPr="008C5DB9">
          <w:rPr>
            <w:rStyle w:val="Hyperlink"/>
            <w:caps/>
            <w:noProof/>
          </w:rPr>
          <w:t>general</w:t>
        </w:r>
      </w:hyperlink>
    </w:p>
    <w:p w14:paraId="4F107298" w14:textId="0961C7DF" w:rsidR="001D6C1F" w:rsidRDefault="001D6C1F" w:rsidP="001D6C1F">
      <w:pPr>
        <w:pStyle w:val="TOC3"/>
        <w:tabs>
          <w:tab w:val="right" w:leader="dot" w:pos="9350"/>
        </w:tabs>
        <w:rPr>
          <w:rFonts w:asciiTheme="minorHAnsi" w:eastAsiaTheme="minorEastAsia" w:hAnsiTheme="minorHAnsi" w:cstheme="minorBidi"/>
          <w:noProof/>
        </w:rPr>
      </w:pPr>
      <w:hyperlink w:anchor="_Toc37756746" w:history="1">
        <w:r w:rsidRPr="008C5DB9">
          <w:rPr>
            <w:rStyle w:val="Hyperlink"/>
            <w:b/>
            <w:noProof/>
          </w:rPr>
          <w:t>PGI 243.170  Identification of foreign military sale (FMS) requirements.</w:t>
        </w:r>
      </w:hyperlink>
    </w:p>
    <w:p w14:paraId="4508FF12" w14:textId="5B522314" w:rsidR="001D6C1F" w:rsidRDefault="001D6C1F" w:rsidP="001D6C1F">
      <w:pPr>
        <w:pStyle w:val="TOC3"/>
        <w:tabs>
          <w:tab w:val="right" w:leader="dot" w:pos="9350"/>
        </w:tabs>
        <w:rPr>
          <w:rFonts w:asciiTheme="minorHAnsi" w:eastAsiaTheme="minorEastAsia" w:hAnsiTheme="minorHAnsi" w:cstheme="minorBidi"/>
          <w:noProof/>
        </w:rPr>
      </w:pPr>
      <w:hyperlink w:anchor="_Toc37756747" w:history="1">
        <w:r w:rsidRPr="008C5DB9">
          <w:rPr>
            <w:rStyle w:val="Hyperlink"/>
            <w:b/>
            <w:noProof/>
          </w:rPr>
          <w:t>PGI 243.171  Obligation or deobligation of funds.</w:t>
        </w:r>
      </w:hyperlink>
    </w:p>
    <w:p w14:paraId="052E24D1" w14:textId="41654A90" w:rsidR="001D6C1F" w:rsidRDefault="001D6C1F" w:rsidP="001D6C1F">
      <w:pPr>
        <w:pStyle w:val="TOC2"/>
        <w:tabs>
          <w:tab w:val="right" w:leader="dot" w:pos="9350"/>
        </w:tabs>
        <w:rPr>
          <w:rFonts w:asciiTheme="minorHAnsi" w:eastAsiaTheme="minorEastAsia" w:hAnsiTheme="minorHAnsi" w:cstheme="minorBidi"/>
          <w:noProof/>
        </w:rPr>
      </w:pPr>
      <w:hyperlink w:anchor="_Toc37756748" w:history="1">
        <w:r w:rsidRPr="008C5DB9">
          <w:rPr>
            <w:rStyle w:val="Hyperlink"/>
            <w:noProof/>
          </w:rPr>
          <w:t>PGI 243.2—CHANGE ORDERS</w:t>
        </w:r>
      </w:hyperlink>
    </w:p>
    <w:p w14:paraId="56472025" w14:textId="68FABADF" w:rsidR="001D6C1F" w:rsidRDefault="001D6C1F" w:rsidP="001D6C1F">
      <w:pPr>
        <w:pStyle w:val="TOC3"/>
        <w:tabs>
          <w:tab w:val="right" w:leader="dot" w:pos="9350"/>
        </w:tabs>
        <w:rPr>
          <w:rFonts w:asciiTheme="minorHAnsi" w:eastAsiaTheme="minorEastAsia" w:hAnsiTheme="minorHAnsi" w:cstheme="minorBidi"/>
          <w:noProof/>
        </w:rPr>
      </w:pPr>
      <w:hyperlink w:anchor="_Toc37756749" w:history="1">
        <w:r w:rsidRPr="008C5DB9">
          <w:rPr>
            <w:rStyle w:val="Hyperlink"/>
            <w:b/>
            <w:noProof/>
          </w:rPr>
          <w:t>PGI 243.204  Administration.</w:t>
        </w:r>
      </w:hyperlink>
    </w:p>
    <w:p w14:paraId="01A90A74" w14:textId="2C21C2BE" w:rsidR="001D6C1F" w:rsidRDefault="001D6C1F" w:rsidP="001D6C1F">
      <w:pPr>
        <w:pStyle w:val="TOC4"/>
        <w:tabs>
          <w:tab w:val="right" w:leader="dot" w:pos="9350"/>
        </w:tabs>
        <w:rPr>
          <w:rFonts w:asciiTheme="minorHAnsi" w:eastAsiaTheme="minorEastAsia" w:hAnsiTheme="minorHAnsi" w:cstheme="minorBidi"/>
          <w:noProof/>
        </w:rPr>
      </w:pPr>
      <w:hyperlink w:anchor="_Toc37756750" w:history="1">
        <w:r w:rsidRPr="008C5DB9">
          <w:rPr>
            <w:rStyle w:val="Hyperlink"/>
            <w:b/>
            <w:noProof/>
          </w:rPr>
          <w:t>PGI 243.204-71  Certification of requests for equitable adjustment.</w:t>
        </w:r>
      </w:hyperlink>
    </w:p>
    <w:p w14:paraId="609E299E" w14:textId="4D02C3E7" w:rsidR="001843D7" w:rsidRPr="001843D7" w:rsidRDefault="001D6C1F" w:rsidP="001843D7">
      <w:r>
        <w:rPr>
          <w:rStyle w:val="Hyperlink"/>
          <w:noProof/>
        </w:rPr>
        <w:fldChar w:fldCharType="end"/>
      </w:r>
    </w:p>
    <w:p w14:paraId="2EAF7DD9" w14:textId="77777777" w:rsidR="001843D7" w:rsidRDefault="001843D7" w:rsidP="00370E27">
      <w:pPr>
        <w:jc w:val="center"/>
      </w:pPr>
      <w:bookmarkStart w:id="2" w:name="BM243_1"/>
      <w:r w:rsidRPr="000D26C6">
        <w:rPr>
          <w:i/>
          <w:szCs w:val="24"/>
        </w:rPr>
        <w:t>(Revised July 11, 2006)</w:t>
      </w:r>
    </w:p>
    <w:p w14:paraId="1D7BB371" w14:textId="77777777" w:rsidR="001843D7" w:rsidRDefault="001843D7" w:rsidP="00370E27">
      <w:pPr>
        <w:pStyle w:val="Heading2"/>
      </w:pPr>
      <w:r>
        <w:rPr>
          <w:i/>
          <w:szCs w:val="24"/>
        </w:rPr>
        <w:br/>
      </w:r>
      <w:bookmarkStart w:id="3" w:name="_Toc37415900"/>
      <w:bookmarkStart w:id="4" w:name="_Toc37677755"/>
      <w:bookmarkStart w:id="5" w:name="_Toc37756745"/>
      <w:r w:rsidRPr="000D26C6">
        <w:rPr>
          <w:caps/>
          <w:szCs w:val="24"/>
        </w:rPr>
        <w:t>PGI 243.1</w:t>
      </w:r>
      <w:r w:rsidRPr="000D26C6">
        <w:rPr>
          <w:szCs w:val="24"/>
        </w:rPr>
        <w:t>—</w:t>
      </w:r>
      <w:r w:rsidRPr="000D26C6">
        <w:rPr>
          <w:caps/>
          <w:szCs w:val="24"/>
        </w:rPr>
        <w:t>general</w:t>
      </w:r>
      <w:bookmarkEnd w:id="3"/>
      <w:bookmarkEnd w:id="4"/>
      <w:bookmarkEnd w:id="5"/>
    </w:p>
    <w:p w14:paraId="2D9FC613" w14:textId="77777777" w:rsidR="001843D7" w:rsidRDefault="001843D7" w:rsidP="00370E27">
      <w:pPr>
        <w:pStyle w:val="Heading3"/>
      </w:pPr>
      <w:r>
        <w:rPr>
          <w:b/>
          <w:caps/>
          <w:szCs w:val="24"/>
        </w:rPr>
        <w:br/>
      </w:r>
      <w:bookmarkStart w:id="6" w:name="_Toc37415901"/>
      <w:bookmarkStart w:id="7" w:name="_Toc37677756"/>
      <w:bookmarkStart w:id="8" w:name="_Toc37756746"/>
      <w:r w:rsidRPr="000D26C6">
        <w:rPr>
          <w:b/>
          <w:szCs w:val="24"/>
        </w:rPr>
        <w:t xml:space="preserve">PGI </w:t>
      </w:r>
      <w:proofErr w:type="gramStart"/>
      <w:r w:rsidRPr="000D26C6">
        <w:rPr>
          <w:b/>
          <w:szCs w:val="24"/>
        </w:rPr>
        <w:t>243.170  Identification</w:t>
      </w:r>
      <w:proofErr w:type="gramEnd"/>
      <w:r w:rsidRPr="000D26C6">
        <w:rPr>
          <w:b/>
          <w:szCs w:val="24"/>
        </w:rPr>
        <w:t xml:space="preserve"> of foreign military sale (FMS) requirements.</w:t>
      </w:r>
      <w:bookmarkEnd w:id="6"/>
      <w:bookmarkEnd w:id="7"/>
      <w:bookmarkEnd w:id="8"/>
    </w:p>
    <w:p w14:paraId="657EA071" w14:textId="77777777" w:rsidR="001843D7" w:rsidRDefault="001843D7" w:rsidP="00370E27">
      <w:r>
        <w:rPr>
          <w:b/>
          <w:szCs w:val="24"/>
        </w:rPr>
        <w:br/>
      </w:r>
      <w:r>
        <w:rPr>
          <w:szCs w:val="24"/>
        </w:rPr>
        <w:tab/>
      </w:r>
      <w:r w:rsidRPr="000D26C6">
        <w:rPr>
          <w:szCs w:val="24"/>
        </w:rPr>
        <w:t>When adding FMS requirements using a contract modification, the contracting officer shall—</w:t>
      </w:r>
    </w:p>
    <w:p w14:paraId="45DDEB36" w14:textId="77777777" w:rsidR="001843D7" w:rsidRDefault="001843D7" w:rsidP="00370E27">
      <w:pPr>
        <w:pStyle w:val="List2"/>
      </w:pPr>
      <w:r>
        <w:rPr>
          <w:szCs w:val="24"/>
        </w:rPr>
        <w:br/>
      </w:r>
      <w:r w:rsidRPr="000D26C6">
        <w:rPr>
          <w:szCs w:val="24"/>
        </w:rPr>
        <w:t>(1)  Clearly indicate “FMS Requirement” on the front of the modification; and</w:t>
      </w:r>
    </w:p>
    <w:p w14:paraId="6D95607D" w14:textId="77777777" w:rsidR="001843D7" w:rsidRDefault="001843D7" w:rsidP="00370E27">
      <w:pPr>
        <w:pStyle w:val="List2"/>
      </w:pPr>
      <w:r>
        <w:rPr>
          <w:szCs w:val="24"/>
        </w:rPr>
        <w:br/>
      </w:r>
      <w:r w:rsidRPr="000D26C6">
        <w:rPr>
          <w:szCs w:val="24"/>
        </w:rPr>
        <w:t>(2)  Refer to each FMS case identifier code by line/subline item number within the modification, e.g., FMS Case Identifier GY-D-DCA.</w:t>
      </w:r>
    </w:p>
    <w:p w14:paraId="16A38E81" w14:textId="77777777" w:rsidR="001843D7" w:rsidRDefault="001843D7" w:rsidP="00370E27">
      <w:pPr>
        <w:pStyle w:val="Heading3"/>
      </w:pPr>
      <w:r>
        <w:rPr>
          <w:szCs w:val="24"/>
        </w:rPr>
        <w:lastRenderedPageBreak/>
        <w:br/>
      </w:r>
      <w:bookmarkStart w:id="9" w:name="_Toc37415902"/>
      <w:bookmarkStart w:id="10" w:name="_Toc37677757"/>
      <w:bookmarkStart w:id="11" w:name="_Toc37756747"/>
      <w:r w:rsidRPr="000D26C6">
        <w:rPr>
          <w:b/>
          <w:szCs w:val="24"/>
        </w:rPr>
        <w:t xml:space="preserve">PGI </w:t>
      </w:r>
      <w:proofErr w:type="gramStart"/>
      <w:r w:rsidRPr="000D26C6">
        <w:rPr>
          <w:b/>
          <w:szCs w:val="24"/>
        </w:rPr>
        <w:t>243.171  Obligation</w:t>
      </w:r>
      <w:proofErr w:type="gramEnd"/>
      <w:r w:rsidRPr="000D26C6">
        <w:rPr>
          <w:b/>
          <w:szCs w:val="24"/>
        </w:rPr>
        <w:t xml:space="preserve"> or </w:t>
      </w:r>
      <w:proofErr w:type="spellStart"/>
      <w:r w:rsidRPr="000D26C6">
        <w:rPr>
          <w:b/>
          <w:szCs w:val="24"/>
        </w:rPr>
        <w:t>deobligation</w:t>
      </w:r>
      <w:proofErr w:type="spellEnd"/>
      <w:r w:rsidRPr="000D26C6">
        <w:rPr>
          <w:b/>
          <w:szCs w:val="24"/>
        </w:rPr>
        <w:t xml:space="preserve"> of funds.</w:t>
      </w:r>
      <w:bookmarkEnd w:id="9"/>
      <w:bookmarkEnd w:id="10"/>
      <w:bookmarkEnd w:id="11"/>
    </w:p>
    <w:p w14:paraId="1B9E9E57" w14:textId="77777777" w:rsidR="001843D7" w:rsidRDefault="001843D7" w:rsidP="00370E27">
      <w:r>
        <w:rPr>
          <w:szCs w:val="24"/>
        </w:rPr>
        <w:br/>
      </w:r>
      <w:r>
        <w:rPr>
          <w:szCs w:val="24"/>
        </w:rPr>
        <w:tab/>
      </w:r>
      <w:r w:rsidRPr="000D26C6">
        <w:rPr>
          <w:szCs w:val="24"/>
        </w:rPr>
        <w:t xml:space="preserve">The contracting officer shall include </w:t>
      </w:r>
      <w:proofErr w:type="gramStart"/>
      <w:r w:rsidRPr="000D26C6">
        <w:rPr>
          <w:szCs w:val="24"/>
        </w:rPr>
        <w:t>sufficient</w:t>
      </w:r>
      <w:proofErr w:type="gramEnd"/>
      <w:r w:rsidRPr="000D26C6">
        <w:rPr>
          <w:szCs w:val="24"/>
        </w:rPr>
        <w:t xml:space="preserve"> information in each contract modification to permit the paying office to readily identify the changes for each contract line and subline item.  </w:t>
      </w:r>
    </w:p>
    <w:p w14:paraId="2F2D4147" w14:textId="77777777" w:rsidR="001843D7" w:rsidRDefault="001843D7" w:rsidP="00370E27">
      <w:pPr>
        <w:pStyle w:val="List2"/>
      </w:pPr>
      <w:r>
        <w:rPr>
          <w:szCs w:val="24"/>
        </w:rPr>
        <w:br/>
      </w:r>
      <w:r w:rsidRPr="000D26C6">
        <w:rPr>
          <w:szCs w:val="24"/>
        </w:rPr>
        <w:t>(1)  Include the information under the heading “Summary for the Payment Office” in—</w:t>
      </w:r>
    </w:p>
    <w:p w14:paraId="762E1A2E" w14:textId="77777777" w:rsidR="001843D7" w:rsidRDefault="001843D7" w:rsidP="00170260">
      <w:pPr>
        <w:pStyle w:val="List3"/>
      </w:pPr>
      <w:r>
        <w:br/>
      </w:r>
      <w:r w:rsidRPr="000D26C6">
        <w:t>(</w:t>
      </w:r>
      <w:proofErr w:type="spellStart"/>
      <w:r w:rsidRPr="000D26C6">
        <w:t>i</w:t>
      </w:r>
      <w:proofErr w:type="spellEnd"/>
      <w:r w:rsidRPr="000D26C6">
        <w:t xml:space="preserve">)  Section G, Contract Administration Data (Uniform Contract Format); or </w:t>
      </w:r>
    </w:p>
    <w:p w14:paraId="61AF4B4C" w14:textId="77777777" w:rsidR="001843D7" w:rsidRDefault="001843D7" w:rsidP="00370E27">
      <w:pPr>
        <w:pStyle w:val="List3"/>
      </w:pPr>
      <w:r>
        <w:rPr>
          <w:szCs w:val="24"/>
        </w:rPr>
        <w:br/>
      </w:r>
      <w:r w:rsidRPr="000D26C6">
        <w:rPr>
          <w:szCs w:val="24"/>
        </w:rPr>
        <w:t>(ii)  The contract schedule (Simplified Contract Format).</w:t>
      </w:r>
    </w:p>
    <w:p w14:paraId="1CE894BA" w14:textId="77777777" w:rsidR="001843D7" w:rsidRDefault="001843D7" w:rsidP="00370E27">
      <w:pPr>
        <w:pStyle w:val="List2"/>
      </w:pPr>
      <w:r>
        <w:rPr>
          <w:szCs w:val="24"/>
        </w:rPr>
        <w:br/>
      </w:r>
      <w:r w:rsidRPr="000D26C6">
        <w:rPr>
          <w:szCs w:val="24"/>
        </w:rPr>
        <w:t>(2)  The information normally should contain—</w:t>
      </w:r>
    </w:p>
    <w:p w14:paraId="219E6F8D" w14:textId="77777777" w:rsidR="001843D7" w:rsidRDefault="001843D7" w:rsidP="00170260">
      <w:pPr>
        <w:pStyle w:val="List3"/>
      </w:pPr>
      <w:r>
        <w:br/>
      </w:r>
      <w:r w:rsidRPr="000D26C6">
        <w:t>(</w:t>
      </w:r>
      <w:proofErr w:type="spellStart"/>
      <w:r w:rsidRPr="000D26C6">
        <w:t>i</w:t>
      </w:r>
      <w:proofErr w:type="spellEnd"/>
      <w:r w:rsidRPr="000D26C6">
        <w:t>)  The amount of funds obligated by prior contract actions, to include—</w:t>
      </w:r>
    </w:p>
    <w:p w14:paraId="562A2EBE" w14:textId="77777777" w:rsidR="001843D7" w:rsidRDefault="001843D7" w:rsidP="00370E27">
      <w:pPr>
        <w:pStyle w:val="List4"/>
      </w:pPr>
      <w:r>
        <w:br/>
      </w:r>
      <w:r w:rsidRPr="000D26C6">
        <w:t xml:space="preserve">(A)  The total cost and fee if a cost-type </w:t>
      </w:r>
      <w:proofErr w:type="gramStart"/>
      <w:r w:rsidRPr="000D26C6">
        <w:t>contract;</w:t>
      </w:r>
      <w:proofErr w:type="gramEnd"/>
      <w:r w:rsidRPr="000D26C6">
        <w:t xml:space="preserve"> </w:t>
      </w:r>
    </w:p>
    <w:p w14:paraId="2B50038B" w14:textId="77777777" w:rsidR="001843D7" w:rsidRDefault="001843D7" w:rsidP="00370E27">
      <w:pPr>
        <w:pStyle w:val="List4"/>
      </w:pPr>
      <w:r>
        <w:rPr>
          <w:szCs w:val="24"/>
        </w:rPr>
        <w:br/>
      </w:r>
      <w:r w:rsidRPr="000D26C6">
        <w:rPr>
          <w:szCs w:val="24"/>
        </w:rPr>
        <w:t xml:space="preserve">(B)  The target fee at time of contract award if a cost-plus-incentive-fee </w:t>
      </w:r>
      <w:proofErr w:type="gramStart"/>
      <w:r w:rsidRPr="000D26C6">
        <w:rPr>
          <w:szCs w:val="24"/>
        </w:rPr>
        <w:t>contract;</w:t>
      </w:r>
      <w:proofErr w:type="gramEnd"/>
      <w:r w:rsidRPr="000D26C6">
        <w:rPr>
          <w:szCs w:val="24"/>
        </w:rPr>
        <w:t xml:space="preserve"> </w:t>
      </w:r>
    </w:p>
    <w:p w14:paraId="37A4C124" w14:textId="77777777" w:rsidR="001843D7" w:rsidRDefault="001843D7" w:rsidP="00370E27">
      <w:pPr>
        <w:pStyle w:val="List4"/>
      </w:pPr>
      <w:r>
        <w:rPr>
          <w:szCs w:val="24"/>
        </w:rPr>
        <w:br/>
      </w:r>
      <w:r w:rsidRPr="000D26C6">
        <w:rPr>
          <w:szCs w:val="24"/>
        </w:rPr>
        <w:t xml:space="preserve">(C)  The base fee if a cost-plus-award-fee contract; or </w:t>
      </w:r>
    </w:p>
    <w:p w14:paraId="46924D28" w14:textId="77777777" w:rsidR="001843D7" w:rsidRDefault="001843D7" w:rsidP="00370E27">
      <w:pPr>
        <w:pStyle w:val="List4"/>
      </w:pPr>
      <w:r>
        <w:rPr>
          <w:szCs w:val="24"/>
        </w:rPr>
        <w:br/>
      </w:r>
      <w:r w:rsidRPr="000D26C6">
        <w:rPr>
          <w:szCs w:val="24"/>
        </w:rPr>
        <w:t xml:space="preserve">(D)  The target price and target profit if a fixed-price incentive </w:t>
      </w:r>
      <w:proofErr w:type="gramStart"/>
      <w:r w:rsidRPr="000D26C6">
        <w:rPr>
          <w:szCs w:val="24"/>
        </w:rPr>
        <w:t>contract;</w:t>
      </w:r>
      <w:proofErr w:type="gramEnd"/>
    </w:p>
    <w:p w14:paraId="75A6D184" w14:textId="77777777" w:rsidR="001843D7" w:rsidRDefault="001843D7" w:rsidP="00370E27">
      <w:pPr>
        <w:pStyle w:val="List3"/>
      </w:pPr>
      <w:r>
        <w:rPr>
          <w:szCs w:val="24"/>
        </w:rPr>
        <w:br/>
      </w:r>
      <w:r w:rsidRPr="000D26C6">
        <w:rPr>
          <w:szCs w:val="24"/>
        </w:rPr>
        <w:t xml:space="preserve">(ii)  The amount of funds obligated or </w:t>
      </w:r>
      <w:proofErr w:type="spellStart"/>
      <w:r w:rsidRPr="000D26C6">
        <w:rPr>
          <w:szCs w:val="24"/>
        </w:rPr>
        <w:t>deobligated</w:t>
      </w:r>
      <w:proofErr w:type="spellEnd"/>
      <w:r w:rsidRPr="000D26C6">
        <w:rPr>
          <w:szCs w:val="24"/>
        </w:rPr>
        <w:t xml:space="preserve"> by the instant modification, categorized by the types of contracts specified in paragraph (2)(</w:t>
      </w:r>
      <w:proofErr w:type="spellStart"/>
      <w:r w:rsidRPr="000D26C6">
        <w:rPr>
          <w:szCs w:val="24"/>
        </w:rPr>
        <w:t>i</w:t>
      </w:r>
      <w:proofErr w:type="spellEnd"/>
      <w:r w:rsidRPr="000D26C6">
        <w:rPr>
          <w:szCs w:val="24"/>
        </w:rPr>
        <w:t>) of this section; and</w:t>
      </w:r>
    </w:p>
    <w:p w14:paraId="1BC0BAED" w14:textId="77777777" w:rsidR="001843D7" w:rsidRDefault="001843D7" w:rsidP="00370E27">
      <w:pPr>
        <w:pStyle w:val="List3"/>
      </w:pPr>
      <w:r>
        <w:rPr>
          <w:szCs w:val="24"/>
        </w:rPr>
        <w:br/>
      </w:r>
      <w:r w:rsidRPr="000D26C6">
        <w:rPr>
          <w:szCs w:val="24"/>
        </w:rPr>
        <w:t xml:space="preserve">(iii)  The total cumulative amount of obligated or </w:t>
      </w:r>
      <w:proofErr w:type="spellStart"/>
      <w:r w:rsidRPr="000D26C6">
        <w:rPr>
          <w:szCs w:val="24"/>
        </w:rPr>
        <w:t>deobligated</w:t>
      </w:r>
      <w:proofErr w:type="spellEnd"/>
      <w:r w:rsidRPr="000D26C6">
        <w:rPr>
          <w:szCs w:val="24"/>
        </w:rPr>
        <w:t xml:space="preserve"> funds, categorized by the types of contracts specified in paragraph (2)(</w:t>
      </w:r>
      <w:proofErr w:type="spellStart"/>
      <w:r w:rsidRPr="000D26C6">
        <w:rPr>
          <w:szCs w:val="24"/>
        </w:rPr>
        <w:t>i</w:t>
      </w:r>
      <w:proofErr w:type="spellEnd"/>
      <w:r w:rsidRPr="000D26C6">
        <w:rPr>
          <w:szCs w:val="24"/>
        </w:rPr>
        <w:t>) of this section.</w:t>
      </w:r>
      <w:bookmarkEnd w:id="2"/>
    </w:p>
    <w:p w14:paraId="4BCFE73F" w14:textId="77777777" w:rsidR="001843D7" w:rsidRPr="000D26C6" w:rsidRDefault="001843D7" w:rsidP="00370E27">
      <w:r>
        <w:br/>
      </w:r>
    </w:p>
    <w:p w14:paraId="01E72ADE" w14:textId="77777777" w:rsidR="001843D7" w:rsidRDefault="001843D7">
      <w:pPr>
        <w:sectPr w:rsidR="001843D7" w:rsidSect="00B44BBA">
          <w:headerReference w:type="default" r:id="rId6"/>
          <w:footerReference w:type="default" r:id="rId7"/>
          <w:pgSz w:w="12240" w:h="15840"/>
          <w:pgMar w:top="1440" w:right="1440" w:bottom="1440" w:left="1440" w:header="720" w:footer="720" w:gutter="0"/>
          <w:cols w:space="720"/>
          <w:docGrid w:linePitch="360"/>
        </w:sectPr>
      </w:pPr>
    </w:p>
    <w:p w14:paraId="1C6424FF" w14:textId="77777777" w:rsidR="001843D7" w:rsidRDefault="001843D7" w:rsidP="006A593A">
      <w:pPr>
        <w:jc w:val="center"/>
      </w:pPr>
      <w:bookmarkStart w:id="12" w:name="BM243_2"/>
      <w:r w:rsidRPr="00C047AC">
        <w:rPr>
          <w:i/>
          <w:szCs w:val="24"/>
        </w:rPr>
        <w:lastRenderedPageBreak/>
        <w:t>(</w:t>
      </w:r>
      <w:r>
        <w:rPr>
          <w:i/>
          <w:szCs w:val="24"/>
        </w:rPr>
        <w:t>Revised December 12, 2012</w:t>
      </w:r>
      <w:r w:rsidRPr="00C047AC">
        <w:rPr>
          <w:i/>
          <w:szCs w:val="24"/>
        </w:rPr>
        <w:t>)</w:t>
      </w:r>
    </w:p>
    <w:p w14:paraId="48EC13C5" w14:textId="77777777" w:rsidR="001843D7" w:rsidRDefault="001843D7" w:rsidP="006A593A">
      <w:pPr>
        <w:pStyle w:val="Heading2"/>
      </w:pPr>
      <w:r>
        <w:rPr>
          <w:i/>
          <w:szCs w:val="24"/>
        </w:rPr>
        <w:br/>
      </w:r>
      <w:bookmarkStart w:id="13" w:name="_Toc37415903"/>
      <w:bookmarkStart w:id="14" w:name="_Toc37677758"/>
      <w:bookmarkStart w:id="15" w:name="_Toc37756748"/>
      <w:r w:rsidRPr="002A7850">
        <w:rPr>
          <w:szCs w:val="24"/>
        </w:rPr>
        <w:t>PGI 243.2—CHANGE ORDERS</w:t>
      </w:r>
      <w:bookmarkEnd w:id="13"/>
      <w:bookmarkEnd w:id="14"/>
      <w:bookmarkEnd w:id="15"/>
    </w:p>
    <w:p w14:paraId="23BF41D6" w14:textId="77777777" w:rsidR="001843D7" w:rsidRDefault="001843D7" w:rsidP="006A593A">
      <w:pPr>
        <w:pStyle w:val="Heading3"/>
      </w:pPr>
      <w:r>
        <w:rPr>
          <w:b/>
          <w:szCs w:val="24"/>
        </w:rPr>
        <w:br/>
      </w:r>
      <w:bookmarkStart w:id="16" w:name="_Toc37415904"/>
      <w:bookmarkStart w:id="17" w:name="_Toc37677759"/>
      <w:bookmarkStart w:id="18" w:name="_Toc37756749"/>
      <w:r w:rsidRPr="000E1C71">
        <w:rPr>
          <w:b/>
          <w:szCs w:val="24"/>
        </w:rPr>
        <w:t xml:space="preserve">PGI </w:t>
      </w:r>
      <w:proofErr w:type="gramStart"/>
      <w:r w:rsidRPr="000E1C71">
        <w:rPr>
          <w:b/>
          <w:szCs w:val="24"/>
        </w:rPr>
        <w:t>243.204  Administration</w:t>
      </w:r>
      <w:proofErr w:type="gramEnd"/>
      <w:r w:rsidRPr="000E1C71">
        <w:rPr>
          <w:b/>
          <w:szCs w:val="24"/>
        </w:rPr>
        <w:t>.</w:t>
      </w:r>
      <w:bookmarkEnd w:id="16"/>
      <w:bookmarkEnd w:id="17"/>
      <w:bookmarkEnd w:id="18"/>
    </w:p>
    <w:bookmarkEnd w:id="12"/>
    <w:p w14:paraId="7B4D7D57" w14:textId="77777777" w:rsidR="001843D7" w:rsidRDefault="001843D7" w:rsidP="006A593A">
      <w:pPr>
        <w:pStyle w:val="List2"/>
      </w:pPr>
      <w:r>
        <w:rPr>
          <w:b/>
          <w:szCs w:val="24"/>
        </w:rPr>
        <w:br/>
      </w:r>
      <w:r w:rsidRPr="000E1C71">
        <w:rPr>
          <w:szCs w:val="24"/>
        </w:rPr>
        <w:t>(1)  Whenever practicable, the contracting officer should provide advance notice of a proposed change order to the administrative contracting officer (ACO).</w:t>
      </w:r>
    </w:p>
    <w:p w14:paraId="66CE6133" w14:textId="77777777" w:rsidR="001843D7" w:rsidRDefault="001843D7" w:rsidP="00366138">
      <w:pPr>
        <w:pStyle w:val="List3"/>
      </w:pPr>
      <w:r>
        <w:br/>
      </w:r>
      <w:r w:rsidRPr="000E1C71">
        <w:t>(</w:t>
      </w:r>
      <w:proofErr w:type="spellStart"/>
      <w:r w:rsidRPr="000E1C71">
        <w:t>i</w:t>
      </w:r>
      <w:proofErr w:type="spellEnd"/>
      <w:r w:rsidRPr="000E1C71">
        <w:t xml:space="preserve">)  The </w:t>
      </w:r>
      <w:r>
        <w:t xml:space="preserve">ACO </w:t>
      </w:r>
      <w:r w:rsidRPr="000E1C71">
        <w:t xml:space="preserve">shall review the proposed change order to ensure compatibility with the status of performance.  </w:t>
      </w:r>
    </w:p>
    <w:p w14:paraId="1673BF44" w14:textId="77777777" w:rsidR="001843D7" w:rsidRDefault="001843D7" w:rsidP="006A593A">
      <w:pPr>
        <w:pStyle w:val="List3"/>
      </w:pPr>
      <w:r>
        <w:br/>
      </w:r>
      <w:r w:rsidRPr="000E1C71">
        <w:t xml:space="preserve">(ii)  If the contractor has progressed beyond the effective point specified in the proposed change order, the ACO shall determine the earliest practical point at which the change order could be made effective and shall advise the contracting officer.  </w:t>
      </w:r>
    </w:p>
    <w:p w14:paraId="717D5018" w14:textId="77777777" w:rsidR="001843D7" w:rsidRDefault="001843D7" w:rsidP="006A593A">
      <w:pPr>
        <w:pStyle w:val="List2"/>
      </w:pPr>
      <w:r>
        <w:rPr>
          <w:szCs w:val="24"/>
        </w:rPr>
        <w:br/>
      </w:r>
      <w:r w:rsidRPr="000E1C71">
        <w:rPr>
          <w:szCs w:val="24"/>
        </w:rPr>
        <w:t>(2)  If a change order has been issued and the effective date has been determined to be impracticable, the contracting officer shall—</w:t>
      </w:r>
    </w:p>
    <w:p w14:paraId="6F7691FE" w14:textId="77777777" w:rsidR="001843D7" w:rsidRDefault="001843D7" w:rsidP="00366138">
      <w:pPr>
        <w:pStyle w:val="List3"/>
      </w:pPr>
      <w:r>
        <w:br/>
      </w:r>
      <w:r w:rsidRPr="000E1C71">
        <w:t>(</w:t>
      </w:r>
      <w:proofErr w:type="spellStart"/>
      <w:r w:rsidRPr="000E1C71">
        <w:t>i</w:t>
      </w:r>
      <w:proofErr w:type="spellEnd"/>
      <w:r w:rsidRPr="000E1C71">
        <w:t xml:space="preserve">)  Issue another change order to correct, revise, or supersede the first change order; then </w:t>
      </w:r>
    </w:p>
    <w:p w14:paraId="32CB9F0E" w14:textId="77777777" w:rsidR="001843D7" w:rsidRDefault="001843D7" w:rsidP="006A593A">
      <w:pPr>
        <w:pStyle w:val="List3"/>
      </w:pPr>
      <w:r>
        <w:rPr>
          <w:szCs w:val="24"/>
        </w:rPr>
        <w:br/>
      </w:r>
      <w:r w:rsidRPr="000E1C71">
        <w:rPr>
          <w:szCs w:val="24"/>
        </w:rPr>
        <w:t>(ii)  Definitize by supplemental agreement citing both change orders.</w:t>
      </w:r>
    </w:p>
    <w:p w14:paraId="48A1B793" w14:textId="77777777" w:rsidR="001843D7" w:rsidRDefault="001843D7" w:rsidP="006A593A">
      <w:pPr>
        <w:pStyle w:val="Heading4"/>
      </w:pPr>
      <w:r>
        <w:br/>
      </w:r>
      <w:bookmarkStart w:id="19" w:name="_Toc37677760"/>
      <w:bookmarkStart w:id="20" w:name="_Toc37756750"/>
      <w:r w:rsidRPr="000E1C71">
        <w:rPr>
          <w:b/>
        </w:rPr>
        <w:t>PGI 243.204-</w:t>
      </w:r>
      <w:proofErr w:type="gramStart"/>
      <w:r w:rsidRPr="000E1C71">
        <w:rPr>
          <w:b/>
        </w:rPr>
        <w:t>7</w:t>
      </w:r>
      <w:r>
        <w:rPr>
          <w:b/>
        </w:rPr>
        <w:t>1</w:t>
      </w:r>
      <w:r w:rsidRPr="000E1C71">
        <w:rPr>
          <w:b/>
        </w:rPr>
        <w:t xml:space="preserve">  Certification</w:t>
      </w:r>
      <w:proofErr w:type="gramEnd"/>
      <w:r w:rsidRPr="000E1C71">
        <w:rPr>
          <w:b/>
        </w:rPr>
        <w:t xml:space="preserve"> of requests for equitable adjustment.</w:t>
      </w:r>
      <w:bookmarkEnd w:id="19"/>
      <w:bookmarkEnd w:id="20"/>
    </w:p>
    <w:p w14:paraId="7F0C53EC" w14:textId="77777777" w:rsidR="001843D7" w:rsidRPr="002A7850" w:rsidRDefault="001843D7" w:rsidP="006A593A">
      <w:pPr>
        <w:pStyle w:val="List1"/>
      </w:pPr>
      <w:r>
        <w:rPr>
          <w:b/>
        </w:rPr>
        <w:br/>
      </w:r>
      <w:r>
        <w:t xml:space="preserve">(b)  </w:t>
      </w:r>
      <w:r w:rsidRPr="002A7850">
        <w:t>For example, a request for equitable adjustment that involves both an increase of $</w:t>
      </w:r>
      <w:r>
        <w:t>10</w:t>
      </w:r>
      <w:r w:rsidRPr="002A7850">
        <w:t>0,000 and a decrease of $</w:t>
      </w:r>
      <w:r>
        <w:t>10</w:t>
      </w:r>
      <w:r w:rsidRPr="002A7850">
        <w:t>5,000 has an absolute value of $</w:t>
      </w:r>
      <w:r>
        <w:t>2</w:t>
      </w:r>
      <w:r w:rsidRPr="002A7850">
        <w:t>05,000 ($</w:t>
      </w:r>
      <w:r>
        <w:t>10</w:t>
      </w:r>
      <w:r w:rsidRPr="002A7850">
        <w:t>0,000 + $</w:t>
      </w:r>
      <w:r>
        <w:t>10</w:t>
      </w:r>
      <w:r w:rsidRPr="002A7850">
        <w:t>5,000, regardless of whether the amounts are plus or minus), which exceeds the simplified acquisition threshold.</w:t>
      </w:r>
    </w:p>
    <w:p w14:paraId="16FC768E" w14:textId="77777777" w:rsidR="00850595" w:rsidRDefault="00850595"/>
    <w:sectPr w:rsidR="00850595" w:rsidSect="006B38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DB67" w14:textId="77777777" w:rsidR="0028630E" w:rsidRDefault="0028630E">
      <w:pPr>
        <w:spacing w:after="0" w:line="240" w:lineRule="auto"/>
      </w:pPr>
      <w:r>
        <w:separator/>
      </w:r>
    </w:p>
  </w:endnote>
  <w:endnote w:type="continuationSeparator" w:id="0">
    <w:p w14:paraId="4EA40961" w14:textId="77777777" w:rsidR="0028630E" w:rsidRDefault="00286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17593" w14:textId="77777777" w:rsidR="00097C4A" w:rsidRDefault="0028630E">
    <w:pPr>
      <w:pStyle w:val="Footer"/>
      <w:rPr>
        <w:rFonts w:ascii="Century Schoolbook" w:hAnsi="Century Schoolbook"/>
        <w:sz w:val="20"/>
      </w:rPr>
    </w:pPr>
  </w:p>
  <w:p w14:paraId="0AE87B1F" w14:textId="77777777" w:rsidR="00097C4A" w:rsidRDefault="0028630E">
    <w:pPr>
      <w:pStyle w:val="Footer"/>
      <w:tabs>
        <w:tab w:val="clear" w:pos="8640"/>
      </w:tabs>
      <w:rPr>
        <w:rFonts w:ascii="Century Schoolbook" w:hAnsi="Century Schoolbook"/>
        <w:b/>
        <w:sz w:val="20"/>
      </w:rPr>
    </w:pPr>
  </w:p>
  <w:p w14:paraId="13C80B43" w14:textId="77777777" w:rsidR="00097C4A" w:rsidRPr="00BC71C0" w:rsidRDefault="001843D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43</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2D693" w14:textId="77777777" w:rsidR="007D2012" w:rsidRDefault="00286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336E" w14:textId="77777777" w:rsidR="002A7850" w:rsidRDefault="0028630E">
    <w:pPr>
      <w:pStyle w:val="Footer"/>
      <w:rPr>
        <w:rFonts w:ascii="Century Schoolbook" w:hAnsi="Century Schoolbook"/>
        <w:sz w:val="20"/>
      </w:rPr>
    </w:pPr>
  </w:p>
  <w:p w14:paraId="4A4CE830" w14:textId="77777777" w:rsidR="002A7850" w:rsidRDefault="0028630E">
    <w:pPr>
      <w:pStyle w:val="Footer"/>
      <w:tabs>
        <w:tab w:val="clear" w:pos="8640"/>
      </w:tabs>
      <w:rPr>
        <w:rFonts w:ascii="Century Schoolbook" w:hAnsi="Century Schoolbook"/>
        <w:b/>
        <w:sz w:val="20"/>
      </w:rPr>
    </w:pPr>
  </w:p>
  <w:p w14:paraId="0374627E" w14:textId="77777777" w:rsidR="002A7850" w:rsidRPr="00BC71C0" w:rsidRDefault="001843D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43</w:t>
    </w:r>
    <w:r w:rsidRPr="00BC71C0">
      <w:rPr>
        <w:szCs w:val="22"/>
      </w:rPr>
      <w:t>.</w:t>
    </w:r>
    <w:r>
      <w:rPr>
        <w:szCs w:val="22"/>
      </w:rPr>
      <w:t>2</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8A492" w14:textId="77777777" w:rsidR="007D2012" w:rsidRDefault="00286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54C05" w14:textId="77777777" w:rsidR="0028630E" w:rsidRDefault="0028630E">
      <w:pPr>
        <w:spacing w:after="0" w:line="240" w:lineRule="auto"/>
      </w:pPr>
      <w:r>
        <w:separator/>
      </w:r>
    </w:p>
  </w:footnote>
  <w:footnote w:type="continuationSeparator" w:id="0">
    <w:p w14:paraId="142E74A4" w14:textId="77777777" w:rsidR="0028630E" w:rsidRDefault="00286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3757E" w14:textId="77777777" w:rsidR="00097C4A" w:rsidRDefault="001843D7" w:rsidP="003E6AA4">
    <w:pPr>
      <w:pStyle w:val="Header"/>
      <w:tabs>
        <w:tab w:val="clear" w:pos="8640"/>
        <w:tab w:val="left" w:pos="4590"/>
      </w:tabs>
      <w:jc w:val="center"/>
      <w:rPr>
        <w:sz w:val="28"/>
        <w:szCs w:val="28"/>
      </w:rPr>
    </w:pPr>
    <w:r w:rsidRPr="002B1BC7">
      <w:rPr>
        <w:sz w:val="28"/>
        <w:szCs w:val="28"/>
      </w:rPr>
      <w:t>DFARS Procedures, Guidance, and Information</w:t>
    </w:r>
  </w:p>
  <w:p w14:paraId="4CBF16C6" w14:textId="77777777" w:rsidR="00097C4A" w:rsidRPr="002B1BC7" w:rsidRDefault="0028630E" w:rsidP="003E6AA4">
    <w:pPr>
      <w:pStyle w:val="Header"/>
      <w:tabs>
        <w:tab w:val="clear" w:pos="8640"/>
        <w:tab w:val="left" w:pos="4590"/>
      </w:tabs>
      <w:jc w:val="center"/>
      <w:rPr>
        <w:sz w:val="28"/>
        <w:szCs w:val="28"/>
      </w:rPr>
    </w:pPr>
  </w:p>
  <w:p w14:paraId="59D98604" w14:textId="77777777" w:rsidR="00097C4A" w:rsidRPr="00BC71C0" w:rsidRDefault="001843D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43</w:t>
    </w:r>
    <w:r w:rsidRPr="00BC71C0">
      <w:rPr>
        <w:szCs w:val="24"/>
      </w:rPr>
      <w:t>—</w:t>
    </w:r>
    <w:r>
      <w:rPr>
        <w:szCs w:val="24"/>
      </w:rPr>
      <w:t>Contract Modifications</w:t>
    </w:r>
  </w:p>
  <w:p w14:paraId="08F72A5D" w14:textId="77777777" w:rsidR="00097C4A" w:rsidRDefault="0028630E">
    <w:pPr>
      <w:pStyle w:val="Header"/>
      <w:tabs>
        <w:tab w:val="clear" w:pos="8640"/>
        <w:tab w:val="right" w:pos="9260"/>
      </w:tabs>
      <w:spacing w:before="20" w:line="20" w:lineRule="exact"/>
      <w:rPr>
        <w:rFonts w:ascii="Geneva" w:hAnsi="Geneva"/>
        <w:b/>
        <w:position w:val="6"/>
        <w:sz w:val="18"/>
      </w:rPr>
    </w:pPr>
  </w:p>
  <w:p w14:paraId="0D20DC46" w14:textId="77777777" w:rsidR="00097C4A" w:rsidRDefault="0028630E">
    <w:pPr>
      <w:pStyle w:val="Header"/>
      <w:tabs>
        <w:tab w:val="clear" w:pos="8640"/>
        <w:tab w:val="right" w:pos="9260"/>
      </w:tabs>
      <w:rPr>
        <w:rFonts w:ascii="Century Schoolbook" w:hAnsi="Century Schoolbook"/>
        <w:b/>
        <w:sz w:val="20"/>
      </w:rPr>
    </w:pPr>
  </w:p>
  <w:p w14:paraId="40AF1C88" w14:textId="77777777" w:rsidR="00097C4A" w:rsidRDefault="0028630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9A21" w14:textId="77777777" w:rsidR="007D2012" w:rsidRDefault="002863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3558" w14:textId="77777777" w:rsidR="002A7850" w:rsidRDefault="001843D7" w:rsidP="003E6AA4">
    <w:pPr>
      <w:pStyle w:val="Header"/>
      <w:tabs>
        <w:tab w:val="clear" w:pos="8640"/>
        <w:tab w:val="left" w:pos="4590"/>
      </w:tabs>
      <w:jc w:val="center"/>
      <w:rPr>
        <w:sz w:val="28"/>
        <w:szCs w:val="28"/>
      </w:rPr>
    </w:pPr>
    <w:r w:rsidRPr="002B1BC7">
      <w:rPr>
        <w:sz w:val="28"/>
        <w:szCs w:val="28"/>
      </w:rPr>
      <w:t>DFARS Procedures, Guidance, and Information</w:t>
    </w:r>
  </w:p>
  <w:p w14:paraId="1D763395" w14:textId="77777777" w:rsidR="002A7850" w:rsidRPr="002B1BC7" w:rsidRDefault="0028630E" w:rsidP="003E6AA4">
    <w:pPr>
      <w:pStyle w:val="Header"/>
      <w:tabs>
        <w:tab w:val="clear" w:pos="8640"/>
        <w:tab w:val="left" w:pos="4590"/>
      </w:tabs>
      <w:jc w:val="center"/>
      <w:rPr>
        <w:sz w:val="28"/>
        <w:szCs w:val="28"/>
      </w:rPr>
    </w:pPr>
  </w:p>
  <w:p w14:paraId="5AA5A0F6" w14:textId="77777777" w:rsidR="002A7850" w:rsidRPr="00BC71C0" w:rsidRDefault="001843D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43</w:t>
    </w:r>
    <w:r w:rsidRPr="00BC71C0">
      <w:rPr>
        <w:szCs w:val="24"/>
      </w:rPr>
      <w:t>—</w:t>
    </w:r>
    <w:r>
      <w:rPr>
        <w:szCs w:val="24"/>
      </w:rPr>
      <w:t>Contract Modifications</w:t>
    </w:r>
  </w:p>
  <w:p w14:paraId="1F1CE24C" w14:textId="77777777" w:rsidR="002A7850" w:rsidRDefault="0028630E">
    <w:pPr>
      <w:pStyle w:val="Header"/>
      <w:tabs>
        <w:tab w:val="clear" w:pos="8640"/>
        <w:tab w:val="right" w:pos="9260"/>
      </w:tabs>
      <w:spacing w:before="20" w:line="20" w:lineRule="exact"/>
      <w:rPr>
        <w:rFonts w:ascii="Geneva" w:hAnsi="Geneva"/>
        <w:b/>
        <w:position w:val="6"/>
        <w:sz w:val="18"/>
      </w:rPr>
    </w:pPr>
  </w:p>
  <w:p w14:paraId="32224AC9" w14:textId="77777777" w:rsidR="002A7850" w:rsidRDefault="0028630E">
    <w:pPr>
      <w:pStyle w:val="Header"/>
      <w:tabs>
        <w:tab w:val="clear" w:pos="8640"/>
        <w:tab w:val="right" w:pos="9260"/>
      </w:tabs>
      <w:rPr>
        <w:rFonts w:ascii="Century Schoolbook" w:hAnsi="Century Schoolbook"/>
        <w:b/>
        <w:sz w:val="20"/>
      </w:rPr>
    </w:pPr>
  </w:p>
  <w:p w14:paraId="689BDE4E" w14:textId="77777777" w:rsidR="002A7850" w:rsidRDefault="0028630E">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4526C" w14:textId="77777777" w:rsidR="007D2012" w:rsidRDefault="002863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D7"/>
    <w:rsid w:val="001843D7"/>
    <w:rsid w:val="001D6C1F"/>
    <w:rsid w:val="0028630E"/>
    <w:rsid w:val="00505901"/>
    <w:rsid w:val="007306C8"/>
    <w:rsid w:val="0075635F"/>
    <w:rsid w:val="007D6208"/>
    <w:rsid w:val="00850595"/>
    <w:rsid w:val="00B35B9C"/>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451D"/>
  <w15:chartTrackingRefBased/>
  <w15:docId w15:val="{C5C5A738-A8C9-4572-A552-E12508C3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1843D7"/>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1843D7"/>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1843D7"/>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1843D7"/>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3D7"/>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1843D7"/>
    <w:rPr>
      <w:rFonts w:ascii="Arial" w:eastAsiaTheme="majorEastAsia" w:hAnsi="Arial" w:cs="Arial"/>
      <w:b/>
      <w:bCs/>
      <w:iCs/>
      <w:sz w:val="28"/>
      <w:szCs w:val="28"/>
    </w:rPr>
  </w:style>
  <w:style w:type="character" w:customStyle="1" w:styleId="Heading3Char">
    <w:name w:val="Heading 3 Char"/>
    <w:basedOn w:val="DefaultParagraphFont"/>
    <w:link w:val="Heading3"/>
    <w:rsid w:val="001843D7"/>
    <w:rPr>
      <w:rFonts w:ascii="Arial" w:eastAsia="Times New Roman" w:hAnsi="Arial" w:cs="Arial"/>
      <w:szCs w:val="20"/>
    </w:rPr>
  </w:style>
  <w:style w:type="paragraph" w:styleId="Footer">
    <w:name w:val="footer"/>
    <w:basedOn w:val="Normal"/>
    <w:link w:val="FooterChar"/>
    <w:rsid w:val="001843D7"/>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1843D7"/>
    <w:rPr>
      <w:rFonts w:ascii="Arial" w:eastAsia="Times New Roman" w:hAnsi="Arial" w:cs="Arial"/>
      <w:szCs w:val="20"/>
    </w:rPr>
  </w:style>
  <w:style w:type="paragraph" w:styleId="Header">
    <w:name w:val="header"/>
    <w:basedOn w:val="Normal"/>
    <w:link w:val="HeaderChar"/>
    <w:rsid w:val="001843D7"/>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1843D7"/>
    <w:rPr>
      <w:rFonts w:ascii="Arial" w:eastAsia="Times New Roman" w:hAnsi="Arial" w:cs="Arial"/>
      <w:szCs w:val="20"/>
    </w:rPr>
  </w:style>
  <w:style w:type="paragraph" w:styleId="List2">
    <w:name w:val="List 2"/>
    <w:uiPriority w:val="99"/>
    <w:semiHidden/>
    <w:unhideWhenUsed/>
    <w:rsid w:val="001843D7"/>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1843D7"/>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1843D7"/>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1843D7"/>
    <w:rPr>
      <w:rFonts w:ascii="Arial" w:eastAsia="Times New Roman" w:hAnsi="Arial" w:cs="Arial"/>
      <w:szCs w:val="20"/>
    </w:rPr>
  </w:style>
  <w:style w:type="character" w:customStyle="1" w:styleId="Heading4Char">
    <w:name w:val="Heading 4 Char"/>
    <w:basedOn w:val="DefaultParagraphFont"/>
    <w:link w:val="Heading4"/>
    <w:rsid w:val="001843D7"/>
    <w:rPr>
      <w:rFonts w:ascii="Arial" w:eastAsia="Times New Roman" w:hAnsi="Arial" w:cs="Arial"/>
      <w:szCs w:val="20"/>
    </w:rPr>
  </w:style>
  <w:style w:type="paragraph" w:customStyle="1" w:styleId="List1">
    <w:name w:val="List 1"/>
    <w:link w:val="List1Char"/>
    <w:rsid w:val="001843D7"/>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1843D7"/>
    <w:rPr>
      <w:rFonts w:ascii="Arial" w:eastAsia="Times New Roman" w:hAnsi="Arial" w:cs="Arial"/>
      <w:szCs w:val="24"/>
    </w:rPr>
  </w:style>
  <w:style w:type="character" w:customStyle="1" w:styleId="List3Char">
    <w:name w:val="List 3 Char"/>
    <w:basedOn w:val="DefaultParagraphFont"/>
    <w:link w:val="List3"/>
    <w:uiPriority w:val="99"/>
    <w:rsid w:val="001843D7"/>
    <w:rPr>
      <w:rFonts w:ascii="Arial" w:eastAsia="Times New Roman" w:hAnsi="Arial" w:cs="Arial"/>
      <w:szCs w:val="20"/>
    </w:rPr>
  </w:style>
  <w:style w:type="paragraph" w:styleId="TOC1">
    <w:name w:val="toc 1"/>
    <w:basedOn w:val="Normal"/>
    <w:next w:val="Normal"/>
    <w:autoRedefine/>
    <w:uiPriority w:val="39"/>
    <w:unhideWhenUsed/>
    <w:rsid w:val="001843D7"/>
    <w:pPr>
      <w:spacing w:after="100"/>
    </w:pPr>
  </w:style>
  <w:style w:type="paragraph" w:styleId="TOC2">
    <w:name w:val="toc 2"/>
    <w:basedOn w:val="Normal"/>
    <w:next w:val="Normal"/>
    <w:autoRedefine/>
    <w:uiPriority w:val="39"/>
    <w:unhideWhenUsed/>
    <w:rsid w:val="001843D7"/>
    <w:pPr>
      <w:spacing w:after="100"/>
      <w:ind w:left="220"/>
    </w:pPr>
  </w:style>
  <w:style w:type="paragraph" w:styleId="TOC3">
    <w:name w:val="toc 3"/>
    <w:basedOn w:val="Normal"/>
    <w:next w:val="Normal"/>
    <w:autoRedefine/>
    <w:uiPriority w:val="39"/>
    <w:unhideWhenUsed/>
    <w:rsid w:val="001843D7"/>
    <w:pPr>
      <w:spacing w:after="100"/>
      <w:ind w:left="440"/>
    </w:pPr>
  </w:style>
  <w:style w:type="character" w:styleId="Hyperlink">
    <w:name w:val="Hyperlink"/>
    <w:basedOn w:val="DefaultParagraphFont"/>
    <w:uiPriority w:val="99"/>
    <w:unhideWhenUsed/>
    <w:rsid w:val="001843D7"/>
    <w:rPr>
      <w:color w:val="0563C1" w:themeColor="hyperlink"/>
      <w:u w:val="single"/>
    </w:rPr>
  </w:style>
  <w:style w:type="paragraph" w:styleId="TOC4">
    <w:name w:val="toc 4"/>
    <w:basedOn w:val="Normal"/>
    <w:next w:val="Normal"/>
    <w:autoRedefine/>
    <w:uiPriority w:val="39"/>
    <w:unhideWhenUsed/>
    <w:rsid w:val="001843D7"/>
    <w:pPr>
      <w:spacing w:after="100"/>
      <w:ind w:left="660"/>
    </w:pPr>
  </w:style>
  <w:style w:type="paragraph" w:styleId="TOC5">
    <w:name w:val="toc 5"/>
    <w:basedOn w:val="Normal"/>
    <w:next w:val="Normal"/>
    <w:autoRedefine/>
    <w:uiPriority w:val="39"/>
    <w:semiHidden/>
    <w:unhideWhenUsed/>
    <w:rsid w:val="001843D7"/>
    <w:pPr>
      <w:spacing w:after="100"/>
      <w:ind w:left="880"/>
    </w:pPr>
  </w:style>
  <w:style w:type="paragraph" w:styleId="TOC6">
    <w:name w:val="toc 6"/>
    <w:basedOn w:val="Normal"/>
    <w:next w:val="Normal"/>
    <w:autoRedefine/>
    <w:uiPriority w:val="39"/>
    <w:semiHidden/>
    <w:unhideWhenUsed/>
    <w:rsid w:val="001843D7"/>
    <w:pPr>
      <w:spacing w:after="100"/>
      <w:ind w:left="1100"/>
    </w:pPr>
  </w:style>
  <w:style w:type="paragraph" w:styleId="TOC7">
    <w:name w:val="toc 7"/>
    <w:basedOn w:val="Normal"/>
    <w:next w:val="Normal"/>
    <w:autoRedefine/>
    <w:uiPriority w:val="39"/>
    <w:semiHidden/>
    <w:unhideWhenUsed/>
    <w:rsid w:val="001843D7"/>
    <w:pPr>
      <w:spacing w:after="100"/>
      <w:ind w:left="1320"/>
    </w:pPr>
  </w:style>
  <w:style w:type="paragraph" w:styleId="TOC8">
    <w:name w:val="toc 8"/>
    <w:basedOn w:val="Normal"/>
    <w:next w:val="Normal"/>
    <w:autoRedefine/>
    <w:uiPriority w:val="39"/>
    <w:semiHidden/>
    <w:unhideWhenUsed/>
    <w:rsid w:val="001843D7"/>
    <w:pPr>
      <w:spacing w:after="100"/>
      <w:ind w:left="1540"/>
    </w:pPr>
  </w:style>
  <w:style w:type="paragraph" w:styleId="TOC9">
    <w:name w:val="toc 9"/>
    <w:basedOn w:val="Normal"/>
    <w:next w:val="Normal"/>
    <w:autoRedefine/>
    <w:uiPriority w:val="39"/>
    <w:semiHidden/>
    <w:unhideWhenUsed/>
    <w:rsid w:val="001843D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2020-04-14T15:38:00Z</dcterms:modified>
</cp:coreProperties>
</file>