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7C757" w14:textId="77777777" w:rsidR="00F42BFC" w:rsidRDefault="00F42BFC">
      <w:pPr>
        <w:sectPr w:rsidR="00F42BFC">
          <w:pgSz w:w="12240" w:h="15840"/>
          <w:pgMar w:top="1440" w:right="1440" w:bottom="1440" w:left="1440" w:header="720" w:footer="720" w:gutter="0"/>
          <w:cols w:space="720"/>
          <w:docGrid w:linePitch="360"/>
        </w:sectPr>
      </w:pPr>
    </w:p>
    <w:p w14:paraId="28071E1D" w14:textId="77777777" w:rsidR="00F42BFC" w:rsidRDefault="00F42BFC" w:rsidP="0017580B">
      <w:pPr>
        <w:pStyle w:val="Heading1"/>
      </w:pPr>
      <w:bookmarkStart w:id="0" w:name="_Toc37677761"/>
      <w:bookmarkStart w:id="1" w:name="_Toc37756673"/>
      <w:r w:rsidRPr="007B495C">
        <w:lastRenderedPageBreak/>
        <w:t>PART 2</w:t>
      </w:r>
      <w:r>
        <w:t>44</w:t>
      </w:r>
      <w:r w:rsidRPr="007B495C">
        <w:t xml:space="preserve"> - </w:t>
      </w:r>
      <w:r>
        <w:br/>
      </w:r>
      <w:r w:rsidRPr="00C45BF6">
        <w:t>Subcontracting Policies and Procedures</w:t>
      </w:r>
      <w:bookmarkEnd w:id="0"/>
      <w:bookmarkEnd w:id="1"/>
    </w:p>
    <w:p w14:paraId="341AF948" w14:textId="77777777" w:rsidR="00F42BFC" w:rsidRDefault="00F42BFC">
      <w:r>
        <w:br w:type="page"/>
      </w:r>
      <w:r>
        <w:lastRenderedPageBreak/>
        <w:br/>
      </w:r>
    </w:p>
    <w:p w14:paraId="09DA0239" w14:textId="77777777" w:rsidR="00316F38" w:rsidRPr="008A31CA" w:rsidRDefault="00316F38" w:rsidP="008A31CA">
      <w:pPr>
        <w:jc w:val="center"/>
        <w:rPr>
          <w:b/>
        </w:rPr>
      </w:pPr>
      <w:r w:rsidRPr="008A31CA">
        <w:rPr>
          <w:b/>
        </w:rPr>
        <w:t>Table of Contents</w:t>
      </w:r>
    </w:p>
    <w:p w14:paraId="5D28B022" w14:textId="08350091" w:rsidR="00C70044" w:rsidRDefault="00C70044" w:rsidP="00C70044">
      <w:pPr>
        <w:pStyle w:val="TOC1"/>
        <w:tabs>
          <w:tab w:val="right" w:leader="dot" w:pos="9350"/>
        </w:tabs>
        <w:rPr>
          <w:rFonts w:asciiTheme="minorHAnsi" w:eastAsiaTheme="minorEastAsia" w:hAnsiTheme="minorHAnsi" w:cstheme="minorBidi"/>
          <w:noProof/>
        </w:rPr>
      </w:pPr>
      <w:r>
        <w:rPr>
          <w:rStyle w:val="Hyperlink"/>
          <w:noProof/>
          <w:spacing w:val="-5"/>
          <w:kern w:val="20"/>
        </w:rPr>
        <w:fldChar w:fldCharType="begin"/>
      </w:r>
      <w:r>
        <w:rPr>
          <w:rStyle w:val="Hyperlink"/>
          <w:noProof/>
          <w:spacing w:val="-5"/>
          <w:kern w:val="20"/>
        </w:rPr>
        <w:instrText xml:space="preserve"> TOC \o "1-4" \n \h \z \u </w:instrText>
      </w:r>
      <w:r>
        <w:rPr>
          <w:rStyle w:val="Hyperlink"/>
          <w:noProof/>
          <w:spacing w:val="-5"/>
          <w:kern w:val="20"/>
        </w:rPr>
        <w:fldChar w:fldCharType="separate"/>
      </w:r>
      <w:hyperlink w:anchor="_Toc37756673" w:history="1">
        <w:r w:rsidRPr="002F7948">
          <w:rPr>
            <w:rStyle w:val="Hyperlink"/>
            <w:noProof/>
          </w:rPr>
          <w:t>PART 244 -  Subcontracting Policies and Procedures</w:t>
        </w:r>
      </w:hyperlink>
    </w:p>
    <w:p w14:paraId="7CF9F78B" w14:textId="2671553D" w:rsidR="00C70044" w:rsidRDefault="00C70044" w:rsidP="00C70044">
      <w:pPr>
        <w:pStyle w:val="TOC2"/>
        <w:tabs>
          <w:tab w:val="right" w:leader="dot" w:pos="9350"/>
        </w:tabs>
        <w:rPr>
          <w:rFonts w:asciiTheme="minorHAnsi" w:eastAsiaTheme="minorEastAsia" w:hAnsiTheme="minorHAnsi" w:cstheme="minorBidi"/>
          <w:noProof/>
        </w:rPr>
      </w:pPr>
      <w:hyperlink w:anchor="_Toc37756674" w:history="1">
        <w:r w:rsidRPr="002F7948">
          <w:rPr>
            <w:rStyle w:val="Hyperlink"/>
            <w:caps/>
            <w:noProof/>
          </w:rPr>
          <w:t>PGI 244.2—CONSENT TO SUBCORACTNT</w:t>
        </w:r>
      </w:hyperlink>
    </w:p>
    <w:p w14:paraId="1C9A7E9E" w14:textId="76C38AFC" w:rsidR="00C70044" w:rsidRDefault="00C70044" w:rsidP="00C70044">
      <w:pPr>
        <w:pStyle w:val="TOC3"/>
        <w:tabs>
          <w:tab w:val="right" w:leader="dot" w:pos="9350"/>
        </w:tabs>
        <w:rPr>
          <w:rFonts w:asciiTheme="minorHAnsi" w:eastAsiaTheme="minorEastAsia" w:hAnsiTheme="minorHAnsi" w:cstheme="minorBidi"/>
          <w:noProof/>
        </w:rPr>
      </w:pPr>
      <w:hyperlink w:anchor="_Toc37756675" w:history="1">
        <w:r w:rsidRPr="002F7948">
          <w:rPr>
            <w:rStyle w:val="Hyperlink"/>
            <w:noProof/>
            <w:spacing w:val="-5"/>
            <w:kern w:val="20"/>
          </w:rPr>
          <w:t>PGI 244.201  Consent and advance notification requirements.</w:t>
        </w:r>
      </w:hyperlink>
    </w:p>
    <w:p w14:paraId="6DF83542" w14:textId="18910184" w:rsidR="00C70044" w:rsidRDefault="00C70044" w:rsidP="00C70044">
      <w:pPr>
        <w:pStyle w:val="TOC4"/>
        <w:tabs>
          <w:tab w:val="right" w:leader="dot" w:pos="9350"/>
        </w:tabs>
        <w:rPr>
          <w:rFonts w:asciiTheme="minorHAnsi" w:eastAsiaTheme="minorEastAsia" w:hAnsiTheme="minorHAnsi" w:cstheme="minorBidi"/>
          <w:noProof/>
        </w:rPr>
      </w:pPr>
      <w:hyperlink w:anchor="_Toc37756676" w:history="1">
        <w:r w:rsidRPr="002F7948">
          <w:rPr>
            <w:rStyle w:val="Hyperlink"/>
            <w:noProof/>
          </w:rPr>
          <w:t>PGI 244.201-1  Consent requirements.</w:t>
        </w:r>
      </w:hyperlink>
    </w:p>
    <w:p w14:paraId="66201837" w14:textId="60E20D30" w:rsidR="00C70044" w:rsidRDefault="00C70044" w:rsidP="00C70044">
      <w:pPr>
        <w:pStyle w:val="TOC2"/>
        <w:tabs>
          <w:tab w:val="right" w:leader="dot" w:pos="9350"/>
        </w:tabs>
        <w:rPr>
          <w:rFonts w:asciiTheme="minorHAnsi" w:eastAsiaTheme="minorEastAsia" w:hAnsiTheme="minorHAnsi" w:cstheme="minorBidi"/>
          <w:noProof/>
        </w:rPr>
      </w:pPr>
      <w:hyperlink w:anchor="_Toc37756677" w:history="1">
        <w:r w:rsidRPr="002F7948">
          <w:rPr>
            <w:rStyle w:val="Hyperlink"/>
            <w:caps/>
            <w:noProof/>
          </w:rPr>
          <w:t>PGI 244.3—contractors' purchasing systems reviews</w:t>
        </w:r>
      </w:hyperlink>
    </w:p>
    <w:p w14:paraId="784DDDE7" w14:textId="17079C13" w:rsidR="00C70044" w:rsidRDefault="00C70044" w:rsidP="00C70044">
      <w:pPr>
        <w:pStyle w:val="TOC4"/>
        <w:tabs>
          <w:tab w:val="right" w:leader="dot" w:pos="9350"/>
        </w:tabs>
        <w:rPr>
          <w:rFonts w:asciiTheme="minorHAnsi" w:eastAsiaTheme="minorEastAsia" w:hAnsiTheme="minorHAnsi" w:cstheme="minorBidi"/>
          <w:noProof/>
        </w:rPr>
      </w:pPr>
      <w:hyperlink w:anchor="_Toc37756678" w:history="1">
        <w:r w:rsidRPr="002F7948">
          <w:rPr>
            <w:rStyle w:val="Hyperlink"/>
            <w:b/>
            <w:noProof/>
          </w:rPr>
          <w:t>PGI 244.305-70  Policy.</w:t>
        </w:r>
      </w:hyperlink>
    </w:p>
    <w:p w14:paraId="2A6D92B4" w14:textId="5E46E4A5" w:rsidR="00F42BFC" w:rsidRPr="00F42BFC" w:rsidRDefault="00C70044" w:rsidP="00F42BFC">
      <w:r>
        <w:rPr>
          <w:rStyle w:val="Hyperlink"/>
          <w:noProof/>
          <w:spacing w:val="-5"/>
          <w:kern w:val="20"/>
        </w:rPr>
        <w:fldChar w:fldCharType="end"/>
      </w:r>
    </w:p>
    <w:p w14:paraId="48A1C241" w14:textId="77777777" w:rsidR="00F42BFC" w:rsidRDefault="00F42BFC" w:rsidP="00D5566A">
      <w:pPr>
        <w:jc w:val="center"/>
      </w:pPr>
      <w:r w:rsidRPr="00990D69">
        <w:rPr>
          <w:i/>
          <w:szCs w:val="24"/>
        </w:rPr>
        <w:t>(</w:t>
      </w:r>
      <w:r>
        <w:rPr>
          <w:i/>
          <w:szCs w:val="24"/>
        </w:rPr>
        <w:t>Added October 30, 2015</w:t>
      </w:r>
      <w:r w:rsidRPr="00990D69">
        <w:rPr>
          <w:i/>
          <w:szCs w:val="24"/>
        </w:rPr>
        <w:t>)</w:t>
      </w:r>
    </w:p>
    <w:p w14:paraId="00A620AB" w14:textId="77777777" w:rsidR="00F42BFC" w:rsidRDefault="00F42BFC" w:rsidP="00D5566A">
      <w:pPr>
        <w:pStyle w:val="Heading2"/>
      </w:pPr>
      <w:r>
        <w:rPr>
          <w:i/>
          <w:szCs w:val="24"/>
        </w:rPr>
        <w:br/>
      </w:r>
      <w:bookmarkStart w:id="2" w:name="_Toc37415905"/>
      <w:bookmarkStart w:id="3" w:name="_Toc37677762"/>
      <w:bookmarkStart w:id="4" w:name="_Toc37756674"/>
      <w:r w:rsidRPr="00766859">
        <w:rPr>
          <w:caps/>
          <w:szCs w:val="24"/>
        </w:rPr>
        <w:t>PGI 244.</w:t>
      </w:r>
      <w:r>
        <w:rPr>
          <w:caps/>
          <w:szCs w:val="24"/>
        </w:rPr>
        <w:t>2—CONSENT TO SUBCORACTNT</w:t>
      </w:r>
      <w:bookmarkEnd w:id="2"/>
      <w:bookmarkEnd w:id="3"/>
      <w:bookmarkEnd w:id="4"/>
    </w:p>
    <w:p w14:paraId="003FE690" w14:textId="77777777" w:rsidR="00F42BFC" w:rsidRDefault="00F42BFC" w:rsidP="00D5566A">
      <w:pPr>
        <w:pStyle w:val="Heading3"/>
      </w:pPr>
      <w:r>
        <w:rPr>
          <w:b/>
          <w:caps/>
          <w:szCs w:val="24"/>
        </w:rPr>
        <w:br/>
      </w:r>
      <w:bookmarkStart w:id="5" w:name="_Toc37415906"/>
      <w:bookmarkStart w:id="6" w:name="_Toc37677763"/>
      <w:bookmarkStart w:id="7" w:name="_Toc37756675"/>
      <w:r w:rsidRPr="00B755DB">
        <w:rPr>
          <w:spacing w:val="-5"/>
          <w:kern w:val="20"/>
          <w:szCs w:val="24"/>
        </w:rPr>
        <w:t xml:space="preserve">PGI </w:t>
      </w:r>
      <w:proofErr w:type="gramStart"/>
      <w:r w:rsidRPr="00B755DB">
        <w:rPr>
          <w:spacing w:val="-5"/>
          <w:kern w:val="20"/>
          <w:szCs w:val="24"/>
        </w:rPr>
        <w:t>244.201  Consent</w:t>
      </w:r>
      <w:proofErr w:type="gramEnd"/>
      <w:r w:rsidRPr="00B755DB">
        <w:rPr>
          <w:spacing w:val="-5"/>
          <w:kern w:val="20"/>
          <w:szCs w:val="24"/>
        </w:rPr>
        <w:t xml:space="preserve"> and advance notification requirements.</w:t>
      </w:r>
      <w:bookmarkEnd w:id="5"/>
      <w:bookmarkEnd w:id="6"/>
      <w:bookmarkEnd w:id="7"/>
    </w:p>
    <w:p w14:paraId="2E7CDCC2" w14:textId="77777777" w:rsidR="00F42BFC" w:rsidRDefault="00F42BFC" w:rsidP="00D5566A">
      <w:pPr>
        <w:pStyle w:val="Heading4"/>
      </w:pPr>
      <w:r>
        <w:rPr>
          <w:b/>
        </w:rPr>
        <w:br/>
      </w:r>
      <w:bookmarkStart w:id="8" w:name="_Toc37677764"/>
      <w:bookmarkStart w:id="9" w:name="_Toc37756676"/>
      <w:r w:rsidRPr="00B755DB">
        <w:t xml:space="preserve">PGI </w:t>
      </w:r>
      <w:r w:rsidRPr="00D5566A">
        <w:t>244.201-</w:t>
      </w:r>
      <w:proofErr w:type="gramStart"/>
      <w:r w:rsidRPr="00D5566A">
        <w:t xml:space="preserve">1  </w:t>
      </w:r>
      <w:r w:rsidRPr="00B755DB">
        <w:t>Consent</w:t>
      </w:r>
      <w:proofErr w:type="gramEnd"/>
      <w:r w:rsidRPr="00B755DB">
        <w:t xml:space="preserve"> requirements.</w:t>
      </w:r>
      <w:bookmarkEnd w:id="8"/>
      <w:bookmarkEnd w:id="9"/>
    </w:p>
    <w:p w14:paraId="072DD788" w14:textId="77777777" w:rsidR="00F42BFC" w:rsidRDefault="00F42BFC" w:rsidP="00D5566A">
      <w:pPr>
        <w:rPr>
          <w:b/>
        </w:rPr>
      </w:pPr>
      <w:r>
        <w:rPr>
          <w:b/>
        </w:rPr>
        <w:br/>
      </w:r>
      <w:r w:rsidRPr="00B755DB">
        <w:t xml:space="preserve">When contracting for a covered system or covered item of supply, work with the requiring activity to determine if, based on the criticality of the component or system to be supplied and potential concerns about supply chain risk, written consent to subcontract by the contracting officer is necessary when subcontractors are selected or modified during the course of contract performance.  Should the requiring activity conclude that a potential subcontractor is beyond the risk tolerance of the system and mission, the requiring activity must inform the contracting officer and the authority granted in section 806 of Pub. L. 111-383 may be used to withhold consent for the contractor to subcontract with a particular source or exclude a source from consideration as specified in DFARS </w:t>
      </w:r>
      <w:hyperlink r:id="rId6" w:history="1">
        <w:r w:rsidRPr="00CF7BD3">
          <w:rPr>
            <w:rStyle w:val="Hyperlink"/>
            <w:spacing w:val="-5"/>
            <w:kern w:val="20"/>
            <w:szCs w:val="24"/>
          </w:rPr>
          <w:t>239.73</w:t>
        </w:r>
      </w:hyperlink>
      <w:r w:rsidRPr="00B755DB">
        <w:t>.</w:t>
      </w:r>
    </w:p>
    <w:p w14:paraId="04B22A57" w14:textId="77777777" w:rsidR="00F42BFC" w:rsidRPr="009C1F9B" w:rsidRDefault="00F42BFC" w:rsidP="00D5566A">
      <w:r>
        <w:rPr>
          <w:b/>
          <w:spacing w:val="-5"/>
          <w:kern w:val="20"/>
          <w:szCs w:val="24"/>
        </w:rPr>
        <w:lastRenderedPageBreak/>
        <w:br/>
      </w:r>
    </w:p>
    <w:p w14:paraId="420F0C58" w14:textId="77777777" w:rsidR="00F42BFC" w:rsidRDefault="00F42BFC">
      <w:pPr>
        <w:sectPr w:rsidR="00F42BFC" w:rsidSect="004E3BD6">
          <w:headerReference w:type="default" r:id="rId7"/>
          <w:footerReference w:type="default" r:id="rId8"/>
          <w:pgSz w:w="12240" w:h="15840"/>
          <w:pgMar w:top="1440" w:right="1440" w:bottom="1440" w:left="1440" w:header="720" w:footer="720" w:gutter="0"/>
          <w:cols w:space="720"/>
          <w:docGrid w:linePitch="360"/>
        </w:sectPr>
      </w:pPr>
    </w:p>
    <w:p w14:paraId="56596369" w14:textId="77777777" w:rsidR="00F42BFC" w:rsidRDefault="00F42BFC" w:rsidP="00C11F5A">
      <w:pPr>
        <w:jc w:val="center"/>
      </w:pPr>
      <w:r w:rsidRPr="00990D69">
        <w:rPr>
          <w:i/>
          <w:szCs w:val="24"/>
        </w:rPr>
        <w:lastRenderedPageBreak/>
        <w:t xml:space="preserve">(Revised </w:t>
      </w:r>
      <w:r>
        <w:rPr>
          <w:i/>
          <w:szCs w:val="24"/>
        </w:rPr>
        <w:t>May 18, 2011</w:t>
      </w:r>
      <w:r w:rsidRPr="00990D69">
        <w:rPr>
          <w:i/>
          <w:szCs w:val="24"/>
        </w:rPr>
        <w:t>)</w:t>
      </w:r>
    </w:p>
    <w:p w14:paraId="3E478C03" w14:textId="77777777" w:rsidR="00F42BFC" w:rsidRDefault="00F42BFC" w:rsidP="00C11F5A">
      <w:pPr>
        <w:pStyle w:val="Heading2"/>
      </w:pPr>
      <w:r>
        <w:rPr>
          <w:i/>
          <w:szCs w:val="24"/>
        </w:rPr>
        <w:br/>
      </w:r>
      <w:bookmarkStart w:id="10" w:name="_Toc37415907"/>
      <w:bookmarkStart w:id="11" w:name="_Toc37677765"/>
      <w:bookmarkStart w:id="12" w:name="_Toc37756677"/>
      <w:r w:rsidRPr="00766859">
        <w:rPr>
          <w:caps/>
          <w:szCs w:val="24"/>
        </w:rPr>
        <w:t>PGI 244.3</w:t>
      </w:r>
      <w:r>
        <w:rPr>
          <w:caps/>
          <w:szCs w:val="24"/>
        </w:rPr>
        <w:t>—</w:t>
      </w:r>
      <w:r w:rsidRPr="00766859">
        <w:rPr>
          <w:caps/>
          <w:szCs w:val="24"/>
        </w:rPr>
        <w:t>contractors' purchasing systems reviews</w:t>
      </w:r>
      <w:bookmarkEnd w:id="10"/>
      <w:bookmarkEnd w:id="11"/>
      <w:bookmarkEnd w:id="12"/>
    </w:p>
    <w:p w14:paraId="59D312E6" w14:textId="77777777" w:rsidR="00F42BFC" w:rsidRDefault="00F42BFC" w:rsidP="00C11F5A">
      <w:pPr>
        <w:pStyle w:val="Heading4"/>
      </w:pPr>
      <w:r>
        <w:rPr>
          <w:b/>
          <w:caps/>
        </w:rPr>
        <w:br/>
      </w:r>
      <w:bookmarkStart w:id="13" w:name="_Toc37677766"/>
      <w:bookmarkStart w:id="14" w:name="_Toc37756678"/>
      <w:r w:rsidRPr="009C1F9B">
        <w:rPr>
          <w:b/>
        </w:rPr>
        <w:t>PGI 244.305-70  Policy.</w:t>
      </w:r>
      <w:bookmarkEnd w:id="13"/>
      <w:bookmarkEnd w:id="14"/>
    </w:p>
    <w:p w14:paraId="1188EA28" w14:textId="77777777" w:rsidR="00F42BFC" w:rsidRDefault="00F42BFC" w:rsidP="00C11F5A">
      <w:pPr>
        <w:pStyle w:val="List1"/>
      </w:pPr>
      <w:r>
        <w:rPr>
          <w:b/>
        </w:rPr>
        <w:br/>
      </w:r>
      <w:r w:rsidRPr="009C1F9B">
        <w:t xml:space="preserve">(c)  </w:t>
      </w:r>
      <w:r w:rsidRPr="009C1F9B">
        <w:rPr>
          <w:i/>
        </w:rPr>
        <w:t>Disposition of findings</w:t>
      </w:r>
      <w:r w:rsidRPr="009C1F9B">
        <w:t>.</w:t>
      </w:r>
    </w:p>
    <w:p w14:paraId="4C8BC9E3" w14:textId="77777777" w:rsidR="00F42BFC" w:rsidRDefault="00F42BFC" w:rsidP="00C11F5A">
      <w:pPr>
        <w:pStyle w:val="List2"/>
      </w:pPr>
      <w:r>
        <w:rPr>
          <w:szCs w:val="24"/>
        </w:rPr>
        <w:br/>
      </w:r>
      <w:r w:rsidRPr="009C1F9B">
        <w:rPr>
          <w:szCs w:val="24"/>
        </w:rPr>
        <w:t xml:space="preserve">(2)  </w:t>
      </w:r>
      <w:r w:rsidRPr="009C1F9B">
        <w:rPr>
          <w:i/>
          <w:szCs w:val="24"/>
        </w:rPr>
        <w:t>Initial determination</w:t>
      </w:r>
      <w:r w:rsidRPr="009C1F9B">
        <w:rPr>
          <w:szCs w:val="24"/>
        </w:rPr>
        <w:t xml:space="preserve">. </w:t>
      </w:r>
    </w:p>
    <w:p w14:paraId="29CCDCA3" w14:textId="77777777" w:rsidR="00F42BFC" w:rsidRDefault="00F42BFC" w:rsidP="00C11F5A">
      <w:pPr>
        <w:pStyle w:val="List3"/>
      </w:pPr>
      <w:r>
        <w:rPr>
          <w:szCs w:val="24"/>
        </w:rPr>
        <w:br/>
      </w:r>
      <w:r w:rsidRPr="009C1F9B">
        <w:rPr>
          <w:szCs w:val="24"/>
        </w:rPr>
        <w:t xml:space="preserve">(ii)(A)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  </w:t>
      </w:r>
    </w:p>
    <w:p w14:paraId="33392485" w14:textId="77777777" w:rsidR="00F42BFC" w:rsidRDefault="00F42BFC" w:rsidP="00C11F5A">
      <w:pPr>
        <w:pStyle w:val="List4"/>
      </w:pPr>
      <w:r>
        <w:rPr>
          <w:szCs w:val="24"/>
        </w:rPr>
        <w:br/>
      </w:r>
      <w:r w:rsidRPr="009C1F9B">
        <w:rPr>
          <w:szCs w:val="24"/>
        </w:rPr>
        <w:t xml:space="preserve">(C)  </w:t>
      </w:r>
      <w:r w:rsidRPr="009C1F9B">
        <w:rPr>
          <w:i/>
          <w:szCs w:val="24"/>
        </w:rPr>
        <w:t>Evaluation of contractor's response</w:t>
      </w:r>
      <w:r w:rsidRPr="009C1F9B">
        <w:rPr>
          <w:szCs w:val="24"/>
        </w:rPr>
        <w:t>.  Within 30 days of receiving the contractor’s response, the contracting officer, in consultation with the auditor or cognizant functional specialist, should evaluate the contractor’s response and make a final determination.</w:t>
      </w:r>
    </w:p>
    <w:p w14:paraId="323ACAD9" w14:textId="77777777" w:rsidR="00F42BFC" w:rsidRDefault="00F42BFC" w:rsidP="00C11F5A">
      <w:pPr>
        <w:pStyle w:val="List2"/>
      </w:pPr>
      <w:r>
        <w:rPr>
          <w:szCs w:val="24"/>
        </w:rPr>
        <w:br/>
      </w:r>
      <w:r w:rsidRPr="009C1F9B">
        <w:rPr>
          <w:szCs w:val="24"/>
        </w:rPr>
        <w:t xml:space="preserve">(3)  </w:t>
      </w:r>
      <w:r w:rsidRPr="009C1F9B">
        <w:rPr>
          <w:i/>
          <w:szCs w:val="24"/>
        </w:rPr>
        <w:t>Final Determination</w:t>
      </w:r>
      <w:r w:rsidRPr="009C1F9B">
        <w:rPr>
          <w:szCs w:val="24"/>
        </w:rPr>
        <w:t>.</w:t>
      </w:r>
    </w:p>
    <w:p w14:paraId="1484BA15" w14:textId="77777777" w:rsidR="00F42BFC" w:rsidRDefault="00F42BFC" w:rsidP="00C11F5A">
      <w:pPr>
        <w:pStyle w:val="List3"/>
      </w:pPr>
      <w:r>
        <w:rPr>
          <w:szCs w:val="24"/>
        </w:rPr>
        <w:br/>
      </w:r>
      <w:r w:rsidRPr="009C1F9B">
        <w:rPr>
          <w:szCs w:val="24"/>
        </w:rPr>
        <w:t xml:space="preserve">(ii)(A)  </w:t>
      </w:r>
      <w:r w:rsidRPr="009C1F9B">
        <w:rPr>
          <w:i/>
          <w:szCs w:val="24"/>
        </w:rPr>
        <w:t>Monitoring contractors’ corrective action</w:t>
      </w:r>
      <w:r w:rsidRPr="009C1F9B">
        <w:rPr>
          <w:szCs w:val="24"/>
        </w:rPr>
        <w:t xml:space="preserve">.  The contracting officer and Purchasing System Analyst (PSA)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w:t>
      </w:r>
      <w:hyperlink r:id="rId9" w:anchor="252.242-7005" w:history="1">
        <w:r w:rsidRPr="0042413B">
          <w:rPr>
            <w:rStyle w:val="Hyperlink"/>
            <w:szCs w:val="24"/>
          </w:rPr>
          <w:t>252.242-7005</w:t>
        </w:r>
      </w:hyperlink>
      <w:r w:rsidRPr="009C1F9B">
        <w:rPr>
          <w:szCs w:val="24"/>
        </w:rPr>
        <w:t>, Contractor Business Systems, and recommending non-award of potential contracts.</w:t>
      </w:r>
    </w:p>
    <w:p w14:paraId="42E36389" w14:textId="77777777" w:rsidR="00F42BFC" w:rsidRDefault="00F42BFC" w:rsidP="00C11F5A">
      <w:pPr>
        <w:pStyle w:val="List4"/>
      </w:pPr>
      <w:r>
        <w:rPr>
          <w:szCs w:val="24"/>
        </w:rPr>
        <w:br/>
      </w:r>
      <w:r w:rsidRPr="009C1F9B">
        <w:rPr>
          <w:szCs w:val="24"/>
        </w:rPr>
        <w:t xml:space="preserve">(B)  </w:t>
      </w:r>
      <w:r w:rsidRPr="009C1F9B">
        <w:rPr>
          <w:i/>
          <w:szCs w:val="24"/>
        </w:rPr>
        <w:t>Correction of significant deficiencies</w:t>
      </w:r>
      <w:r w:rsidRPr="009C1F9B">
        <w:rPr>
          <w:szCs w:val="24"/>
        </w:rPr>
        <w:t>.</w:t>
      </w:r>
    </w:p>
    <w:p w14:paraId="286E698B" w14:textId="77777777" w:rsidR="00F42BFC" w:rsidRDefault="00F42BFC" w:rsidP="00C11F5A">
      <w:pPr>
        <w:pStyle w:val="List6"/>
      </w:pPr>
      <w:r>
        <w:lastRenderedPageBreak/>
        <w:br/>
      </w:r>
      <w:r w:rsidRPr="009C1F9B">
        <w:t>(</w:t>
      </w:r>
      <w:r w:rsidRPr="009C1F9B">
        <w:rPr>
          <w:i/>
        </w:rPr>
        <w:t>1</w:t>
      </w:r>
      <w:r w:rsidRPr="009C1F9B">
        <w:t>)  When the contractor notifies the contracting officer that the contractor has corrected the significant deficiencies, the contracting officer shall request the PSA or auditor to review the correction to determine if the deficiencies have been resolved.</w:t>
      </w:r>
    </w:p>
    <w:p w14:paraId="2ED3CD1E" w14:textId="77777777" w:rsidR="00F42BFC" w:rsidRDefault="00F42BFC" w:rsidP="00C11F5A">
      <w:pPr>
        <w:pStyle w:val="List6"/>
      </w:pPr>
      <w:r>
        <w:br/>
      </w:r>
      <w:r w:rsidRPr="009C1F9B">
        <w:t>(</w:t>
      </w:r>
      <w:r w:rsidRPr="009C1F9B">
        <w:rPr>
          <w:i/>
        </w:rPr>
        <w:t>2</w:t>
      </w:r>
      <w:r w:rsidRPr="009C1F9B">
        <w:t>)  The contracting officer shall determine if the contractor has corrected the deficiencies.</w:t>
      </w:r>
    </w:p>
    <w:p w14:paraId="0E70C6A7" w14:textId="77777777" w:rsidR="00F42BFC" w:rsidRPr="009C1F9B" w:rsidRDefault="00F42BFC" w:rsidP="00C11F5A">
      <w:pPr>
        <w:pStyle w:val="List6"/>
      </w:pPr>
      <w:r>
        <w:br/>
      </w:r>
      <w:r w:rsidRPr="009C1F9B">
        <w:t>(</w:t>
      </w:r>
      <w:r w:rsidRPr="009C1F9B">
        <w:rPr>
          <w:i/>
        </w:rPr>
        <w:t>3</w:t>
      </w:r>
      <w:r w:rsidRPr="009C1F9B">
        <w:t>)  If the contracting officer determines the contractor has corrected the deficiencies, the contracting officer's notification shall be sent to the PSA; auditor; payment office; appropriate action officers responsible for reporting past performance at the requiring activities; and each contracting and contract administration office having substantial business wit</w:t>
      </w:r>
      <w:r>
        <w:t>h the contractor as applicable.</w:t>
      </w:r>
    </w:p>
    <w:p w14:paraId="1781A47A" w14:textId="77777777" w:rsidR="00850595" w:rsidRDefault="00850595"/>
    <w:sectPr w:rsidR="00850595" w:rsidSect="001B326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CD955" w14:textId="77777777" w:rsidR="00305495" w:rsidRDefault="00305495">
      <w:pPr>
        <w:spacing w:after="0" w:line="240" w:lineRule="auto"/>
      </w:pPr>
      <w:r>
        <w:separator/>
      </w:r>
    </w:p>
  </w:endnote>
  <w:endnote w:type="continuationSeparator" w:id="0">
    <w:p w14:paraId="738229A6" w14:textId="77777777" w:rsidR="00305495" w:rsidRDefault="00305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F26E" w14:textId="77777777" w:rsidR="00B62E8D" w:rsidRDefault="00305495" w:rsidP="00B62E8D">
    <w:pPr>
      <w:pStyle w:val="Footer"/>
      <w:pBdr>
        <w:top w:val="single" w:sz="6" w:space="1" w:color="auto"/>
      </w:pBdr>
      <w:tabs>
        <w:tab w:val="clear" w:pos="8640"/>
        <w:tab w:val="right" w:pos="9260"/>
      </w:tabs>
      <w:rPr>
        <w:szCs w:val="22"/>
      </w:rPr>
    </w:pPr>
  </w:p>
  <w:p w14:paraId="6DF22E6A" w14:textId="77777777" w:rsidR="00B62E8D" w:rsidRPr="00BC71C0" w:rsidRDefault="00F42BFC" w:rsidP="00B62E8D">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44</w:t>
    </w:r>
    <w:r w:rsidRPr="00BC71C0">
      <w:rPr>
        <w:szCs w:val="22"/>
      </w:rPr>
      <w:t>.</w:t>
    </w:r>
    <w:r>
      <w:rPr>
        <w:szCs w:val="22"/>
      </w:rPr>
      <w:t>2</w:t>
    </w:r>
    <w:r w:rsidRPr="00BC71C0">
      <w:rPr>
        <w:szCs w:val="22"/>
      </w:rPr>
      <w:t>-</w:t>
    </w:r>
    <w:r w:rsidRPr="00BC71C0">
      <w:rPr>
        <w:szCs w:val="22"/>
      </w:rPr>
      <w:pgNum/>
    </w:r>
  </w:p>
  <w:p w14:paraId="7EEB8B25" w14:textId="77777777" w:rsidR="00B173B9" w:rsidRPr="00BC71C0" w:rsidRDefault="00305495">
    <w:pPr>
      <w:pStyle w:val="Footer"/>
      <w:pBdr>
        <w:top w:val="single" w:sz="6" w:space="1" w:color="auto"/>
      </w:pBdr>
      <w:tabs>
        <w:tab w:val="clear" w:pos="8640"/>
        <w:tab w:val="right" w:pos="9260"/>
      </w:tabs>
      <w:rPr>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461D3" w14:textId="77777777" w:rsidR="00B173B9" w:rsidRDefault="00305495">
    <w:pPr>
      <w:pStyle w:val="Footer"/>
      <w:rPr>
        <w:rFonts w:ascii="Century Schoolbook" w:hAnsi="Century Schoolbook"/>
        <w:sz w:val="20"/>
      </w:rPr>
    </w:pPr>
  </w:p>
  <w:p w14:paraId="7239C06E" w14:textId="77777777" w:rsidR="00B173B9" w:rsidRDefault="00305495">
    <w:pPr>
      <w:pStyle w:val="Footer"/>
      <w:tabs>
        <w:tab w:val="clear" w:pos="8640"/>
      </w:tabs>
      <w:rPr>
        <w:rFonts w:ascii="Century Schoolbook" w:hAnsi="Century Schoolbook"/>
        <w:b/>
        <w:sz w:val="20"/>
      </w:rPr>
    </w:pPr>
  </w:p>
  <w:p w14:paraId="2C982191" w14:textId="77777777" w:rsidR="00B173B9" w:rsidRPr="00BC71C0" w:rsidRDefault="00F42BFC">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44.3-</w:t>
    </w:r>
    <w:r w:rsidRPr="00B662F0">
      <w:rPr>
        <w:szCs w:val="22"/>
      </w:rPr>
      <w:fldChar w:fldCharType="begin"/>
    </w:r>
    <w:r w:rsidRPr="00B662F0">
      <w:rPr>
        <w:szCs w:val="22"/>
      </w:rPr>
      <w:instrText xml:space="preserve"> PAGE   \* MERGEFORMAT </w:instrText>
    </w:r>
    <w:r w:rsidRPr="00B662F0">
      <w:rPr>
        <w:szCs w:val="22"/>
      </w:rPr>
      <w:fldChar w:fldCharType="separate"/>
    </w:r>
    <w:r>
      <w:rPr>
        <w:noProof/>
        <w:szCs w:val="22"/>
      </w:rPr>
      <w:t>2</w:t>
    </w:r>
    <w:r w:rsidRPr="00B662F0">
      <w:rP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8C990" w14:textId="77777777" w:rsidR="00305495" w:rsidRDefault="00305495">
      <w:pPr>
        <w:spacing w:after="0" w:line="240" w:lineRule="auto"/>
      </w:pPr>
      <w:r>
        <w:separator/>
      </w:r>
    </w:p>
  </w:footnote>
  <w:footnote w:type="continuationSeparator" w:id="0">
    <w:p w14:paraId="34472A43" w14:textId="77777777" w:rsidR="00305495" w:rsidRDefault="00305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84399" w14:textId="77777777" w:rsidR="00B173B9" w:rsidRDefault="00F42BFC" w:rsidP="003E6AA4">
    <w:pPr>
      <w:pStyle w:val="Header"/>
      <w:tabs>
        <w:tab w:val="clear" w:pos="8640"/>
        <w:tab w:val="left" w:pos="4590"/>
      </w:tabs>
      <w:jc w:val="center"/>
      <w:rPr>
        <w:sz w:val="28"/>
        <w:szCs w:val="28"/>
      </w:rPr>
    </w:pPr>
    <w:r w:rsidRPr="002B1BC7">
      <w:rPr>
        <w:sz w:val="28"/>
        <w:szCs w:val="28"/>
      </w:rPr>
      <w:t>DFARS Procedures, Guidance, and Information</w:t>
    </w:r>
  </w:p>
  <w:p w14:paraId="5B961774" w14:textId="77777777" w:rsidR="00B173B9" w:rsidRPr="002B1BC7" w:rsidRDefault="00305495" w:rsidP="003E6AA4">
    <w:pPr>
      <w:pStyle w:val="Header"/>
      <w:tabs>
        <w:tab w:val="clear" w:pos="8640"/>
        <w:tab w:val="left" w:pos="4590"/>
      </w:tabs>
      <w:jc w:val="center"/>
      <w:rPr>
        <w:sz w:val="28"/>
        <w:szCs w:val="28"/>
      </w:rPr>
    </w:pPr>
  </w:p>
  <w:p w14:paraId="280E92EF" w14:textId="77777777" w:rsidR="00B173B9" w:rsidRPr="00BC71C0" w:rsidRDefault="00F42BFC">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44</w:t>
    </w:r>
    <w:r w:rsidRPr="00BC71C0">
      <w:rPr>
        <w:szCs w:val="24"/>
      </w:rPr>
      <w:t>—</w:t>
    </w:r>
    <w:r>
      <w:rPr>
        <w:szCs w:val="24"/>
      </w:rPr>
      <w:t>Subcontracting Policies and Procedures</w:t>
    </w:r>
  </w:p>
  <w:p w14:paraId="5227B3D7" w14:textId="77777777" w:rsidR="00B173B9" w:rsidRDefault="00305495">
    <w:pPr>
      <w:pStyle w:val="Header"/>
      <w:tabs>
        <w:tab w:val="clear" w:pos="8640"/>
        <w:tab w:val="right" w:pos="9260"/>
      </w:tabs>
      <w:spacing w:before="20" w:line="20" w:lineRule="exact"/>
      <w:rPr>
        <w:rFonts w:ascii="Geneva" w:hAnsi="Geneva"/>
        <w:b/>
        <w:position w:val="6"/>
        <w:sz w:val="18"/>
      </w:rPr>
    </w:pPr>
  </w:p>
  <w:p w14:paraId="582B10DA" w14:textId="77777777" w:rsidR="00B173B9" w:rsidRDefault="00305495">
    <w:pPr>
      <w:pStyle w:val="Header"/>
      <w:tabs>
        <w:tab w:val="clear" w:pos="8640"/>
        <w:tab w:val="right" w:pos="9260"/>
      </w:tabs>
      <w:rPr>
        <w:rFonts w:ascii="Century Schoolbook" w:hAnsi="Century Schoolbook"/>
        <w:b/>
        <w:sz w:val="20"/>
      </w:rPr>
    </w:pPr>
  </w:p>
  <w:p w14:paraId="07325B8F" w14:textId="77777777" w:rsidR="00B173B9" w:rsidRDefault="00305495">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4B360" w14:textId="77777777" w:rsidR="00B173B9" w:rsidRDefault="00F42BFC" w:rsidP="003E6AA4">
    <w:pPr>
      <w:pStyle w:val="Header"/>
      <w:tabs>
        <w:tab w:val="clear" w:pos="8640"/>
        <w:tab w:val="left" w:pos="4590"/>
      </w:tabs>
      <w:jc w:val="center"/>
      <w:rPr>
        <w:sz w:val="28"/>
        <w:szCs w:val="28"/>
      </w:rPr>
    </w:pPr>
    <w:r w:rsidRPr="002B1BC7">
      <w:rPr>
        <w:sz w:val="28"/>
        <w:szCs w:val="28"/>
      </w:rPr>
      <w:t>DFARS Procedures, Guidance, and Information</w:t>
    </w:r>
  </w:p>
  <w:p w14:paraId="4DB2661B" w14:textId="77777777" w:rsidR="00B173B9" w:rsidRPr="002B1BC7" w:rsidRDefault="00305495" w:rsidP="003E6AA4">
    <w:pPr>
      <w:pStyle w:val="Header"/>
      <w:tabs>
        <w:tab w:val="clear" w:pos="8640"/>
        <w:tab w:val="left" w:pos="4590"/>
      </w:tabs>
      <w:jc w:val="center"/>
      <w:rPr>
        <w:sz w:val="28"/>
        <w:szCs w:val="28"/>
      </w:rPr>
    </w:pPr>
  </w:p>
  <w:p w14:paraId="5003F9F1" w14:textId="77777777" w:rsidR="00B173B9" w:rsidRPr="00BC71C0" w:rsidRDefault="00F42BFC">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44</w:t>
    </w:r>
    <w:r w:rsidRPr="00BC71C0">
      <w:rPr>
        <w:szCs w:val="24"/>
      </w:rPr>
      <w:t>—</w:t>
    </w:r>
    <w:r>
      <w:rPr>
        <w:szCs w:val="24"/>
      </w:rPr>
      <w:t>Subcontracting Policies and Procedures</w:t>
    </w:r>
  </w:p>
  <w:p w14:paraId="43986E1D" w14:textId="77777777" w:rsidR="00B173B9" w:rsidRDefault="00305495">
    <w:pPr>
      <w:pStyle w:val="Header"/>
      <w:tabs>
        <w:tab w:val="clear" w:pos="8640"/>
        <w:tab w:val="right" w:pos="9260"/>
      </w:tabs>
      <w:spacing w:before="20" w:line="20" w:lineRule="exact"/>
      <w:rPr>
        <w:rFonts w:ascii="Geneva" w:hAnsi="Geneva"/>
        <w:b/>
        <w:position w:val="6"/>
        <w:sz w:val="18"/>
      </w:rPr>
    </w:pPr>
  </w:p>
  <w:p w14:paraId="49C52706" w14:textId="77777777" w:rsidR="00B173B9" w:rsidRDefault="00305495">
    <w:pPr>
      <w:pStyle w:val="Header"/>
      <w:tabs>
        <w:tab w:val="clear" w:pos="8640"/>
        <w:tab w:val="right" w:pos="9260"/>
      </w:tabs>
      <w:rPr>
        <w:rFonts w:ascii="Century Schoolbook" w:hAnsi="Century Schoolbook"/>
        <w:b/>
        <w:sz w:val="20"/>
      </w:rPr>
    </w:pPr>
  </w:p>
  <w:p w14:paraId="2B76FEE0" w14:textId="77777777" w:rsidR="00B173B9" w:rsidRDefault="00305495">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FC"/>
    <w:rsid w:val="00305495"/>
    <w:rsid w:val="00316F38"/>
    <w:rsid w:val="00505901"/>
    <w:rsid w:val="006C6F6A"/>
    <w:rsid w:val="007D6208"/>
    <w:rsid w:val="00850595"/>
    <w:rsid w:val="008A31CA"/>
    <w:rsid w:val="00B8095C"/>
    <w:rsid w:val="00BF48DE"/>
    <w:rsid w:val="00C70044"/>
    <w:rsid w:val="00EE23E5"/>
    <w:rsid w:val="00F210F4"/>
    <w:rsid w:val="00F4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AAFF"/>
  <w15:chartTrackingRefBased/>
  <w15:docId w15:val="{C29F29EA-AAB1-4CA2-A00E-7D5FBFDC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F42BFC"/>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F42BFC"/>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F42BFC"/>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F42BFC"/>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BFC"/>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semiHidden/>
    <w:rsid w:val="00F42BFC"/>
    <w:rPr>
      <w:rFonts w:ascii="Arial" w:eastAsiaTheme="majorEastAsia" w:hAnsi="Arial" w:cs="Arial"/>
      <w:b/>
      <w:bCs/>
      <w:iCs/>
      <w:sz w:val="28"/>
      <w:szCs w:val="28"/>
    </w:rPr>
  </w:style>
  <w:style w:type="character" w:customStyle="1" w:styleId="Heading3Char">
    <w:name w:val="Heading 3 Char"/>
    <w:basedOn w:val="DefaultParagraphFont"/>
    <w:link w:val="Heading3"/>
    <w:rsid w:val="00F42BFC"/>
    <w:rPr>
      <w:rFonts w:ascii="Arial" w:eastAsia="Times New Roman" w:hAnsi="Arial" w:cs="Arial"/>
      <w:szCs w:val="20"/>
    </w:rPr>
  </w:style>
  <w:style w:type="character" w:customStyle="1" w:styleId="Heading4Char">
    <w:name w:val="Heading 4 Char"/>
    <w:basedOn w:val="DefaultParagraphFont"/>
    <w:link w:val="Heading4"/>
    <w:rsid w:val="00F42BFC"/>
    <w:rPr>
      <w:rFonts w:ascii="Arial" w:eastAsia="Times New Roman" w:hAnsi="Arial" w:cs="Arial"/>
      <w:szCs w:val="20"/>
    </w:rPr>
  </w:style>
  <w:style w:type="paragraph" w:styleId="Footer">
    <w:name w:val="footer"/>
    <w:basedOn w:val="Normal"/>
    <w:link w:val="FooterChar"/>
    <w:rsid w:val="00F42BFC"/>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F42BFC"/>
    <w:rPr>
      <w:rFonts w:ascii="Arial" w:eastAsia="Times New Roman" w:hAnsi="Arial" w:cs="Arial"/>
      <w:szCs w:val="20"/>
    </w:rPr>
  </w:style>
  <w:style w:type="paragraph" w:styleId="Header">
    <w:name w:val="header"/>
    <w:basedOn w:val="Normal"/>
    <w:link w:val="HeaderChar"/>
    <w:rsid w:val="00F42BFC"/>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F42BFC"/>
    <w:rPr>
      <w:rFonts w:ascii="Arial" w:eastAsia="Times New Roman" w:hAnsi="Arial" w:cs="Arial"/>
      <w:szCs w:val="20"/>
    </w:rPr>
  </w:style>
  <w:style w:type="character" w:styleId="Hyperlink">
    <w:name w:val="Hyperlink"/>
    <w:uiPriority w:val="99"/>
    <w:unhideWhenUsed/>
    <w:rsid w:val="00F42BFC"/>
    <w:rPr>
      <w:color w:val="0000FF"/>
      <w:u w:val="single"/>
    </w:rPr>
  </w:style>
  <w:style w:type="paragraph" w:customStyle="1" w:styleId="List1">
    <w:name w:val="List 1"/>
    <w:link w:val="List1Char"/>
    <w:rsid w:val="00F42BFC"/>
    <w:pPr>
      <w:spacing w:after="0" w:line="240" w:lineRule="auto"/>
      <w:ind w:hanging="360"/>
      <w:contextualSpacing/>
    </w:pPr>
    <w:rPr>
      <w:rFonts w:ascii="Arial" w:eastAsia="Times New Roman" w:hAnsi="Arial" w:cs="Arial"/>
      <w:szCs w:val="24"/>
    </w:rPr>
  </w:style>
  <w:style w:type="character" w:customStyle="1" w:styleId="List1Char">
    <w:name w:val="List 1 Char"/>
    <w:basedOn w:val="Heading4Char"/>
    <w:link w:val="List1"/>
    <w:rsid w:val="00F42BFC"/>
    <w:rPr>
      <w:rFonts w:ascii="Arial" w:eastAsia="Times New Roman" w:hAnsi="Arial" w:cs="Arial"/>
      <w:szCs w:val="24"/>
    </w:rPr>
  </w:style>
  <w:style w:type="paragraph" w:styleId="List2">
    <w:name w:val="List 2"/>
    <w:uiPriority w:val="99"/>
    <w:semiHidden/>
    <w:unhideWhenUsed/>
    <w:rsid w:val="00F42BFC"/>
    <w:pPr>
      <w:spacing w:after="0" w:line="240" w:lineRule="auto"/>
      <w:ind w:left="720" w:hanging="360"/>
      <w:contextualSpacing/>
    </w:pPr>
    <w:rPr>
      <w:rFonts w:ascii="Arial" w:eastAsia="Times New Roman" w:hAnsi="Arial" w:cs="Arial"/>
      <w:szCs w:val="20"/>
    </w:rPr>
  </w:style>
  <w:style w:type="paragraph" w:styleId="List3">
    <w:name w:val="List 3"/>
    <w:uiPriority w:val="99"/>
    <w:semiHidden/>
    <w:unhideWhenUsed/>
    <w:rsid w:val="00F42BFC"/>
    <w:pPr>
      <w:spacing w:after="0" w:line="240" w:lineRule="auto"/>
      <w:ind w:left="1080" w:hanging="360"/>
      <w:contextualSpacing/>
    </w:pPr>
    <w:rPr>
      <w:rFonts w:ascii="Arial" w:eastAsia="Times New Roman" w:hAnsi="Arial" w:cs="Arial"/>
      <w:szCs w:val="20"/>
    </w:rPr>
  </w:style>
  <w:style w:type="paragraph" w:styleId="List4">
    <w:name w:val="List 4"/>
    <w:link w:val="List4Char"/>
    <w:uiPriority w:val="99"/>
    <w:semiHidden/>
    <w:unhideWhenUsed/>
    <w:rsid w:val="00F42BFC"/>
    <w:pPr>
      <w:spacing w:after="0" w:line="240" w:lineRule="auto"/>
      <w:ind w:left="1440" w:hanging="360"/>
      <w:contextualSpacing/>
    </w:pPr>
    <w:rPr>
      <w:rFonts w:ascii="Arial" w:eastAsia="Times New Roman" w:hAnsi="Arial" w:cs="Arial"/>
      <w:szCs w:val="20"/>
    </w:rPr>
  </w:style>
  <w:style w:type="paragraph" w:customStyle="1" w:styleId="List6">
    <w:name w:val="List 6"/>
    <w:basedOn w:val="List2"/>
    <w:link w:val="List6Char"/>
    <w:rsid w:val="00F42BFC"/>
    <w:pPr>
      <w:spacing w:after="160" w:line="259" w:lineRule="auto"/>
      <w:ind w:left="1800" w:firstLine="0"/>
    </w:pPr>
    <w:rPr>
      <w:szCs w:val="24"/>
    </w:rPr>
  </w:style>
  <w:style w:type="character" w:customStyle="1" w:styleId="List4Char">
    <w:name w:val="List 4 Char"/>
    <w:basedOn w:val="DefaultParagraphFont"/>
    <w:link w:val="List4"/>
    <w:uiPriority w:val="99"/>
    <w:semiHidden/>
    <w:rsid w:val="00F42BFC"/>
    <w:rPr>
      <w:rFonts w:ascii="Arial" w:eastAsia="Times New Roman" w:hAnsi="Arial" w:cs="Arial"/>
      <w:szCs w:val="20"/>
    </w:rPr>
  </w:style>
  <w:style w:type="character" w:customStyle="1" w:styleId="List6Char">
    <w:name w:val="List 6 Char"/>
    <w:basedOn w:val="List4Char"/>
    <w:link w:val="List6"/>
    <w:rsid w:val="00F42BFC"/>
    <w:rPr>
      <w:rFonts w:ascii="Arial" w:eastAsia="Times New Roman" w:hAnsi="Arial" w:cs="Arial"/>
      <w:szCs w:val="24"/>
    </w:rPr>
  </w:style>
  <w:style w:type="paragraph" w:styleId="TOC1">
    <w:name w:val="toc 1"/>
    <w:basedOn w:val="Normal"/>
    <w:next w:val="Normal"/>
    <w:autoRedefine/>
    <w:uiPriority w:val="39"/>
    <w:unhideWhenUsed/>
    <w:rsid w:val="00F42BFC"/>
    <w:pPr>
      <w:spacing w:after="100"/>
    </w:pPr>
  </w:style>
  <w:style w:type="paragraph" w:styleId="TOC2">
    <w:name w:val="toc 2"/>
    <w:basedOn w:val="Normal"/>
    <w:next w:val="Normal"/>
    <w:autoRedefine/>
    <w:uiPriority w:val="39"/>
    <w:unhideWhenUsed/>
    <w:rsid w:val="00F42BFC"/>
    <w:pPr>
      <w:spacing w:after="100"/>
      <w:ind w:left="220"/>
    </w:pPr>
  </w:style>
  <w:style w:type="paragraph" w:styleId="TOC3">
    <w:name w:val="toc 3"/>
    <w:basedOn w:val="Normal"/>
    <w:next w:val="Normal"/>
    <w:autoRedefine/>
    <w:uiPriority w:val="39"/>
    <w:unhideWhenUsed/>
    <w:rsid w:val="00F42BFC"/>
    <w:pPr>
      <w:spacing w:after="100"/>
      <w:ind w:left="440"/>
    </w:pPr>
  </w:style>
  <w:style w:type="paragraph" w:styleId="TOC4">
    <w:name w:val="toc 4"/>
    <w:basedOn w:val="Normal"/>
    <w:next w:val="Normal"/>
    <w:autoRedefine/>
    <w:uiPriority w:val="39"/>
    <w:unhideWhenUsed/>
    <w:rsid w:val="00F42BFC"/>
    <w:pPr>
      <w:spacing w:after="100"/>
      <w:ind w:left="660"/>
    </w:pPr>
  </w:style>
  <w:style w:type="paragraph" w:styleId="TOC5">
    <w:name w:val="toc 5"/>
    <w:basedOn w:val="Normal"/>
    <w:next w:val="Normal"/>
    <w:autoRedefine/>
    <w:uiPriority w:val="39"/>
    <w:semiHidden/>
    <w:unhideWhenUsed/>
    <w:rsid w:val="00F42BFC"/>
    <w:pPr>
      <w:spacing w:after="100"/>
      <w:ind w:left="880"/>
    </w:pPr>
  </w:style>
  <w:style w:type="paragraph" w:styleId="TOC6">
    <w:name w:val="toc 6"/>
    <w:basedOn w:val="Normal"/>
    <w:next w:val="Normal"/>
    <w:autoRedefine/>
    <w:uiPriority w:val="39"/>
    <w:semiHidden/>
    <w:unhideWhenUsed/>
    <w:rsid w:val="00F42BFC"/>
    <w:pPr>
      <w:spacing w:after="100"/>
      <w:ind w:left="1100"/>
    </w:pPr>
  </w:style>
  <w:style w:type="paragraph" w:styleId="TOC7">
    <w:name w:val="toc 7"/>
    <w:basedOn w:val="Normal"/>
    <w:next w:val="Normal"/>
    <w:autoRedefine/>
    <w:uiPriority w:val="39"/>
    <w:semiHidden/>
    <w:unhideWhenUsed/>
    <w:rsid w:val="00F42BFC"/>
    <w:pPr>
      <w:spacing w:after="100"/>
      <w:ind w:left="1320"/>
    </w:pPr>
  </w:style>
  <w:style w:type="paragraph" w:styleId="TOC8">
    <w:name w:val="toc 8"/>
    <w:basedOn w:val="Normal"/>
    <w:next w:val="Normal"/>
    <w:autoRedefine/>
    <w:uiPriority w:val="39"/>
    <w:semiHidden/>
    <w:unhideWhenUsed/>
    <w:rsid w:val="00F42BFC"/>
    <w:pPr>
      <w:spacing w:after="100"/>
      <w:ind w:left="1540"/>
    </w:pPr>
  </w:style>
  <w:style w:type="paragraph" w:styleId="TOC9">
    <w:name w:val="toc 9"/>
    <w:basedOn w:val="Normal"/>
    <w:next w:val="Normal"/>
    <w:autoRedefine/>
    <w:uiPriority w:val="39"/>
    <w:semiHidden/>
    <w:unhideWhenUsed/>
    <w:rsid w:val="00F42BFC"/>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q.osd.mil/dpap/dars/dfars/html/current/239_73.htm"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acq.osd.mil/dpap/dars/dfars/html/current/25224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2020-04-10T16:56:00Z</dcterms:created>
  <dcterms:modified xsi:type="dcterms:W3CDTF">2020-04-14T15:37:00Z</dcterms:modified>
</cp:coreProperties>
</file>