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33A9" w14:textId="77777777" w:rsidR="00A51113" w:rsidRDefault="00A51113">
      <w:pPr>
        <w:sectPr w:rsidR="00A51113">
          <w:pgSz w:w="12240" w:h="15840"/>
          <w:pgMar w:top="1440" w:right="1440" w:bottom="1440" w:left="1440" w:header="720" w:footer="720" w:gutter="0"/>
          <w:cols w:space="720"/>
          <w:docGrid w:linePitch="360"/>
        </w:sectPr>
      </w:pPr>
    </w:p>
    <w:p w14:paraId="2BB094B1" w14:textId="77777777" w:rsidR="00A51113" w:rsidRDefault="00A51113" w:rsidP="00044494">
      <w:pPr>
        <w:pStyle w:val="Heading1"/>
      </w:pPr>
      <w:bookmarkStart w:id="0" w:name="_Toc37677767"/>
      <w:bookmarkStart w:id="1" w:name="_Toc37756655"/>
      <w:r>
        <w:lastRenderedPageBreak/>
        <w:t xml:space="preserve">PGI </w:t>
      </w:r>
      <w:r w:rsidRPr="007B495C">
        <w:t>PART 2</w:t>
      </w:r>
      <w:r>
        <w:t>45</w:t>
      </w:r>
      <w:r w:rsidRPr="007B495C">
        <w:t xml:space="preserve"> - </w:t>
      </w:r>
      <w:r>
        <w:br/>
      </w:r>
      <w:r w:rsidRPr="005B0A1F">
        <w:t>Government Property</w:t>
      </w:r>
      <w:bookmarkEnd w:id="0"/>
      <w:bookmarkEnd w:id="1"/>
    </w:p>
    <w:p w14:paraId="304509EB" w14:textId="77777777" w:rsidR="00A51113" w:rsidRDefault="00A51113">
      <w:r>
        <w:br w:type="page"/>
      </w:r>
      <w:r>
        <w:lastRenderedPageBreak/>
        <w:br/>
      </w:r>
    </w:p>
    <w:p w14:paraId="639A3803" w14:textId="77777777" w:rsidR="00AC7E3C" w:rsidRPr="00455FC3" w:rsidRDefault="00AC7E3C" w:rsidP="00455FC3">
      <w:pPr>
        <w:jc w:val="center"/>
        <w:rPr>
          <w:b/>
        </w:rPr>
      </w:pPr>
      <w:r w:rsidRPr="00455FC3">
        <w:rPr>
          <w:b/>
        </w:rPr>
        <w:t>Table of Contents</w:t>
      </w:r>
    </w:p>
    <w:p w14:paraId="7837A9EB" w14:textId="14C5C55D" w:rsidR="005F5444" w:rsidRDefault="005F5444" w:rsidP="005F5444">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6655" w:history="1">
        <w:r w:rsidRPr="00B873A7">
          <w:rPr>
            <w:rStyle w:val="Hyperlink"/>
            <w:noProof/>
          </w:rPr>
          <w:t>PGI PART 245 -  Government Property</w:t>
        </w:r>
      </w:hyperlink>
    </w:p>
    <w:p w14:paraId="0A7E9C5A" w14:textId="3758015D" w:rsidR="005F5444" w:rsidRDefault="005F5444" w:rsidP="005F5444">
      <w:pPr>
        <w:pStyle w:val="TOC4"/>
        <w:tabs>
          <w:tab w:val="right" w:leader="dot" w:pos="9350"/>
        </w:tabs>
        <w:rPr>
          <w:rFonts w:asciiTheme="minorHAnsi" w:eastAsiaTheme="minorEastAsia" w:hAnsiTheme="minorHAnsi" w:cstheme="minorBidi"/>
          <w:noProof/>
        </w:rPr>
      </w:pPr>
      <w:hyperlink w:anchor="_Toc37756656" w:history="1">
        <w:r w:rsidRPr="00B873A7">
          <w:rPr>
            <w:rStyle w:val="Hyperlink"/>
            <w:b/>
            <w:noProof/>
          </w:rPr>
          <w:t>PGI 245.102-70  Policy.</w:t>
        </w:r>
      </w:hyperlink>
    </w:p>
    <w:p w14:paraId="3640E577" w14:textId="16D6EFF8" w:rsidR="005F5444" w:rsidRDefault="005F5444" w:rsidP="005F5444">
      <w:pPr>
        <w:pStyle w:val="TOC3"/>
        <w:tabs>
          <w:tab w:val="right" w:leader="dot" w:pos="9350"/>
        </w:tabs>
        <w:rPr>
          <w:rFonts w:asciiTheme="minorHAnsi" w:eastAsiaTheme="minorEastAsia" w:hAnsiTheme="minorHAnsi" w:cstheme="minorBidi"/>
          <w:noProof/>
        </w:rPr>
      </w:pPr>
      <w:hyperlink w:anchor="_Toc37756657" w:history="1">
        <w:r w:rsidRPr="00B873A7">
          <w:rPr>
            <w:rStyle w:val="Hyperlink"/>
            <w:b/>
            <w:noProof/>
          </w:rPr>
          <w:t>PGI 245.103  General.</w:t>
        </w:r>
      </w:hyperlink>
    </w:p>
    <w:p w14:paraId="72AFC59E" w14:textId="54F1784B" w:rsidR="005F5444" w:rsidRDefault="005F5444" w:rsidP="005F5444">
      <w:pPr>
        <w:pStyle w:val="TOC4"/>
        <w:tabs>
          <w:tab w:val="right" w:leader="dot" w:pos="9350"/>
        </w:tabs>
        <w:rPr>
          <w:rFonts w:asciiTheme="minorHAnsi" w:eastAsiaTheme="minorEastAsia" w:hAnsiTheme="minorHAnsi" w:cstheme="minorBidi"/>
          <w:noProof/>
        </w:rPr>
      </w:pPr>
      <w:hyperlink w:anchor="_Toc37756658" w:history="1">
        <w:r w:rsidRPr="00B873A7">
          <w:rPr>
            <w:rStyle w:val="Hyperlink"/>
            <w:b/>
            <w:noProof/>
          </w:rPr>
          <w:t>PGI 245.103-70  Furnishing Government property to contractors.</w:t>
        </w:r>
      </w:hyperlink>
    </w:p>
    <w:p w14:paraId="5C3D31DD" w14:textId="03FF80F7" w:rsidR="005F5444" w:rsidRDefault="005F5444" w:rsidP="005F5444">
      <w:pPr>
        <w:pStyle w:val="TOC4"/>
        <w:tabs>
          <w:tab w:val="right" w:leader="dot" w:pos="9350"/>
        </w:tabs>
        <w:rPr>
          <w:rFonts w:asciiTheme="minorHAnsi" w:eastAsiaTheme="minorEastAsia" w:hAnsiTheme="minorHAnsi" w:cstheme="minorBidi"/>
          <w:noProof/>
        </w:rPr>
      </w:pPr>
      <w:hyperlink w:anchor="_Toc37756659" w:history="1">
        <w:r w:rsidRPr="00B873A7">
          <w:rPr>
            <w:rStyle w:val="Hyperlink"/>
            <w:b/>
            <w:noProof/>
          </w:rPr>
          <w:t>PGI 245.103-71  Transferring Government property accountability.</w:t>
        </w:r>
      </w:hyperlink>
    </w:p>
    <w:p w14:paraId="32AEC1AE" w14:textId="1FAC5D7C" w:rsidR="005F5444" w:rsidRDefault="005F5444" w:rsidP="005F5444">
      <w:pPr>
        <w:pStyle w:val="TOC4"/>
        <w:tabs>
          <w:tab w:val="right" w:leader="dot" w:pos="9350"/>
        </w:tabs>
        <w:rPr>
          <w:rFonts w:asciiTheme="minorHAnsi" w:eastAsiaTheme="minorEastAsia" w:hAnsiTheme="minorHAnsi" w:cstheme="minorBidi"/>
          <w:noProof/>
        </w:rPr>
      </w:pPr>
      <w:hyperlink w:anchor="_Toc37756660" w:history="1">
        <w:r w:rsidRPr="00B873A7">
          <w:rPr>
            <w:rStyle w:val="Hyperlink"/>
            <w:b/>
            <w:bCs/>
            <w:noProof/>
          </w:rPr>
          <w:t>PGI 245.103-73  Government property under sustainment contracts</w:t>
        </w:r>
        <w:r w:rsidRPr="00B873A7">
          <w:rPr>
            <w:rStyle w:val="Hyperlink"/>
            <w:b/>
            <w:noProof/>
          </w:rPr>
          <w:t>.</w:t>
        </w:r>
      </w:hyperlink>
    </w:p>
    <w:p w14:paraId="7548F43E" w14:textId="1D5705E7" w:rsidR="005F5444" w:rsidRDefault="005F5444" w:rsidP="005F5444">
      <w:pPr>
        <w:pStyle w:val="TOC4"/>
        <w:tabs>
          <w:tab w:val="right" w:leader="dot" w:pos="9350"/>
        </w:tabs>
        <w:rPr>
          <w:rFonts w:asciiTheme="minorHAnsi" w:eastAsiaTheme="minorEastAsia" w:hAnsiTheme="minorHAnsi" w:cstheme="minorBidi"/>
          <w:noProof/>
        </w:rPr>
      </w:pPr>
      <w:hyperlink w:anchor="_Toc37756661" w:history="1">
        <w:r w:rsidRPr="00B873A7">
          <w:rPr>
            <w:rStyle w:val="Hyperlink"/>
            <w:bCs/>
            <w:noProof/>
          </w:rPr>
          <w:t>PGI 245.103-74  Contracting office responsibilities.</w:t>
        </w:r>
      </w:hyperlink>
    </w:p>
    <w:p w14:paraId="0ACEEC08" w14:textId="0907D84F" w:rsidR="005F5444" w:rsidRDefault="005F5444" w:rsidP="005F5444">
      <w:pPr>
        <w:pStyle w:val="TOC3"/>
        <w:tabs>
          <w:tab w:val="right" w:leader="dot" w:pos="9350"/>
        </w:tabs>
        <w:rPr>
          <w:rFonts w:asciiTheme="minorHAnsi" w:eastAsiaTheme="minorEastAsia" w:hAnsiTheme="minorHAnsi" w:cstheme="minorBidi"/>
          <w:noProof/>
        </w:rPr>
      </w:pPr>
      <w:hyperlink w:anchor="_Toc37756662" w:history="1">
        <w:r w:rsidRPr="00B873A7">
          <w:rPr>
            <w:rStyle w:val="Hyperlink"/>
            <w:b/>
            <w:noProof/>
          </w:rPr>
          <w:t>PGI 245.105  Contractors’ property management system compliance.</w:t>
        </w:r>
      </w:hyperlink>
    </w:p>
    <w:p w14:paraId="3F41ABF9" w14:textId="2198C455" w:rsidR="005F5444" w:rsidRDefault="005F5444" w:rsidP="005F5444">
      <w:pPr>
        <w:pStyle w:val="TOC2"/>
        <w:tabs>
          <w:tab w:val="right" w:leader="dot" w:pos="9350"/>
        </w:tabs>
        <w:rPr>
          <w:rFonts w:asciiTheme="minorHAnsi" w:eastAsiaTheme="minorEastAsia" w:hAnsiTheme="minorHAnsi" w:cstheme="minorBidi"/>
          <w:noProof/>
        </w:rPr>
      </w:pPr>
      <w:hyperlink w:anchor="_Toc37756663" w:history="1">
        <w:r w:rsidRPr="00B873A7">
          <w:rPr>
            <w:rStyle w:val="Hyperlink"/>
            <w:noProof/>
          </w:rPr>
          <w:t>PGI 245.2—SOLICITATION AND EVALUATION PROCEDURES</w:t>
        </w:r>
      </w:hyperlink>
    </w:p>
    <w:p w14:paraId="556F4AB8" w14:textId="211F3767" w:rsidR="005F5444" w:rsidRDefault="005F5444" w:rsidP="005F5444">
      <w:pPr>
        <w:pStyle w:val="TOC3"/>
        <w:tabs>
          <w:tab w:val="right" w:leader="dot" w:pos="9350"/>
        </w:tabs>
        <w:rPr>
          <w:rFonts w:asciiTheme="minorHAnsi" w:eastAsiaTheme="minorEastAsia" w:hAnsiTheme="minorHAnsi" w:cstheme="minorBidi"/>
          <w:noProof/>
        </w:rPr>
      </w:pPr>
      <w:hyperlink w:anchor="_Toc37756664" w:history="1">
        <w:r w:rsidRPr="00B873A7">
          <w:rPr>
            <w:rStyle w:val="Hyperlink"/>
            <w:b/>
            <w:noProof/>
          </w:rPr>
          <w:t>PGI 245.201  Solicitation.</w:t>
        </w:r>
      </w:hyperlink>
    </w:p>
    <w:p w14:paraId="299257D3" w14:textId="3AFA848C" w:rsidR="005F5444" w:rsidRDefault="005F5444" w:rsidP="005F5444">
      <w:pPr>
        <w:pStyle w:val="TOC4"/>
        <w:tabs>
          <w:tab w:val="right" w:leader="dot" w:pos="9350"/>
        </w:tabs>
        <w:rPr>
          <w:rFonts w:asciiTheme="minorHAnsi" w:eastAsiaTheme="minorEastAsia" w:hAnsiTheme="minorHAnsi" w:cstheme="minorBidi"/>
          <w:noProof/>
        </w:rPr>
      </w:pPr>
      <w:hyperlink w:anchor="_Toc37756665" w:history="1">
        <w:r w:rsidRPr="00B873A7">
          <w:rPr>
            <w:rStyle w:val="Hyperlink"/>
            <w:b/>
            <w:noProof/>
          </w:rPr>
          <w:t>PGI 245.201-70  Definitions.</w:t>
        </w:r>
      </w:hyperlink>
    </w:p>
    <w:p w14:paraId="6E401177" w14:textId="3BF7F6B7" w:rsidR="005F5444" w:rsidRDefault="005F5444" w:rsidP="005F5444">
      <w:pPr>
        <w:pStyle w:val="TOC4"/>
        <w:tabs>
          <w:tab w:val="right" w:leader="dot" w:pos="9350"/>
        </w:tabs>
        <w:rPr>
          <w:rFonts w:asciiTheme="minorHAnsi" w:eastAsiaTheme="minorEastAsia" w:hAnsiTheme="minorHAnsi" w:cstheme="minorBidi"/>
          <w:noProof/>
        </w:rPr>
      </w:pPr>
      <w:hyperlink w:anchor="_Toc37756666" w:history="1">
        <w:r w:rsidRPr="00B873A7">
          <w:rPr>
            <w:rStyle w:val="Hyperlink"/>
            <w:b/>
            <w:noProof/>
          </w:rPr>
          <w:t>PGI 245.201-71  Security classification.</w:t>
        </w:r>
      </w:hyperlink>
    </w:p>
    <w:p w14:paraId="2AEAFDF0" w14:textId="21DA4192" w:rsidR="005F5444" w:rsidRDefault="005F5444" w:rsidP="005F5444">
      <w:pPr>
        <w:pStyle w:val="TOC2"/>
        <w:tabs>
          <w:tab w:val="right" w:leader="dot" w:pos="9350"/>
        </w:tabs>
        <w:rPr>
          <w:rFonts w:asciiTheme="minorHAnsi" w:eastAsiaTheme="minorEastAsia" w:hAnsiTheme="minorHAnsi" w:cstheme="minorBidi"/>
          <w:noProof/>
        </w:rPr>
      </w:pPr>
      <w:hyperlink w:anchor="_Toc37756667" w:history="1">
        <w:r w:rsidRPr="00B873A7">
          <w:rPr>
            <w:rStyle w:val="Hyperlink"/>
            <w:rFonts w:cs="Courier New"/>
            <w:noProof/>
          </w:rPr>
          <w:t>PGI 245.4—TITLE TO GOVERNMENT PROPERTY</w:t>
        </w:r>
      </w:hyperlink>
    </w:p>
    <w:p w14:paraId="141CB5D5" w14:textId="4E2AA4D0" w:rsidR="005F5444" w:rsidRDefault="005F5444" w:rsidP="005F5444">
      <w:pPr>
        <w:pStyle w:val="TOC3"/>
        <w:tabs>
          <w:tab w:val="right" w:leader="dot" w:pos="9350"/>
        </w:tabs>
        <w:rPr>
          <w:rFonts w:asciiTheme="minorHAnsi" w:eastAsiaTheme="minorEastAsia" w:hAnsiTheme="minorHAnsi" w:cstheme="minorBidi"/>
          <w:noProof/>
        </w:rPr>
      </w:pPr>
      <w:hyperlink w:anchor="_Toc37756668" w:history="1">
        <w:r w:rsidRPr="00B873A7">
          <w:rPr>
            <w:rStyle w:val="Hyperlink"/>
            <w:rFonts w:cs="Courier New"/>
            <w:b/>
            <w:noProof/>
          </w:rPr>
          <w:t>PGI 245.402  Title to contractor-acquired property.</w:t>
        </w:r>
      </w:hyperlink>
    </w:p>
    <w:p w14:paraId="2C787775" w14:textId="3C2FB604" w:rsidR="005F5444" w:rsidRDefault="005F5444" w:rsidP="005F5444">
      <w:pPr>
        <w:pStyle w:val="TOC4"/>
        <w:tabs>
          <w:tab w:val="right" w:leader="dot" w:pos="9350"/>
        </w:tabs>
        <w:rPr>
          <w:rFonts w:asciiTheme="minorHAnsi" w:eastAsiaTheme="minorEastAsia" w:hAnsiTheme="minorHAnsi" w:cstheme="minorBidi"/>
          <w:noProof/>
        </w:rPr>
      </w:pPr>
      <w:hyperlink w:anchor="_Toc37756669" w:history="1">
        <w:r w:rsidRPr="00B873A7">
          <w:rPr>
            <w:rStyle w:val="Hyperlink"/>
            <w:b/>
            <w:noProof/>
          </w:rPr>
          <w:t>PGI 245.402-70  Policy.</w:t>
        </w:r>
      </w:hyperlink>
    </w:p>
    <w:p w14:paraId="248B9D7F" w14:textId="34E064E6" w:rsidR="005F5444" w:rsidRDefault="005F5444" w:rsidP="005F5444">
      <w:pPr>
        <w:pStyle w:val="TOC4"/>
        <w:tabs>
          <w:tab w:val="right" w:leader="dot" w:pos="9350"/>
        </w:tabs>
        <w:rPr>
          <w:rFonts w:asciiTheme="minorHAnsi" w:eastAsiaTheme="minorEastAsia" w:hAnsiTheme="minorHAnsi" w:cstheme="minorBidi"/>
          <w:noProof/>
        </w:rPr>
      </w:pPr>
      <w:hyperlink w:anchor="_Toc37756670" w:history="1">
        <w:r w:rsidRPr="00B873A7">
          <w:rPr>
            <w:rStyle w:val="Hyperlink"/>
            <w:rFonts w:cs="Courier New"/>
            <w:b/>
            <w:noProof/>
          </w:rPr>
          <w:t>PGI 245.402-71  Delivery of contractor-acquired property.</w:t>
        </w:r>
      </w:hyperlink>
    </w:p>
    <w:p w14:paraId="1B25CA62" w14:textId="4A916E28" w:rsidR="005F5444" w:rsidRDefault="005F5444" w:rsidP="005F5444">
      <w:pPr>
        <w:pStyle w:val="TOC2"/>
        <w:tabs>
          <w:tab w:val="right" w:leader="dot" w:pos="9350"/>
        </w:tabs>
        <w:rPr>
          <w:rFonts w:asciiTheme="minorHAnsi" w:eastAsiaTheme="minorEastAsia" w:hAnsiTheme="minorHAnsi" w:cstheme="minorBidi"/>
          <w:noProof/>
        </w:rPr>
      </w:pPr>
      <w:hyperlink w:anchor="_Toc37756671" w:history="1">
        <w:r w:rsidRPr="00B873A7">
          <w:rPr>
            <w:rStyle w:val="Hyperlink"/>
            <w:noProof/>
          </w:rPr>
          <w:t>PGI 245.6—REPORTING, REUTILIZATION, AND DISPOSAL</w:t>
        </w:r>
      </w:hyperlink>
    </w:p>
    <w:p w14:paraId="13D1E2C0" w14:textId="3B1810C9" w:rsidR="005F5444" w:rsidRDefault="005F5444" w:rsidP="005F5444">
      <w:pPr>
        <w:pStyle w:val="TOC4"/>
        <w:tabs>
          <w:tab w:val="right" w:leader="dot" w:pos="9350"/>
        </w:tabs>
        <w:rPr>
          <w:rFonts w:asciiTheme="minorHAnsi" w:eastAsiaTheme="minorEastAsia" w:hAnsiTheme="minorHAnsi" w:cstheme="minorBidi"/>
          <w:noProof/>
        </w:rPr>
      </w:pPr>
      <w:hyperlink w:anchor="_Toc37756672" w:history="1">
        <w:r w:rsidRPr="00B873A7">
          <w:rPr>
            <w:rStyle w:val="Hyperlink"/>
            <w:noProof/>
          </w:rPr>
          <w:t>PGI 245.602-70  Plant clearance procedures.</w:t>
        </w:r>
      </w:hyperlink>
    </w:p>
    <w:p w14:paraId="43196956" w14:textId="75F4AEB9" w:rsidR="00A51113" w:rsidRDefault="005F5444" w:rsidP="00D2590F">
      <w:pPr>
        <w:jc w:val="center"/>
      </w:pPr>
      <w:r>
        <w:fldChar w:fldCharType="end"/>
      </w:r>
      <w:r w:rsidR="00A51113" w:rsidRPr="0086749F">
        <w:rPr>
          <w:i/>
          <w:szCs w:val="24"/>
        </w:rPr>
        <w:t xml:space="preserve">(Revised </w:t>
      </w:r>
      <w:r w:rsidR="00A51113">
        <w:rPr>
          <w:i/>
          <w:szCs w:val="24"/>
        </w:rPr>
        <w:t>March 23, 2018</w:t>
      </w:r>
      <w:r w:rsidR="00A51113" w:rsidRPr="0086749F">
        <w:rPr>
          <w:i/>
          <w:szCs w:val="24"/>
        </w:rPr>
        <w:t>)</w:t>
      </w:r>
    </w:p>
    <w:p w14:paraId="40EAD8F1" w14:textId="77777777" w:rsidR="00A51113" w:rsidRDefault="00A51113" w:rsidP="00D2590F">
      <w:pPr>
        <w:rPr>
          <w:b/>
        </w:rPr>
      </w:pPr>
      <w:r>
        <w:br/>
      </w:r>
      <w:r w:rsidRPr="0086749F">
        <w:rPr>
          <w:b/>
        </w:rPr>
        <w:t xml:space="preserve">PGI 245.1 - GENERAL </w:t>
      </w:r>
    </w:p>
    <w:p w14:paraId="0C916115" w14:textId="77777777" w:rsidR="00A51113" w:rsidRDefault="00A51113" w:rsidP="00D2590F">
      <w:pPr>
        <w:pStyle w:val="Heading4"/>
      </w:pPr>
      <w:r>
        <w:rPr>
          <w:b/>
        </w:rPr>
        <w:lastRenderedPageBreak/>
        <w:br/>
      </w:r>
      <w:bookmarkStart w:id="2" w:name="_Toc37677768"/>
      <w:bookmarkStart w:id="3" w:name="_Toc37756656"/>
      <w:r w:rsidRPr="0086749F">
        <w:rPr>
          <w:b/>
        </w:rPr>
        <w:t>PGI 245.102-</w:t>
      </w:r>
      <w:proofErr w:type="gramStart"/>
      <w:r w:rsidRPr="0086749F">
        <w:rPr>
          <w:b/>
        </w:rPr>
        <w:t>70  Policy</w:t>
      </w:r>
      <w:proofErr w:type="gramEnd"/>
      <w:r w:rsidRPr="0086749F">
        <w:rPr>
          <w:b/>
        </w:rPr>
        <w:t>.</w:t>
      </w:r>
      <w:bookmarkEnd w:id="2"/>
      <w:bookmarkEnd w:id="3"/>
    </w:p>
    <w:p w14:paraId="404619B4" w14:textId="77777777" w:rsidR="00A51113" w:rsidRDefault="00A51113" w:rsidP="00D2590F">
      <w:r>
        <w:rPr>
          <w:b/>
          <w:szCs w:val="24"/>
        </w:rPr>
        <w:br/>
      </w:r>
      <w:r w:rsidRPr="0086749F">
        <w:rPr>
          <w:szCs w:val="24"/>
        </w:rPr>
        <w:t>(1)  A basic principle of the Federal Acquisition Regulations System is that, upon contract award, contractors bring all the necessary organization, experience, a</w:t>
      </w:r>
      <w:smartTag w:uri="urn:schemas-microsoft-com:office:smarttags" w:element="PersonName">
        <w:r w:rsidRPr="0086749F">
          <w:rPr>
            <w:szCs w:val="24"/>
          </w:rPr>
          <w:t>cco</w:t>
        </w:r>
      </w:smartTag>
      <w:r w:rsidRPr="0086749F">
        <w:rPr>
          <w:szCs w:val="24"/>
        </w:rPr>
        <w:t>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14:paraId="5C54D545" w14:textId="77777777" w:rsidR="00A51113" w:rsidRDefault="00A51113" w:rsidP="00D2590F">
      <w:r>
        <w:br/>
      </w:r>
      <w:r w:rsidRPr="0086749F">
        <w:t xml:space="preserve">(2)  </w:t>
      </w:r>
      <w:r w:rsidRPr="0086749F">
        <w:rPr>
          <w:bCs/>
        </w:rPr>
        <w:t>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w:p w14:paraId="3D86B1D3" w14:textId="77777777" w:rsidR="00A51113" w:rsidRDefault="00A51113" w:rsidP="00D2590F">
      <w:pPr>
        <w:pStyle w:val="Heading3"/>
      </w:pPr>
      <w:r>
        <w:rPr>
          <w:szCs w:val="24"/>
        </w:rPr>
        <w:br/>
      </w:r>
      <w:bookmarkStart w:id="4" w:name="_Toc37415908"/>
      <w:bookmarkStart w:id="5" w:name="_Toc37677769"/>
      <w:bookmarkStart w:id="6" w:name="_Toc37756657"/>
      <w:r w:rsidRPr="0086749F">
        <w:rPr>
          <w:b/>
          <w:szCs w:val="24"/>
        </w:rPr>
        <w:t>PGI 245.103  General.</w:t>
      </w:r>
      <w:bookmarkEnd w:id="4"/>
      <w:bookmarkEnd w:id="5"/>
      <w:bookmarkEnd w:id="6"/>
    </w:p>
    <w:p w14:paraId="7360CBDC" w14:textId="77777777" w:rsidR="00A51113" w:rsidRDefault="00A51113" w:rsidP="00D2590F">
      <w:pPr>
        <w:pStyle w:val="Heading4"/>
      </w:pPr>
      <w:r>
        <w:rPr>
          <w:b/>
          <w:szCs w:val="24"/>
        </w:rPr>
        <w:br/>
      </w:r>
      <w:bookmarkStart w:id="7" w:name="_Toc37677770"/>
      <w:bookmarkStart w:id="8" w:name="_Toc37756658"/>
      <w:r w:rsidRPr="0086749F">
        <w:rPr>
          <w:b/>
          <w:szCs w:val="24"/>
        </w:rPr>
        <w:t>PGI 245.103-70  Furnishing Government property to contractors.</w:t>
      </w:r>
      <w:bookmarkEnd w:id="7"/>
      <w:bookmarkEnd w:id="8"/>
    </w:p>
    <w:p w14:paraId="63799973" w14:textId="77777777" w:rsidR="00A51113" w:rsidRDefault="00A51113" w:rsidP="00D2590F">
      <w:pPr>
        <w:pStyle w:val="List2"/>
      </w:pPr>
      <w:r>
        <w:rPr>
          <w:b/>
          <w:szCs w:val="24"/>
        </w:rPr>
        <w:br/>
      </w:r>
      <w:r w:rsidRPr="0086749F">
        <w:rPr>
          <w:szCs w:val="24"/>
        </w:rP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14:paraId="4B00CB96" w14:textId="77777777" w:rsidR="00A51113" w:rsidRDefault="00A51113" w:rsidP="00D2590F">
      <w:pPr>
        <w:pStyle w:val="List2"/>
      </w:pPr>
      <w:r>
        <w:rPr>
          <w:szCs w:val="24"/>
        </w:rPr>
        <w:br/>
      </w:r>
      <w:r w:rsidRPr="0086749F">
        <w:rPr>
          <w:szCs w:val="24"/>
        </w:rPr>
        <w:t>(2)  Prior to furnishing Government property to the contractor, the contracting officer shall ensure that each of the requirements of FAR 45.102 are addressed as follows, and documented in the contracting file—</w:t>
      </w:r>
    </w:p>
    <w:p w14:paraId="788F082A" w14:textId="77777777" w:rsidR="00A51113" w:rsidRDefault="00A51113" w:rsidP="00796F8F">
      <w:pPr>
        <w:pStyle w:val="List3"/>
      </w:pPr>
      <w:r>
        <w:lastRenderedPageBreak/>
        <w:br/>
      </w:r>
      <w:r w:rsidRPr="0086749F">
        <w:t xml:space="preserve">(i) </w:t>
      </w:r>
      <w:r w:rsidRPr="0086749F">
        <w:rPr>
          <w:i/>
        </w:rPr>
        <w:t>Element 1: In the Government’s best interest.</w:t>
      </w:r>
      <w:r w:rsidRPr="0086749F">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14:paraId="223928D3" w14:textId="77777777" w:rsidR="00A51113" w:rsidRDefault="00A51113" w:rsidP="00D2590F">
      <w:pPr>
        <w:pStyle w:val="List4"/>
      </w:pPr>
      <w:r>
        <w:rPr>
          <w:szCs w:val="24"/>
        </w:rPr>
        <w:br/>
      </w:r>
      <w:r w:rsidRPr="0086749F">
        <w:rPr>
          <w:szCs w:val="24"/>
        </w:rPr>
        <w:t>(A) Economy – Furnishing Government property is the lowest cost or price alternative.</w:t>
      </w:r>
    </w:p>
    <w:p w14:paraId="05DFD9FB" w14:textId="77777777" w:rsidR="00A51113" w:rsidRDefault="00A51113" w:rsidP="00D2590F">
      <w:pPr>
        <w:pStyle w:val="List4"/>
      </w:pPr>
      <w:r>
        <w:rPr>
          <w:szCs w:val="24"/>
        </w:rPr>
        <w:br/>
      </w:r>
      <w:r w:rsidRPr="0086749F">
        <w:rPr>
          <w:szCs w:val="24"/>
        </w:rPr>
        <w:t>(B) Standardization – There is a critical need for precise replication.</w:t>
      </w:r>
    </w:p>
    <w:p w14:paraId="77BA35EA" w14:textId="77777777" w:rsidR="00A51113" w:rsidRDefault="00A51113" w:rsidP="00D2590F">
      <w:pPr>
        <w:pStyle w:val="List4"/>
      </w:pPr>
      <w:r>
        <w:rPr>
          <w:szCs w:val="24"/>
        </w:rPr>
        <w:br/>
      </w:r>
      <w:r w:rsidRPr="0086749F">
        <w:rPr>
          <w:szCs w:val="24"/>
        </w:rPr>
        <w:t>(C) Security – Government property is needed due to national security issues/concerns.</w:t>
      </w:r>
    </w:p>
    <w:p w14:paraId="3DB35A01" w14:textId="77777777" w:rsidR="00A51113" w:rsidRDefault="00A51113" w:rsidP="00D2590F">
      <w:pPr>
        <w:pStyle w:val="List4"/>
      </w:pPr>
      <w:r>
        <w:rPr>
          <w:szCs w:val="24"/>
        </w:rPr>
        <w:br/>
      </w:r>
      <w:r w:rsidRPr="0086749F">
        <w:rPr>
          <w:szCs w:val="24"/>
        </w:rPr>
        <w:t>(D) Expedite production – Government property is crucial to achieving timely or accelerated delivery of a supply item or service.</w:t>
      </w:r>
    </w:p>
    <w:p w14:paraId="2490A5EB" w14:textId="77777777" w:rsidR="00A51113" w:rsidRDefault="00A51113" w:rsidP="00D2590F">
      <w:pPr>
        <w:pStyle w:val="List4"/>
      </w:pPr>
      <w:r>
        <w:rPr>
          <w:szCs w:val="24"/>
        </w:rPr>
        <w:br/>
      </w:r>
      <w:r w:rsidRPr="0086749F">
        <w:rPr>
          <w:szCs w:val="24"/>
        </w:rPr>
        <w:t>(E) Scarcity – The Government can obtain scarce items, or is the only source of property necessary for successful execution of a contract.</w:t>
      </w:r>
    </w:p>
    <w:p w14:paraId="5C39DBC5" w14:textId="77777777" w:rsidR="00A51113" w:rsidRDefault="00A51113" w:rsidP="00D2590F">
      <w:pPr>
        <w:pStyle w:val="List4"/>
      </w:pPr>
      <w:r>
        <w:rPr>
          <w:szCs w:val="24"/>
        </w:rPr>
        <w:br/>
      </w:r>
      <w:r w:rsidRPr="0086749F">
        <w:rPr>
          <w:szCs w:val="24"/>
        </w:rPr>
        <w:t>(F) Maintain the industrial base – Government property is needed to ensure future capability to obtain a particular supply item or service.</w:t>
      </w:r>
    </w:p>
    <w:p w14:paraId="32B105A2" w14:textId="77777777" w:rsidR="00A51113" w:rsidRDefault="00A51113" w:rsidP="00D2590F">
      <w:pPr>
        <w:pStyle w:val="List4"/>
      </w:pPr>
      <w:r>
        <w:rPr>
          <w:szCs w:val="24"/>
        </w:rPr>
        <w:br/>
      </w:r>
      <w:r w:rsidRPr="0086749F">
        <w:rPr>
          <w:szCs w:val="24"/>
        </w:rPr>
        <w:t>(G) Contract type – Government property will enable the Government to obtain a more favorable contract type.</w:t>
      </w:r>
    </w:p>
    <w:p w14:paraId="4C31F55D" w14:textId="77777777" w:rsidR="00A51113" w:rsidRDefault="00A51113" w:rsidP="00D2590F">
      <w:pPr>
        <w:pStyle w:val="List3"/>
      </w:pPr>
      <w:r>
        <w:rPr>
          <w:szCs w:val="24"/>
        </w:rPr>
        <w:br/>
      </w:r>
      <w:r w:rsidRPr="0086749F">
        <w:rPr>
          <w:szCs w:val="24"/>
        </w:rPr>
        <w:t xml:space="preserve">(ii) </w:t>
      </w:r>
      <w:r w:rsidRPr="0086749F">
        <w:rPr>
          <w:i/>
          <w:szCs w:val="24"/>
        </w:rPr>
        <w:t>Element 2</w:t>
      </w:r>
      <w:r w:rsidRPr="0086749F">
        <w:rPr>
          <w:szCs w:val="24"/>
        </w:rPr>
        <w:t xml:space="preserve">:  </w:t>
      </w:r>
      <w:r w:rsidRPr="0086749F">
        <w:rPr>
          <w:i/>
          <w:szCs w:val="24"/>
        </w:rPr>
        <w:t xml:space="preserve">Overall benefit.  </w:t>
      </w:r>
      <w:r w:rsidRPr="0086749F">
        <w:rPr>
          <w:szCs w:val="24"/>
        </w:rPr>
        <w:t>Demonstrate that the overall benefit to the acquisition significantly outweighs the increased cost of administration, including property disposal.</w:t>
      </w:r>
    </w:p>
    <w:p w14:paraId="339EBEA3" w14:textId="77777777" w:rsidR="00A51113" w:rsidRDefault="00A51113" w:rsidP="00D2590F">
      <w:pPr>
        <w:pStyle w:val="List4"/>
      </w:pPr>
      <w:r>
        <w:rPr>
          <w:szCs w:val="24"/>
        </w:rPr>
        <w:br/>
      </w:r>
      <w:r w:rsidRPr="0086749F">
        <w:rPr>
          <w:szCs w:val="24"/>
        </w:rP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14:paraId="6C04427D" w14:textId="77777777" w:rsidR="00A51113" w:rsidRDefault="00A51113" w:rsidP="00D2590F">
      <w:pPr>
        <w:pStyle w:val="List4"/>
      </w:pPr>
      <w:r>
        <w:rPr>
          <w:szCs w:val="24"/>
        </w:rPr>
        <w:lastRenderedPageBreak/>
        <w:br/>
      </w:r>
      <w:r w:rsidRPr="0086749F">
        <w:rPr>
          <w:szCs w:val="24"/>
        </w:rPr>
        <w:t>(B)  Costs must be either less than what the contractor might otherwise incur, or the demonstrated benefit to the Government must outweigh these additional contract costs.</w:t>
      </w:r>
    </w:p>
    <w:p w14:paraId="7A7795FD" w14:textId="77777777" w:rsidR="00A51113" w:rsidRDefault="00A51113" w:rsidP="00D2590F">
      <w:pPr>
        <w:pStyle w:val="List3"/>
      </w:pPr>
      <w:r>
        <w:rPr>
          <w:szCs w:val="24"/>
        </w:rPr>
        <w:br/>
      </w:r>
      <w:r w:rsidRPr="0086749F">
        <w:rPr>
          <w:szCs w:val="24"/>
        </w:rPr>
        <w:t xml:space="preserve">(iii)  </w:t>
      </w:r>
      <w:r w:rsidRPr="0086749F">
        <w:rPr>
          <w:i/>
          <w:szCs w:val="24"/>
        </w:rPr>
        <w:t>Element 3:  Government assumption of risk.</w:t>
      </w:r>
      <w:r w:rsidRPr="0086749F">
        <w:rPr>
          <w:szCs w:val="24"/>
        </w:rPr>
        <w:t xml:space="preserve">  Demonstrate that providing the property does not substantially increase the Government’s risk.</w:t>
      </w:r>
    </w:p>
    <w:p w14:paraId="58C2105B" w14:textId="77777777" w:rsidR="00A51113" w:rsidRDefault="00A51113" w:rsidP="00D2590F">
      <w:pPr>
        <w:pStyle w:val="List4"/>
      </w:pPr>
      <w:r>
        <w:rPr>
          <w:szCs w:val="24"/>
        </w:rPr>
        <w:br/>
      </w:r>
      <w:r w:rsidRPr="0086749F">
        <w:rPr>
          <w:szCs w:val="24"/>
        </w:rP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14:paraId="27FA603B" w14:textId="77777777" w:rsidR="00A51113" w:rsidRDefault="00A51113" w:rsidP="00D2590F">
      <w:pPr>
        <w:pStyle w:val="List4"/>
      </w:pPr>
      <w:r>
        <w:rPr>
          <w:szCs w:val="24"/>
        </w:rPr>
        <w:br/>
      </w:r>
      <w:r w:rsidRPr="0086749F">
        <w:rPr>
          <w:szCs w:val="24"/>
        </w:rPr>
        <w:t>(B)  Other risks may need to be considered, discussed, and documented.</w:t>
      </w:r>
    </w:p>
    <w:p w14:paraId="4B4A83DC" w14:textId="77777777" w:rsidR="00A51113" w:rsidRDefault="00A51113" w:rsidP="00D2590F">
      <w:pPr>
        <w:pStyle w:val="List3"/>
      </w:pPr>
      <w:r>
        <w:rPr>
          <w:szCs w:val="24"/>
        </w:rPr>
        <w:br/>
      </w:r>
      <w:r w:rsidRPr="0086749F">
        <w:rPr>
          <w:szCs w:val="24"/>
        </w:rPr>
        <w:t xml:space="preserve">(iv)  </w:t>
      </w:r>
      <w:r w:rsidRPr="0086749F">
        <w:rPr>
          <w:i/>
          <w:szCs w:val="24"/>
        </w:rPr>
        <w:t>Element 4:  Government requirements cannot otherwise be met</w:t>
      </w:r>
      <w:r w:rsidRPr="0086749F">
        <w:rPr>
          <w:szCs w:val="24"/>
        </w:rPr>
        <w:t>.  Document why the furnishing of Government property is critical and significant to meeting acquisition plan objectives.</w:t>
      </w:r>
    </w:p>
    <w:p w14:paraId="04B17341" w14:textId="77777777" w:rsidR="00A51113" w:rsidRDefault="00A51113" w:rsidP="00D2590F">
      <w:pPr>
        <w:pStyle w:val="Heading4"/>
      </w:pPr>
      <w:r>
        <w:rPr>
          <w:szCs w:val="24"/>
        </w:rPr>
        <w:br/>
      </w:r>
      <w:bookmarkStart w:id="9" w:name="_Toc37677771"/>
      <w:bookmarkStart w:id="10" w:name="_Toc37756659"/>
      <w:r w:rsidRPr="0086749F">
        <w:rPr>
          <w:b/>
          <w:szCs w:val="24"/>
        </w:rPr>
        <w:t>PGI 245.103-71  Transferring Government property a</w:t>
      </w:r>
      <w:smartTag w:uri="urn:schemas-microsoft-com:office:smarttags" w:element="PersonName">
        <w:r w:rsidRPr="0086749F">
          <w:rPr>
            <w:b/>
            <w:szCs w:val="24"/>
          </w:rPr>
          <w:t>cco</w:t>
        </w:r>
      </w:smartTag>
      <w:r w:rsidRPr="0086749F">
        <w:rPr>
          <w:b/>
          <w:szCs w:val="24"/>
        </w:rPr>
        <w:t>untability.</w:t>
      </w:r>
      <w:bookmarkEnd w:id="9"/>
      <w:bookmarkEnd w:id="10"/>
      <w:r w:rsidRPr="0086749F">
        <w:rPr>
          <w:b/>
          <w:szCs w:val="24"/>
        </w:rPr>
        <w:t xml:space="preserve"> </w:t>
      </w:r>
    </w:p>
    <w:p w14:paraId="269F4068" w14:textId="77777777" w:rsidR="00A51113" w:rsidRDefault="00A51113" w:rsidP="00D2590F">
      <w:pPr>
        <w:pStyle w:val="List2"/>
      </w:pPr>
      <w:r>
        <w:rPr>
          <w:b/>
          <w:szCs w:val="24"/>
        </w:rPr>
        <w:br/>
      </w:r>
      <w:r w:rsidRPr="0086749F">
        <w:rPr>
          <w:szCs w:val="24"/>
        </w:rPr>
        <w:t xml:space="preserve">(1)  Use only the Standard Form 30 to execute transfers of Government property accountability between existing contracts.  </w:t>
      </w:r>
      <w:r w:rsidRPr="0086749F">
        <w:rPr>
          <w:bCs/>
          <w:szCs w:val="24"/>
        </w:rPr>
        <w:t>No other forms or documents, such as the DD Form 1149, Requisition and Invoice/Shipping Document, are authorized for the transfer of Government property accountability from one contract to another.</w:t>
      </w:r>
    </w:p>
    <w:p w14:paraId="4676ADAC" w14:textId="77777777" w:rsidR="00A51113" w:rsidRDefault="00A51113" w:rsidP="00D2590F">
      <w:pPr>
        <w:pStyle w:val="List2"/>
      </w:pPr>
      <w:r>
        <w:rPr>
          <w:szCs w:val="24"/>
        </w:rPr>
        <w:br/>
      </w:r>
      <w:r w:rsidRPr="0086749F">
        <w:rPr>
          <w:szCs w:val="24"/>
        </w:rPr>
        <w:t xml:space="preserve">(2)  </w:t>
      </w:r>
      <w:r w:rsidRPr="0086749F">
        <w:rPr>
          <w:bCs/>
          <w:szCs w:val="24"/>
        </w:rPr>
        <w:t>Modifications for the transfer of Government property accountability shall:</w:t>
      </w:r>
    </w:p>
    <w:p w14:paraId="51F17BCC" w14:textId="77777777" w:rsidR="00A51113" w:rsidRDefault="00A51113" w:rsidP="00796F8F">
      <w:pPr>
        <w:pStyle w:val="List3"/>
      </w:pPr>
      <w:r>
        <w:rPr>
          <w:bCs/>
        </w:rPr>
        <w:br/>
      </w:r>
      <w:r w:rsidRPr="0086749F">
        <w:rPr>
          <w:bCs/>
        </w:rPr>
        <w:t xml:space="preserve">(i)  Use the fillable PDF formats prescribed at </w:t>
      </w:r>
      <w:hyperlink r:id="rId6" w:history="1">
        <w:r w:rsidRPr="00EF4EB4">
          <w:rPr>
            <w:rStyle w:val="Hyperlink"/>
            <w:bCs/>
          </w:rPr>
          <w:t>PGI 245.103-72</w:t>
        </w:r>
      </w:hyperlink>
      <w:r w:rsidRPr="0086749F">
        <w:rPr>
          <w:bCs/>
        </w:rPr>
        <w:t>.</w:t>
      </w:r>
    </w:p>
    <w:p w14:paraId="3827128F" w14:textId="77777777" w:rsidR="00A51113" w:rsidRDefault="00A51113" w:rsidP="00D2590F">
      <w:pPr>
        <w:pStyle w:val="List3"/>
      </w:pPr>
      <w:r>
        <w:rPr>
          <w:bCs/>
          <w:szCs w:val="24"/>
        </w:rPr>
        <w:br/>
      </w:r>
      <w:r w:rsidRPr="0086749F">
        <w:rPr>
          <w:bCs/>
          <w:szCs w:val="24"/>
        </w:rPr>
        <w:t>(ii)  Incorporate FAR clauses 52.245-1, Government Property, and 52.245-9, Use and Charges, and th</w:t>
      </w:r>
      <w:r>
        <w:rPr>
          <w:bCs/>
          <w:szCs w:val="24"/>
        </w:rPr>
        <w:t>e associated DFARS clauses (see</w:t>
      </w:r>
      <w:r w:rsidRPr="00971EF1">
        <w:rPr>
          <w:bCs/>
          <w:szCs w:val="24"/>
        </w:rPr>
        <w:t xml:space="preserve"> </w:t>
      </w:r>
      <w:hyperlink r:id="rId7" w:anchor="245.107" w:history="1">
        <w:r w:rsidRPr="00971EF1">
          <w:rPr>
            <w:rStyle w:val="Hyperlink"/>
            <w:bCs/>
            <w:szCs w:val="24"/>
          </w:rPr>
          <w:t>245.107</w:t>
        </w:r>
      </w:hyperlink>
      <w:r w:rsidRPr="0086749F">
        <w:rPr>
          <w:bCs/>
          <w:szCs w:val="24"/>
        </w:rPr>
        <w:t>, Contract clauses) to the extent that the gaining contract lacks the required clauses.</w:t>
      </w:r>
    </w:p>
    <w:p w14:paraId="4DFFBC6F" w14:textId="77777777" w:rsidR="00A51113" w:rsidRDefault="00A51113" w:rsidP="00D2590F">
      <w:r>
        <w:lastRenderedPageBreak/>
        <w:br/>
      </w:r>
      <w:r w:rsidRPr="0086749F">
        <w:t>PGI 245.103-72 Government-furnished property attachments to solicitations and awards.</w:t>
      </w:r>
    </w:p>
    <w:p w14:paraId="66ECC8E9" w14:textId="77777777" w:rsidR="00A51113" w:rsidRDefault="00A51113" w:rsidP="00D2590F">
      <w:pPr>
        <w:pStyle w:val="List1"/>
      </w:pPr>
      <w:r>
        <w:rPr>
          <w:bCs/>
        </w:rPr>
        <w:br/>
      </w:r>
      <w:r w:rsidRPr="0086749F">
        <w:rPr>
          <w:bCs/>
        </w:rPr>
        <w:t>(a)  When Government-furnished property (GFP) is anticipated, include the fillable electronic “Requisitioned Government Furnished Property” and/or “Scheduled Government Furnished Property” formats provided at the URLs listed in paragraphs (b) and (c) in solicitations and awards to—</w:t>
      </w:r>
    </w:p>
    <w:p w14:paraId="24E483A3" w14:textId="77777777" w:rsidR="00A51113" w:rsidRDefault="00A51113" w:rsidP="00D2590F">
      <w:pPr>
        <w:pStyle w:val="List2"/>
        <w:rPr>
          <w:b/>
        </w:rPr>
      </w:pPr>
      <w:r>
        <w:rPr>
          <w:b/>
          <w:bCs/>
          <w:szCs w:val="24"/>
        </w:rPr>
        <w:br/>
      </w:r>
      <w:r w:rsidRPr="0086749F">
        <w:rPr>
          <w:bCs/>
          <w:szCs w:val="24"/>
        </w:rPr>
        <w:t xml:space="preserve">(1)  Specify the required GFP data elements; and </w:t>
      </w:r>
    </w:p>
    <w:p w14:paraId="6D9ADAC1" w14:textId="77777777" w:rsidR="00A51113" w:rsidRDefault="00A51113" w:rsidP="00D2590F">
      <w:pPr>
        <w:pStyle w:val="List2"/>
        <w:rPr>
          <w:b/>
        </w:rPr>
      </w:pPr>
      <w:r>
        <w:rPr>
          <w:b/>
          <w:bCs/>
          <w:szCs w:val="24"/>
        </w:rPr>
        <w:br/>
      </w:r>
      <w:r w:rsidRPr="0086749F">
        <w:rPr>
          <w:bCs/>
          <w:szCs w:val="24"/>
        </w:rPr>
        <w:t>(2)  Accomplish the electronic transmission of requisitioned GFP lists and/or scheduled GFP lists.</w:t>
      </w:r>
    </w:p>
    <w:p w14:paraId="68C71672" w14:textId="77777777" w:rsidR="00A51113" w:rsidRDefault="00A51113" w:rsidP="00D2590F">
      <w:pPr>
        <w:pStyle w:val="List1"/>
      </w:pPr>
      <w:r>
        <w:rPr>
          <w:b/>
          <w:bCs/>
        </w:rPr>
        <w:br/>
      </w:r>
      <w:r w:rsidRPr="0086749F">
        <w:rPr>
          <w:bCs/>
        </w:rPr>
        <w:t xml:space="preserve">(b)  </w:t>
      </w:r>
      <w:r w:rsidRPr="0086749F">
        <w:rPr>
          <w:bCs/>
          <w:i/>
        </w:rPr>
        <w:t>Requisitioned Government-furnished property</w:t>
      </w:r>
      <w:r w:rsidRPr="0086749F">
        <w:rPr>
          <w:bCs/>
        </w:rPr>
        <w:t>.  This format is a listing of Government Property to be authorized for contractor requisition from DoD supply sources in accordance with the clause at FAR 52.251-1.  The fillable PDF format for this attachment is available at the DoD Procurement Toolbox</w:t>
      </w:r>
      <w:r>
        <w:rPr>
          <w:bCs/>
        </w:rPr>
        <w:t xml:space="preserve">  </w:t>
      </w:r>
      <w:hyperlink r:id="rId8" w:history="1">
        <w:r w:rsidRPr="0086749F">
          <w:rPr>
            <w:rStyle w:val="Hyperlink"/>
            <w:bCs/>
          </w:rPr>
          <w:t>http://dodprocurementtoolbox.org/site/detail/id/26</w:t>
        </w:r>
      </w:hyperlink>
      <w:r w:rsidRPr="0086749F">
        <w:rPr>
          <w:bCs/>
        </w:rPr>
        <w:t xml:space="preserve">.  In accordance with </w:t>
      </w:r>
      <w:hyperlink r:id="rId9" w:anchor="204.7105" w:history="1">
        <w:r w:rsidRPr="0086749F">
          <w:rPr>
            <w:rStyle w:val="Hyperlink"/>
            <w:bCs/>
          </w:rPr>
          <w:t>PGI 204.7105</w:t>
        </w:r>
      </w:hyperlink>
      <w:r w:rsidRPr="0086749F">
        <w:rPr>
          <w:bCs/>
        </w:rPr>
        <w:t>(b)(5), enter a numerical sequence number for the attachment.</w:t>
      </w:r>
    </w:p>
    <w:p w14:paraId="38B508D4" w14:textId="77777777" w:rsidR="00A51113" w:rsidRDefault="00A51113" w:rsidP="00D2590F">
      <w:pPr>
        <w:pStyle w:val="List1"/>
      </w:pPr>
      <w:r>
        <w:rPr>
          <w:b/>
          <w:bCs/>
        </w:rPr>
        <w:br/>
      </w:r>
      <w:r w:rsidRPr="0086749F">
        <w:rPr>
          <w:bCs/>
        </w:rPr>
        <w:t xml:space="preserve">(c)  </w:t>
      </w:r>
      <w:r w:rsidRPr="0086749F">
        <w:rPr>
          <w:bCs/>
          <w:i/>
        </w:rPr>
        <w:t>Scheduled Government-furnished property</w:t>
      </w:r>
      <w:r w:rsidRPr="0086749F">
        <w:rPr>
          <w:bCs/>
        </w:rPr>
        <w:t xml:space="preserve">.  This format is a listing of the Government property to be provided, including when major end items are being provided under a modification or upgrade contract; or when reparables are being provided under a repair, modification, or overhaul contract.  The fillable PDF format for this attachment is available at the DoD Procurement Toolbox </w:t>
      </w:r>
      <w:hyperlink r:id="rId10" w:history="1">
        <w:r w:rsidRPr="0086749F">
          <w:rPr>
            <w:rStyle w:val="Hyperlink"/>
            <w:bCs/>
          </w:rPr>
          <w:t>http://dodprocurementtoolbox.org/site/detail/id/26</w:t>
        </w:r>
      </w:hyperlink>
      <w:r w:rsidRPr="0086749F">
        <w:rPr>
          <w:bCs/>
        </w:rPr>
        <w:t xml:space="preserve">.  In accordance with </w:t>
      </w:r>
      <w:hyperlink r:id="rId11" w:anchor="204.7105" w:history="1">
        <w:r w:rsidRPr="0086749F">
          <w:rPr>
            <w:rStyle w:val="Hyperlink"/>
            <w:bCs/>
          </w:rPr>
          <w:t>PGI 204.7105</w:t>
        </w:r>
      </w:hyperlink>
      <w:r w:rsidRPr="0086749F">
        <w:rPr>
          <w:bCs/>
        </w:rPr>
        <w:t>(b)(5), enter a numerical sequence number for the attachment.</w:t>
      </w:r>
    </w:p>
    <w:p w14:paraId="142078B2" w14:textId="77777777" w:rsidR="00A51113" w:rsidRDefault="00A51113" w:rsidP="00D2590F">
      <w:pPr>
        <w:pStyle w:val="Heading4"/>
        <w:rPr>
          <w:rStyle w:val="Strong"/>
          <w:szCs w:val="24"/>
        </w:rPr>
      </w:pPr>
      <w:r>
        <w:rPr>
          <w:b/>
          <w:bCs/>
          <w:szCs w:val="24"/>
        </w:rPr>
        <w:br/>
      </w:r>
      <w:bookmarkStart w:id="11" w:name="_Toc37677772"/>
      <w:bookmarkStart w:id="12" w:name="_Toc37756660"/>
      <w:r>
        <w:rPr>
          <w:b/>
          <w:bCs/>
          <w:szCs w:val="24"/>
        </w:rPr>
        <w:t xml:space="preserve">PGI </w:t>
      </w:r>
      <w:r w:rsidRPr="00D6263D">
        <w:rPr>
          <w:b/>
          <w:bCs/>
          <w:szCs w:val="24"/>
        </w:rPr>
        <w:t>245.103-73  Government property under sustainment contract</w:t>
      </w:r>
      <w:r>
        <w:rPr>
          <w:b/>
          <w:bCs/>
          <w:szCs w:val="24"/>
        </w:rPr>
        <w:t>s</w:t>
      </w:r>
      <w:r w:rsidRPr="00D6263D">
        <w:rPr>
          <w:b/>
          <w:szCs w:val="24"/>
        </w:rPr>
        <w:t>.</w:t>
      </w:r>
      <w:bookmarkEnd w:id="11"/>
      <w:bookmarkEnd w:id="12"/>
    </w:p>
    <w:p w14:paraId="3CC309AC" w14:textId="77777777" w:rsidR="00A51113" w:rsidRDefault="00A51113" w:rsidP="00D2590F">
      <w:pPr>
        <w:pStyle w:val="List2"/>
      </w:pPr>
      <w:r>
        <w:rPr>
          <w:rStyle w:val="Strong"/>
          <w:szCs w:val="24"/>
        </w:rPr>
        <w:br/>
      </w:r>
      <w:r w:rsidRPr="000C7CE0">
        <w:t xml:space="preserve">(1)  Sustainment contracts, including those for performance-based logistics, sustainment support, contractor logistics support, life-cycle product support, and weapon systems product support (see 10 U.S.C. 2337(c)),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w:t>
      </w:r>
      <w:r w:rsidRPr="000C7CE0">
        <w:lastRenderedPageBreak/>
        <w:t xml:space="preserve">identified.  The requiring activity is responsible for providing the contracting officer with reporting requirements for Government inventory.  See the Data Item Description DI-ILSS-80727, Government Furnished Material (GFM) by National Stock Number, and the instructions for completing the DD Form 1423 Contract Data Requirements List (CDRL) for inventory reporting requirements on sustainment contracts available at </w:t>
      </w:r>
      <w:hyperlink r:id="rId12" w:history="1">
        <w:r w:rsidRPr="00725576">
          <w:rPr>
            <w:rStyle w:val="Hyperlink"/>
          </w:rPr>
          <w:t>http://dodprocurementtoolbox.com/site-pages/gfp-resources</w:t>
        </w:r>
      </w:hyperlink>
      <w:r w:rsidRPr="000C7CE0">
        <w:t>.</w:t>
      </w:r>
    </w:p>
    <w:p w14:paraId="2156F07D" w14:textId="77777777" w:rsidR="00A51113" w:rsidRDefault="00A51113" w:rsidP="00D2590F">
      <w:pPr>
        <w:pStyle w:val="List2"/>
      </w:pPr>
      <w:r>
        <w:br/>
      </w:r>
      <w:r w:rsidRPr="000C7CE0">
        <w:t>(2)  During acquisition planning, pricing contracts, exercising options, and assessing past performance, contracting officers should review the requiring activity’s assessment of the information generated by the inventory reporting requirements.</w:t>
      </w:r>
    </w:p>
    <w:p w14:paraId="1F54BF8F" w14:textId="77777777" w:rsidR="00A51113" w:rsidRDefault="00A51113" w:rsidP="00D2590F">
      <w:pPr>
        <w:pStyle w:val="Heading4"/>
      </w:pPr>
      <w:r>
        <w:rPr>
          <w:szCs w:val="24"/>
        </w:rPr>
        <w:br/>
      </w:r>
      <w:bookmarkStart w:id="13" w:name="_Toc37677773"/>
      <w:bookmarkStart w:id="14" w:name="_Toc37756661"/>
      <w:r w:rsidRPr="0086749F">
        <w:rPr>
          <w:bCs/>
          <w:szCs w:val="24"/>
        </w:rPr>
        <w:t>PGI 245.103-7</w:t>
      </w:r>
      <w:r>
        <w:rPr>
          <w:bCs/>
          <w:szCs w:val="24"/>
        </w:rPr>
        <w:t>4</w:t>
      </w:r>
      <w:r w:rsidRPr="0086749F">
        <w:rPr>
          <w:bCs/>
          <w:szCs w:val="24"/>
        </w:rPr>
        <w:t xml:space="preserve">  Contracting office responsibilities.</w:t>
      </w:r>
      <w:bookmarkEnd w:id="13"/>
      <w:bookmarkEnd w:id="14"/>
    </w:p>
    <w:p w14:paraId="114583C1" w14:textId="77777777" w:rsidR="00A51113" w:rsidRDefault="00A51113" w:rsidP="002120C4">
      <w:pPr>
        <w:tabs>
          <w:tab w:val="left" w:pos="360"/>
        </w:tabs>
        <w:autoSpaceDE w:val="0"/>
        <w:autoSpaceDN w:val="0"/>
        <w:adjustRightInd w:val="0"/>
        <w:spacing w:line="240" w:lineRule="exact"/>
        <w:ind w:firstLine="360"/>
        <w:rPr>
          <w:rFonts w:eastAsia="Calibri"/>
          <w:b/>
          <w:color w:val="000000"/>
          <w:szCs w:val="24"/>
        </w:rPr>
      </w:pPr>
      <w:r>
        <w:rPr>
          <w:bCs/>
          <w:szCs w:val="24"/>
        </w:rPr>
        <w:br/>
      </w:r>
      <w:r w:rsidRPr="0086749F">
        <w:rPr>
          <w:rFonts w:eastAsia="Calibri"/>
          <w:color w:val="000000"/>
          <w:szCs w:val="24"/>
        </w:rPr>
        <w:t xml:space="preserve">(1) Prepare modifications </w:t>
      </w:r>
      <w:r w:rsidRPr="006B7278">
        <w:rPr>
          <w:spacing w:val="-5"/>
          <w:kern w:val="20"/>
          <w:szCs w:val="24"/>
        </w:rPr>
        <w:t xml:space="preserve">to execute transfers of Government property accountability between existing contracts in accordance with </w:t>
      </w:r>
      <w:hyperlink r:id="rId13" w:history="1">
        <w:r w:rsidRPr="0086749F">
          <w:rPr>
            <w:rStyle w:val="Hyperlink"/>
            <w:spacing w:val="-5"/>
            <w:kern w:val="20"/>
            <w:szCs w:val="24"/>
          </w:rPr>
          <w:t>PGI 245.103-71</w:t>
        </w:r>
      </w:hyperlink>
      <w:r w:rsidRPr="006B7278">
        <w:rPr>
          <w:spacing w:val="-5"/>
          <w:kern w:val="20"/>
          <w:szCs w:val="24"/>
        </w:rPr>
        <w:t>.</w:t>
      </w:r>
    </w:p>
    <w:p w14:paraId="32DC3C6F" w14:textId="77777777" w:rsidR="00A51113" w:rsidRDefault="00A51113" w:rsidP="002120C4">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86749F">
        <w:rPr>
          <w:rFonts w:eastAsia="Calibri"/>
          <w:color w:val="000000"/>
          <w:szCs w:val="24"/>
        </w:rPr>
        <w:t xml:space="preserve">(2) Prepare the GFP attachments in accordance with the procedures in </w:t>
      </w:r>
      <w:hyperlink r:id="rId14" w:history="1">
        <w:r w:rsidRPr="0086749F">
          <w:rPr>
            <w:rStyle w:val="Hyperlink"/>
            <w:rFonts w:eastAsia="Calibri"/>
            <w:szCs w:val="24"/>
          </w:rPr>
          <w:t>PGI245.103</w:t>
        </w:r>
        <w:r>
          <w:rPr>
            <w:rStyle w:val="Hyperlink"/>
            <w:rFonts w:eastAsia="Calibri"/>
            <w:b/>
            <w:szCs w:val="24"/>
          </w:rPr>
          <w:t xml:space="preserve"> </w:t>
        </w:r>
        <w:r w:rsidRPr="0086749F">
          <w:rPr>
            <w:rStyle w:val="Hyperlink"/>
            <w:rFonts w:eastAsia="Calibri"/>
            <w:szCs w:val="24"/>
          </w:rPr>
          <w:t>-72</w:t>
        </w:r>
      </w:hyperlink>
      <w:r w:rsidRPr="0086749F">
        <w:rPr>
          <w:rFonts w:eastAsia="Calibri"/>
          <w:color w:val="000000"/>
          <w:szCs w:val="24"/>
        </w:rPr>
        <w:t>.</w:t>
      </w:r>
    </w:p>
    <w:p w14:paraId="46074671" w14:textId="77777777" w:rsidR="00A51113" w:rsidRDefault="00A51113" w:rsidP="002120C4">
      <w:pPr>
        <w:tabs>
          <w:tab w:val="left" w:pos="360"/>
        </w:tabs>
        <w:spacing w:line="240" w:lineRule="exact"/>
        <w:ind w:firstLine="360"/>
        <w:rPr>
          <w:b/>
          <w:bCs/>
          <w:szCs w:val="24"/>
        </w:rPr>
      </w:pPr>
      <w:r>
        <w:rPr>
          <w:rFonts w:eastAsia="Calibri"/>
          <w:b/>
          <w:color w:val="000000"/>
          <w:szCs w:val="24"/>
        </w:rPr>
        <w:br/>
      </w:r>
      <w:r w:rsidRPr="006B7278">
        <w:rPr>
          <w:bCs/>
          <w:szCs w:val="24"/>
        </w:rPr>
        <w:t xml:space="preserve">(3)  </w:t>
      </w:r>
      <w:bookmarkStart w:id="15" w:name="OLE_LINK1"/>
      <w:bookmarkStart w:id="16" w:name="OLE_LINK2"/>
      <w:r w:rsidRPr="006B7278">
        <w:rPr>
          <w:bCs/>
          <w:szCs w:val="24"/>
        </w:rPr>
        <w:t>Maintain the GFP attachments in the contract.</w:t>
      </w:r>
    </w:p>
    <w:p w14:paraId="202627E8" w14:textId="77777777" w:rsidR="00A51113" w:rsidRDefault="00A51113" w:rsidP="002120C4">
      <w:pPr>
        <w:tabs>
          <w:tab w:val="left" w:pos="360"/>
        </w:tabs>
        <w:spacing w:line="240" w:lineRule="exact"/>
        <w:ind w:firstLine="360"/>
        <w:rPr>
          <w:b/>
          <w:bCs/>
          <w:szCs w:val="24"/>
        </w:rPr>
      </w:pPr>
      <w:r>
        <w:rPr>
          <w:b/>
          <w:bCs/>
          <w:szCs w:val="24"/>
        </w:rPr>
        <w:br/>
      </w:r>
      <w:r w:rsidRPr="000C7CE0">
        <w:rPr>
          <w:bCs/>
          <w:szCs w:val="24"/>
        </w:rPr>
        <w:t xml:space="preserve">(4)  Include in applicable solicitations and contracts the CDRL provided by the requiring activity for reporting Government inventory held under sustainment contracts (see </w:t>
      </w:r>
      <w:hyperlink r:id="rId15" w:anchor="245.103-73" w:history="1">
        <w:r w:rsidRPr="00725576">
          <w:rPr>
            <w:rStyle w:val="Hyperlink"/>
            <w:szCs w:val="24"/>
          </w:rPr>
          <w:t>PGI 245.103-73</w:t>
        </w:r>
      </w:hyperlink>
      <w:r w:rsidRPr="000C7CE0">
        <w:rPr>
          <w:bCs/>
          <w:szCs w:val="24"/>
        </w:rPr>
        <w:t>).</w:t>
      </w:r>
      <w:bookmarkEnd w:id="15"/>
      <w:bookmarkEnd w:id="16"/>
    </w:p>
    <w:p w14:paraId="72D5B45D" w14:textId="77777777" w:rsidR="00A51113" w:rsidRDefault="00A51113" w:rsidP="00D2590F">
      <w:pPr>
        <w:pStyle w:val="Heading3"/>
      </w:pPr>
      <w:r>
        <w:rPr>
          <w:b/>
          <w:bCs/>
          <w:szCs w:val="24"/>
        </w:rPr>
        <w:br/>
      </w:r>
      <w:bookmarkStart w:id="17" w:name="_Toc37415909"/>
      <w:bookmarkStart w:id="18" w:name="_Toc37677774"/>
      <w:bookmarkStart w:id="19" w:name="_Toc37756662"/>
      <w:r w:rsidRPr="0086749F">
        <w:rPr>
          <w:b/>
          <w:szCs w:val="24"/>
        </w:rPr>
        <w:t>PGI 245.105  Contractors’ property management system compliance.</w:t>
      </w:r>
      <w:bookmarkEnd w:id="17"/>
      <w:bookmarkEnd w:id="18"/>
      <w:bookmarkEnd w:id="19"/>
    </w:p>
    <w:p w14:paraId="0B753FC3" w14:textId="77777777" w:rsidR="00A51113" w:rsidRDefault="00A51113" w:rsidP="00D2590F">
      <w:pPr>
        <w:pStyle w:val="List1"/>
      </w:pPr>
      <w:r>
        <w:rPr>
          <w:b/>
        </w:rPr>
        <w:br/>
      </w:r>
      <w:r w:rsidRPr="0086749F">
        <w:t xml:space="preserve">(d)  </w:t>
      </w:r>
      <w:r w:rsidRPr="0086749F">
        <w:rPr>
          <w:i/>
        </w:rPr>
        <w:t>Disposition of findings</w:t>
      </w:r>
      <w:r w:rsidRPr="0086749F">
        <w:t>.</w:t>
      </w:r>
    </w:p>
    <w:p w14:paraId="2C1BC594" w14:textId="77777777" w:rsidR="00A51113" w:rsidRDefault="00A51113" w:rsidP="00D2590F">
      <w:pPr>
        <w:pStyle w:val="List2"/>
      </w:pPr>
      <w:r>
        <w:rPr>
          <w:szCs w:val="24"/>
        </w:rPr>
        <w:br/>
      </w:r>
      <w:r w:rsidRPr="0086749F">
        <w:rPr>
          <w:szCs w:val="24"/>
        </w:rPr>
        <w:t xml:space="preserve">(2)  </w:t>
      </w:r>
      <w:r w:rsidRPr="0086749F">
        <w:rPr>
          <w:i/>
          <w:szCs w:val="24"/>
        </w:rPr>
        <w:t>Initial determination</w:t>
      </w:r>
      <w:r w:rsidRPr="0086749F">
        <w:rPr>
          <w:szCs w:val="24"/>
        </w:rPr>
        <w:t xml:space="preserve">. </w:t>
      </w:r>
    </w:p>
    <w:p w14:paraId="407778E9" w14:textId="77777777" w:rsidR="00A51113" w:rsidRDefault="00A51113" w:rsidP="00D2590F">
      <w:pPr>
        <w:pStyle w:val="List3"/>
      </w:pPr>
      <w:r>
        <w:rPr>
          <w:szCs w:val="24"/>
        </w:rPr>
        <w:br/>
      </w:r>
      <w:r w:rsidRPr="0086749F">
        <w:rPr>
          <w:szCs w:val="24"/>
        </w:rP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2665AAF" w14:textId="77777777" w:rsidR="00A51113" w:rsidRDefault="00A51113" w:rsidP="00D2590F">
      <w:pPr>
        <w:pStyle w:val="List4"/>
      </w:pPr>
      <w:r>
        <w:rPr>
          <w:szCs w:val="24"/>
        </w:rPr>
        <w:br/>
      </w:r>
      <w:r w:rsidRPr="0086749F">
        <w:rPr>
          <w:szCs w:val="24"/>
        </w:rPr>
        <w:t xml:space="preserve">(C)  </w:t>
      </w:r>
      <w:r w:rsidRPr="0086749F">
        <w:rPr>
          <w:i/>
          <w:szCs w:val="24"/>
        </w:rPr>
        <w:t>Evaluation of contractor's response</w:t>
      </w:r>
      <w:r w:rsidRPr="0086749F">
        <w:rPr>
          <w:szCs w:val="24"/>
        </w:rPr>
        <w:t xml:space="preserve">.  Within 30 days of receiving the contractor’s response, the contracting officer, in consultation with the auditor or cognizant functional specialist, should evaluate the contractor’s response and make a final determination. </w:t>
      </w:r>
    </w:p>
    <w:p w14:paraId="6BB1D5D2" w14:textId="77777777" w:rsidR="00A51113" w:rsidRDefault="00A51113" w:rsidP="00D2590F">
      <w:pPr>
        <w:pStyle w:val="List2"/>
      </w:pPr>
      <w:r>
        <w:rPr>
          <w:szCs w:val="24"/>
        </w:rPr>
        <w:br/>
      </w:r>
      <w:r w:rsidRPr="0086749F">
        <w:rPr>
          <w:szCs w:val="24"/>
        </w:rPr>
        <w:t xml:space="preserve">(3)  </w:t>
      </w:r>
      <w:r w:rsidRPr="0086749F">
        <w:rPr>
          <w:i/>
          <w:szCs w:val="24"/>
        </w:rPr>
        <w:t>Final Determination</w:t>
      </w:r>
      <w:r w:rsidRPr="0086749F">
        <w:rPr>
          <w:szCs w:val="24"/>
        </w:rPr>
        <w:t>.</w:t>
      </w:r>
    </w:p>
    <w:p w14:paraId="2064C8DC" w14:textId="77777777" w:rsidR="00A51113" w:rsidRDefault="00A51113" w:rsidP="00D2590F">
      <w:pPr>
        <w:pStyle w:val="List3"/>
      </w:pPr>
      <w:r>
        <w:rPr>
          <w:szCs w:val="24"/>
        </w:rPr>
        <w:br/>
      </w:r>
      <w:r w:rsidRPr="0086749F">
        <w:rPr>
          <w:szCs w:val="24"/>
        </w:rPr>
        <w:t xml:space="preserve">(ii)(A)  </w:t>
      </w:r>
      <w:r w:rsidRPr="0086749F">
        <w:rPr>
          <w:i/>
          <w:szCs w:val="24"/>
        </w:rPr>
        <w:t>Monitoring contractor's corrective action</w:t>
      </w:r>
      <w:r w:rsidRPr="0086749F">
        <w:rPr>
          <w:szCs w:val="24"/>
        </w:rP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hyperlink r:id="rId16" w:anchor="252.242-7005" w:history="1">
        <w:r w:rsidRPr="0086749F">
          <w:rPr>
            <w:rStyle w:val="Hyperlink"/>
            <w:szCs w:val="24"/>
          </w:rPr>
          <w:t>252.242-7005</w:t>
        </w:r>
      </w:hyperlink>
      <w:r w:rsidRPr="0086749F">
        <w:rPr>
          <w:szCs w:val="24"/>
        </w:rPr>
        <w:t>, Contractor Business Systems, and recommending non-award of potential contracts.</w:t>
      </w:r>
    </w:p>
    <w:p w14:paraId="557A653B" w14:textId="77777777" w:rsidR="00A51113" w:rsidRDefault="00A51113" w:rsidP="00D2590F">
      <w:pPr>
        <w:pStyle w:val="List4"/>
      </w:pPr>
      <w:r>
        <w:rPr>
          <w:szCs w:val="24"/>
        </w:rPr>
        <w:br/>
      </w:r>
      <w:r w:rsidRPr="0086749F">
        <w:rPr>
          <w:szCs w:val="24"/>
        </w:rPr>
        <w:t xml:space="preserve">(B)  </w:t>
      </w:r>
      <w:r w:rsidRPr="0086749F">
        <w:rPr>
          <w:i/>
          <w:szCs w:val="24"/>
        </w:rPr>
        <w:t>Correction of significant deficiencies</w:t>
      </w:r>
      <w:r w:rsidRPr="0086749F">
        <w:rPr>
          <w:szCs w:val="24"/>
        </w:rPr>
        <w:t>.</w:t>
      </w:r>
    </w:p>
    <w:p w14:paraId="538A62F2" w14:textId="77777777" w:rsidR="00A51113" w:rsidRDefault="00A51113" w:rsidP="00D2590F">
      <w:pPr>
        <w:pStyle w:val="List6"/>
      </w:pPr>
      <w:r>
        <w:br/>
      </w:r>
      <w:r w:rsidRPr="0086749F">
        <w:t>(</w:t>
      </w:r>
      <w:r w:rsidRPr="0086749F">
        <w:rPr>
          <w:i/>
        </w:rPr>
        <w:t>1</w:t>
      </w:r>
      <w:r w:rsidRPr="0086749F">
        <w:t>)  When the contractor notifies the contracting officer that the contractor has corrected the significant deficiencies, the contracting officer shall request the property administrator to review the correction to determine if the deficiencies have been resolved.</w:t>
      </w:r>
    </w:p>
    <w:p w14:paraId="7F02C7EF" w14:textId="77777777" w:rsidR="00A51113" w:rsidRDefault="00A51113" w:rsidP="00D2590F">
      <w:pPr>
        <w:pStyle w:val="List6"/>
      </w:pPr>
      <w:r>
        <w:lastRenderedPageBreak/>
        <w:br/>
      </w:r>
      <w:r w:rsidRPr="0086749F">
        <w:t>(</w:t>
      </w:r>
      <w:r w:rsidRPr="0086749F">
        <w:rPr>
          <w:i/>
        </w:rPr>
        <w:t>2</w:t>
      </w:r>
      <w:r w:rsidRPr="0086749F">
        <w:t>)  The contracting officer shall determine if the contractor has corrected the deficiencies.</w:t>
      </w:r>
    </w:p>
    <w:p w14:paraId="28BD1CDA" w14:textId="77777777" w:rsidR="00A51113" w:rsidRDefault="00A51113" w:rsidP="00D2590F">
      <w:pPr>
        <w:pStyle w:val="List6"/>
      </w:pPr>
      <w:r>
        <w:br/>
      </w:r>
      <w:r w:rsidRPr="0086749F">
        <w:t>(</w:t>
      </w:r>
      <w:r w:rsidRPr="0086749F">
        <w:rPr>
          <w:i/>
        </w:rPr>
        <w:t>3</w:t>
      </w:r>
      <w:r w:rsidRPr="0086749F">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w:p w14:paraId="7A08A8F0" w14:textId="77777777" w:rsidR="00A51113" w:rsidRPr="0086749F" w:rsidRDefault="00A51113" w:rsidP="00D2590F">
      <w:r>
        <w:rPr>
          <w:szCs w:val="24"/>
        </w:rPr>
        <w:br/>
      </w:r>
    </w:p>
    <w:p w14:paraId="394605E9" w14:textId="77777777" w:rsidR="00A51113" w:rsidRDefault="00A51113">
      <w:pPr>
        <w:sectPr w:rsidR="00A51113" w:rsidSect="00986A47">
          <w:headerReference w:type="default" r:id="rId17"/>
          <w:footerReference w:type="default" r:id="rId18"/>
          <w:pgSz w:w="12240" w:h="15840"/>
          <w:pgMar w:top="1440" w:right="1440" w:bottom="1440" w:left="1440" w:header="720" w:footer="720" w:gutter="0"/>
          <w:cols w:space="720"/>
          <w:docGrid w:linePitch="360"/>
        </w:sectPr>
      </w:pPr>
    </w:p>
    <w:p w14:paraId="4E5D85E6" w14:textId="77777777" w:rsidR="00A51113" w:rsidRDefault="00A51113" w:rsidP="007E6786">
      <w:pPr>
        <w:jc w:val="center"/>
      </w:pPr>
      <w:r w:rsidRPr="00B91070">
        <w:rPr>
          <w:i/>
          <w:szCs w:val="24"/>
        </w:rPr>
        <w:lastRenderedPageBreak/>
        <w:t xml:space="preserve">(Revised December </w:t>
      </w:r>
      <w:r>
        <w:rPr>
          <w:i/>
          <w:szCs w:val="24"/>
        </w:rPr>
        <w:t>2</w:t>
      </w:r>
      <w:r w:rsidRPr="00B91070">
        <w:rPr>
          <w:i/>
          <w:szCs w:val="24"/>
        </w:rPr>
        <w:t>8, 2017)</w:t>
      </w:r>
    </w:p>
    <w:p w14:paraId="74E6A29E" w14:textId="77777777" w:rsidR="00A51113" w:rsidRDefault="00A51113" w:rsidP="007E6786">
      <w:pPr>
        <w:pStyle w:val="Heading2"/>
      </w:pPr>
      <w:r>
        <w:rPr>
          <w:i/>
          <w:szCs w:val="24"/>
        </w:rPr>
        <w:br/>
      </w:r>
      <w:bookmarkStart w:id="20" w:name="_Toc37415910"/>
      <w:bookmarkStart w:id="21" w:name="_Toc37677775"/>
      <w:bookmarkStart w:id="22" w:name="BM204_6"/>
      <w:bookmarkStart w:id="23" w:name="_Toc37756663"/>
      <w:r w:rsidRPr="00B91070">
        <w:rPr>
          <w:szCs w:val="24"/>
        </w:rPr>
        <w:t>PGI 245.2—SOLICITATION AND EVALUATION PROCEDURES</w:t>
      </w:r>
      <w:bookmarkEnd w:id="20"/>
      <w:bookmarkEnd w:id="21"/>
      <w:bookmarkEnd w:id="23"/>
    </w:p>
    <w:p w14:paraId="4EF96DFA" w14:textId="77777777" w:rsidR="00A51113" w:rsidRDefault="00A51113" w:rsidP="007E6786">
      <w:pPr>
        <w:pStyle w:val="Heading3"/>
      </w:pPr>
      <w:r>
        <w:rPr>
          <w:b/>
          <w:szCs w:val="24"/>
        </w:rPr>
        <w:br/>
      </w:r>
      <w:bookmarkStart w:id="24" w:name="_Toc37415911"/>
      <w:bookmarkStart w:id="25" w:name="_Toc37677776"/>
      <w:bookmarkStart w:id="26" w:name="_Toc37756664"/>
      <w:r w:rsidRPr="00B91070">
        <w:rPr>
          <w:b/>
          <w:szCs w:val="24"/>
        </w:rPr>
        <w:t>PGI 245.201  Solicitation.</w:t>
      </w:r>
      <w:bookmarkEnd w:id="24"/>
      <w:bookmarkEnd w:id="25"/>
      <w:bookmarkEnd w:id="26"/>
    </w:p>
    <w:p w14:paraId="51FCDCEC" w14:textId="77777777" w:rsidR="00A51113" w:rsidRDefault="00A51113" w:rsidP="007E6786">
      <w:pPr>
        <w:pStyle w:val="Heading4"/>
      </w:pPr>
      <w:r>
        <w:rPr>
          <w:b/>
          <w:szCs w:val="24"/>
        </w:rPr>
        <w:br/>
      </w:r>
      <w:bookmarkStart w:id="27" w:name="_Toc37677777"/>
      <w:bookmarkStart w:id="28" w:name="_Toc37756665"/>
      <w:r w:rsidRPr="00B91070">
        <w:rPr>
          <w:b/>
          <w:szCs w:val="24"/>
        </w:rPr>
        <w:t>PGI 245.201-70  Definitions.</w:t>
      </w:r>
      <w:bookmarkEnd w:id="27"/>
      <w:bookmarkEnd w:id="28"/>
    </w:p>
    <w:p w14:paraId="6CB4200D" w14:textId="77777777" w:rsidR="00A51113" w:rsidRDefault="00A51113" w:rsidP="007E6786">
      <w:r>
        <w:rPr>
          <w:b/>
          <w:szCs w:val="24"/>
        </w:rPr>
        <w:br/>
      </w:r>
      <w:r w:rsidRPr="00B91070">
        <w:rPr>
          <w:b/>
          <w:szCs w:val="24"/>
        </w:rPr>
        <w:tab/>
      </w:r>
      <w:r w:rsidRPr="00B91070">
        <w:rPr>
          <w:szCs w:val="24"/>
        </w:rPr>
        <w:t>As used in this section—</w:t>
      </w:r>
    </w:p>
    <w:p w14:paraId="553E7627" w14:textId="77777777" w:rsidR="00A51113" w:rsidRDefault="00A51113" w:rsidP="007E6786">
      <w:pPr>
        <w:rPr>
          <w:b/>
        </w:rPr>
      </w:pPr>
      <w:r>
        <w:br/>
      </w:r>
      <w:r w:rsidRPr="00B91070">
        <w:t>(1)  “As is” means that the Government may, at its option, furnish Government property in an “as-is” condition.  In such cases, the Government makes no warranty with respect to the serviceability and/or suitability of the Government property for contract performance.  Any repairs, replacement, and/or refurbishment shall be at the contractor's expense.</w:t>
      </w:r>
    </w:p>
    <w:p w14:paraId="58479181" w14:textId="77777777" w:rsidR="00A51113" w:rsidRDefault="00A51113" w:rsidP="00130477">
      <w:pPr>
        <w:tabs>
          <w:tab w:val="left" w:pos="0"/>
        </w:tabs>
        <w:spacing w:line="240" w:lineRule="exact"/>
        <w:ind w:firstLine="360"/>
        <w:rPr>
          <w:b/>
          <w:szCs w:val="24"/>
        </w:rPr>
      </w:pPr>
      <w:r>
        <w:rPr>
          <w:b/>
          <w:szCs w:val="24"/>
        </w:rPr>
        <w:br/>
      </w:r>
      <w:r w:rsidRPr="00B91070">
        <w:rPr>
          <w:szCs w:val="24"/>
        </w:rPr>
        <w:t>(2)  “Commercial and Government entity (CAGE) code” means:  (i) A code assigned by the Defense Logistics Information Service (DLIS) to identify a commercial or Government entity; or (ii) A code assigned by a member of the North Atlantic Treaty Organization that DLIS records and maintains in the CAGE master file.  This type of code is known as an “NCAGE code”.  As defined in the DoD 4100.39-M, Federal Logistics Information System Glossary, the CAGE Code is a five-character data element assigned to establishments that are manufacturers or have design control of items of supply procured by the Federal Government.  In the United States, the first and last positions of a CAGE code will be numeric.</w:t>
      </w:r>
    </w:p>
    <w:p w14:paraId="4CA5EBD0" w14:textId="77777777" w:rsidR="00A51113" w:rsidRDefault="00A51113" w:rsidP="00130477">
      <w:pPr>
        <w:tabs>
          <w:tab w:val="left" w:pos="0"/>
        </w:tabs>
        <w:spacing w:line="240" w:lineRule="exact"/>
        <w:ind w:firstLine="360"/>
        <w:rPr>
          <w:b/>
          <w:szCs w:val="24"/>
        </w:rPr>
      </w:pPr>
      <w:r>
        <w:rPr>
          <w:b/>
          <w:szCs w:val="24"/>
        </w:rPr>
        <w:br/>
      </w:r>
      <w:r w:rsidRPr="00B91070">
        <w:rPr>
          <w:szCs w:val="24"/>
        </w:rPr>
        <w:t>(3)  “Contractor-acquired property.”  See FAR 45.101.</w:t>
      </w:r>
    </w:p>
    <w:p w14:paraId="14545E43" w14:textId="77777777" w:rsidR="00A51113" w:rsidRDefault="00A51113" w:rsidP="00130477">
      <w:pPr>
        <w:tabs>
          <w:tab w:val="left" w:pos="0"/>
        </w:tabs>
        <w:spacing w:line="240" w:lineRule="exact"/>
        <w:ind w:firstLine="360"/>
        <w:rPr>
          <w:b/>
          <w:szCs w:val="24"/>
        </w:rPr>
      </w:pPr>
      <w:r>
        <w:rPr>
          <w:b/>
          <w:szCs w:val="24"/>
        </w:rPr>
        <w:br/>
      </w:r>
      <w:r w:rsidRPr="00B91070">
        <w:rPr>
          <w:szCs w:val="24"/>
        </w:rPr>
        <w:t>(4)  “Description” means a collection and compilation of data to describe an item.  The descriptive noun of the item nomenclature, as defined in DoD 4100.39-M, Glossary.</w:t>
      </w:r>
    </w:p>
    <w:p w14:paraId="03B0DFB3" w14:textId="77777777" w:rsidR="00A51113" w:rsidRDefault="00A51113" w:rsidP="00130477">
      <w:pPr>
        <w:tabs>
          <w:tab w:val="left" w:pos="0"/>
        </w:tabs>
        <w:spacing w:line="240" w:lineRule="exact"/>
        <w:ind w:firstLine="360"/>
        <w:rPr>
          <w:b/>
          <w:szCs w:val="24"/>
        </w:rPr>
      </w:pPr>
      <w:r>
        <w:rPr>
          <w:b/>
          <w:szCs w:val="24"/>
        </w:rPr>
        <w:br/>
      </w:r>
      <w:r w:rsidRPr="00B91070">
        <w:rPr>
          <w:szCs w:val="24"/>
        </w:rPr>
        <w:t>(5)  “Government property.”  See FAR 45.101.</w:t>
      </w:r>
    </w:p>
    <w:p w14:paraId="338281B6" w14:textId="77777777" w:rsidR="00A51113" w:rsidRDefault="00A51113" w:rsidP="00130477">
      <w:pPr>
        <w:tabs>
          <w:tab w:val="left" w:pos="0"/>
        </w:tabs>
        <w:spacing w:line="240" w:lineRule="exact"/>
        <w:ind w:firstLine="360"/>
        <w:rPr>
          <w:b/>
          <w:szCs w:val="24"/>
        </w:rPr>
      </w:pPr>
      <w:r>
        <w:rPr>
          <w:b/>
          <w:szCs w:val="24"/>
        </w:rPr>
        <w:lastRenderedPageBreak/>
        <w:br/>
      </w:r>
      <w:r w:rsidRPr="00B91070">
        <w:rPr>
          <w:szCs w:val="24"/>
        </w:rPr>
        <w:t>(6)  “Government-furnished property.”  See FAR 45.101.</w:t>
      </w:r>
    </w:p>
    <w:p w14:paraId="30B6F8FC" w14:textId="77777777" w:rsidR="00A51113" w:rsidRDefault="00A51113" w:rsidP="00130477">
      <w:pPr>
        <w:tabs>
          <w:tab w:val="left" w:pos="0"/>
        </w:tabs>
        <w:spacing w:line="240" w:lineRule="exact"/>
        <w:ind w:firstLine="360"/>
        <w:rPr>
          <w:b/>
          <w:szCs w:val="24"/>
        </w:rPr>
      </w:pPr>
      <w:r>
        <w:rPr>
          <w:b/>
          <w:szCs w:val="24"/>
        </w:rPr>
        <w:br/>
      </w:r>
      <w:r w:rsidRPr="00B91070">
        <w:rPr>
          <w:szCs w:val="24"/>
        </w:rPr>
        <w:t>(7)  “Major end item” means a final combination of end products that is ready for its intended use; e.g., launchers, tanks, mobile machine shops, aircraft, and vehicles.</w:t>
      </w:r>
    </w:p>
    <w:p w14:paraId="767ABB87" w14:textId="77777777" w:rsidR="00A51113" w:rsidRDefault="00A51113" w:rsidP="00495567">
      <w:pPr>
        <w:tabs>
          <w:tab w:val="left" w:pos="-90"/>
        </w:tabs>
        <w:spacing w:line="240" w:lineRule="exact"/>
        <w:ind w:firstLine="360"/>
        <w:rPr>
          <w:b/>
          <w:szCs w:val="24"/>
        </w:rPr>
      </w:pPr>
      <w:r>
        <w:rPr>
          <w:b/>
          <w:szCs w:val="24"/>
        </w:rPr>
        <w:br/>
      </w:r>
      <w:r w:rsidRPr="00B91070">
        <w:rPr>
          <w:szCs w:val="24"/>
        </w:rPr>
        <w:t>(8)  “National stock number (NSN)” means a 13-digit stock number used to identify items of supply.  It consists of a four-digit Federal Supply Classification code and a nine-</w:t>
      </w:r>
      <w:r>
        <w:rPr>
          <w:szCs w:val="24"/>
        </w:rPr>
        <w:t xml:space="preserve"> </w:t>
      </w:r>
      <w:r w:rsidRPr="00B91070">
        <w:rPr>
          <w:szCs w:val="24"/>
        </w:rPr>
        <w:t>digit national item identification number (NIIN), as defined in DoD</w:t>
      </w:r>
      <w:r>
        <w:rPr>
          <w:szCs w:val="24"/>
        </w:rPr>
        <w:t xml:space="preserve"> Manual</w:t>
      </w:r>
      <w:r w:rsidRPr="00B91070">
        <w:rPr>
          <w:szCs w:val="24"/>
        </w:rPr>
        <w:t xml:space="preserve"> 4140.</w:t>
      </w:r>
      <w:r>
        <w:rPr>
          <w:szCs w:val="24"/>
        </w:rPr>
        <w:t>01</w:t>
      </w:r>
      <w:r w:rsidRPr="00B91070">
        <w:rPr>
          <w:szCs w:val="24"/>
        </w:rPr>
        <w:t xml:space="preserve">, </w:t>
      </w:r>
      <w:r>
        <w:rPr>
          <w:szCs w:val="24"/>
        </w:rPr>
        <w:t xml:space="preserve">Volume 9, </w:t>
      </w:r>
      <w:r w:rsidRPr="00B91070">
        <w:rPr>
          <w:szCs w:val="24"/>
        </w:rPr>
        <w:t xml:space="preserve">DoD Supply Chain Materiel Management </w:t>
      </w:r>
      <w:r>
        <w:rPr>
          <w:szCs w:val="24"/>
        </w:rPr>
        <w:t>Procedures:  Material Programs.</w:t>
      </w:r>
    </w:p>
    <w:p w14:paraId="5D791E08" w14:textId="77777777" w:rsidR="00A51113" w:rsidRDefault="00A51113" w:rsidP="00130477">
      <w:pPr>
        <w:tabs>
          <w:tab w:val="left" w:pos="-90"/>
        </w:tabs>
        <w:spacing w:line="240" w:lineRule="exact"/>
        <w:ind w:firstLine="360"/>
        <w:rPr>
          <w:b/>
          <w:szCs w:val="24"/>
        </w:rPr>
      </w:pPr>
      <w:r>
        <w:rPr>
          <w:b/>
          <w:szCs w:val="24"/>
        </w:rPr>
        <w:br/>
      </w:r>
      <w:r w:rsidRPr="00B91070">
        <w:rPr>
          <w:szCs w:val="24"/>
        </w:rPr>
        <w:t>(9)  “NIIN” means the last nine digits of the NSN that differentiates each individual supply item from all other supply items.  The first two digits signify the National Codification Bureau that assigned the NIIN, wherein the last seven digits are non-significant and are sequentially assigned by the Federal Logistics Information System.  All United States-manufactured items have a National Codification Bureau code of "00" (cataloged before 1975) or "01" (cataloged in 1975, or later).</w:t>
      </w:r>
    </w:p>
    <w:p w14:paraId="0A81F9A4" w14:textId="77777777" w:rsidR="00A51113" w:rsidRDefault="00A51113" w:rsidP="007E6786">
      <w:r>
        <w:rPr>
          <w:b/>
          <w:szCs w:val="24"/>
        </w:rPr>
        <w:br/>
      </w:r>
      <w:r w:rsidRPr="00B91070">
        <w:rPr>
          <w:b/>
          <w:szCs w:val="24"/>
        </w:rPr>
        <w:tab/>
      </w:r>
      <w:r w:rsidRPr="00B91070">
        <w:rPr>
          <w:szCs w:val="24"/>
        </w:rPr>
        <w:t>(10)  “Nomenclature” means:  (i) The combination of a Government-assigned type designation and an approved item name; (ii) Names assigned to kinds and groups of products; or (iii) Formal designations assigned to products by customer or supplier (such as model number, or model type, design differentiation, specific design series, or configuration).</w:t>
      </w:r>
    </w:p>
    <w:p w14:paraId="3752CF29" w14:textId="77777777" w:rsidR="00A51113" w:rsidRDefault="00A51113" w:rsidP="007E6786">
      <w:r>
        <w:br/>
      </w:r>
      <w:r w:rsidRPr="00B91070">
        <w:tab/>
        <w:t xml:space="preserve">(11)  “Part or identifying number (PIN)” means the identifier assigned by the original design activity, or by the controlling nationally recognized standard, that uniquely identifies (relative to that design activity) a specific item, as defined by </w:t>
      </w:r>
      <w:r w:rsidRPr="00B91070">
        <w:rPr>
          <w:bCs/>
        </w:rPr>
        <w:t>Military Standard 130, Standard Practice for Identification Marking of U. S. Military Property, latest version</w:t>
      </w:r>
      <w:r w:rsidRPr="00B91070">
        <w:t>.</w:t>
      </w:r>
    </w:p>
    <w:p w14:paraId="7EE235C7" w14:textId="77777777" w:rsidR="00A51113" w:rsidRPr="00B91070" w:rsidRDefault="00A51113" w:rsidP="007E6786">
      <w:r>
        <w:br/>
      </w:r>
      <w:r w:rsidRPr="00B91070">
        <w:t>(12</w:t>
      </w:r>
      <w:r w:rsidRPr="00B91070">
        <w:rPr>
          <w:i/>
        </w:rPr>
        <w:t xml:space="preserve">)  </w:t>
      </w:r>
      <w:r w:rsidRPr="00B91070">
        <w:t xml:space="preserve">“Quantity” means a numeric value for such characteristics as dimensions, measure, magnitude, electrical rating, etc.  Also, the numerical designator for a unit of issue described in table 53, unit of issue codes, DoD 4100.39-M, Federal Logistics Information </w:t>
      </w:r>
    </w:p>
    <w:p w14:paraId="473603FC" w14:textId="77777777" w:rsidR="00A51113" w:rsidRDefault="00A51113" w:rsidP="007E6786">
      <w:r w:rsidRPr="00B91070">
        <w:t xml:space="preserve">System (FLIS) Procedures, volume 10.  See </w:t>
      </w:r>
      <w:hyperlink r:id="rId19" w:history="1">
        <w:r w:rsidRPr="00C362EF">
          <w:rPr>
            <w:rStyle w:val="Hyperlink"/>
            <w:szCs w:val="24"/>
          </w:rPr>
          <w:t>http://www.dla.mil/HQ/InformationOperations/Offers/Services/TrainingandReference/FLISProcedures.aspx</w:t>
        </w:r>
      </w:hyperlink>
      <w:r w:rsidRPr="00B91070">
        <w:t>.</w:t>
      </w:r>
    </w:p>
    <w:p w14:paraId="7E43BB93" w14:textId="77777777" w:rsidR="00A51113" w:rsidRDefault="00A51113" w:rsidP="00130477">
      <w:pPr>
        <w:tabs>
          <w:tab w:val="left" w:pos="0"/>
        </w:tabs>
        <w:spacing w:line="240" w:lineRule="exact"/>
        <w:ind w:firstLine="360"/>
        <w:rPr>
          <w:b/>
          <w:szCs w:val="24"/>
        </w:rPr>
      </w:pPr>
      <w:r>
        <w:rPr>
          <w:szCs w:val="24"/>
        </w:rPr>
        <w:lastRenderedPageBreak/>
        <w:br/>
      </w:r>
      <w:r w:rsidRPr="00B91070">
        <w:rPr>
          <w:szCs w:val="24"/>
        </w:rPr>
        <w:t xml:space="preserve">(13)  “Reparable.”  See DFARS clause </w:t>
      </w:r>
      <w:hyperlink r:id="rId20" w:anchor="252.211-7007" w:history="1">
        <w:r w:rsidRPr="00B91070">
          <w:rPr>
            <w:rStyle w:val="Hyperlink"/>
            <w:szCs w:val="24"/>
          </w:rPr>
          <w:t>252.211-7007</w:t>
        </w:r>
      </w:hyperlink>
      <w:r w:rsidRPr="00B91070">
        <w:rPr>
          <w:szCs w:val="24"/>
        </w:rPr>
        <w:t>.</w:t>
      </w:r>
    </w:p>
    <w:p w14:paraId="077FFF3A" w14:textId="77777777" w:rsidR="00A51113" w:rsidRDefault="00A51113" w:rsidP="00130477">
      <w:pPr>
        <w:tabs>
          <w:tab w:val="left" w:pos="0"/>
        </w:tabs>
        <w:spacing w:line="240" w:lineRule="exact"/>
        <w:ind w:firstLine="360"/>
        <w:rPr>
          <w:b/>
          <w:szCs w:val="24"/>
        </w:rPr>
      </w:pPr>
      <w:r>
        <w:rPr>
          <w:b/>
          <w:szCs w:val="24"/>
        </w:rPr>
        <w:br/>
      </w:r>
      <w:r w:rsidRPr="00B91070">
        <w:rPr>
          <w:szCs w:val="24"/>
        </w:rPr>
        <w:t>(14)  “Requiring activity” means the DoD organization, or part of an organization, that identifies and defines a requirement for supplies or services, and requests the initiation of, and provides funding for, an acquisition to fulfill the requirement.</w:t>
      </w:r>
    </w:p>
    <w:p w14:paraId="546EFB42" w14:textId="77777777" w:rsidR="00A51113" w:rsidRDefault="00A51113" w:rsidP="00130477">
      <w:pPr>
        <w:tabs>
          <w:tab w:val="left" w:pos="0"/>
        </w:tabs>
        <w:spacing w:line="240" w:lineRule="exact"/>
        <w:ind w:firstLine="360"/>
        <w:rPr>
          <w:b/>
          <w:bCs/>
          <w:szCs w:val="24"/>
        </w:rPr>
      </w:pPr>
      <w:r>
        <w:rPr>
          <w:b/>
          <w:szCs w:val="24"/>
        </w:rPr>
        <w:br/>
      </w:r>
      <w:r w:rsidRPr="00B91070">
        <w:rPr>
          <w:szCs w:val="24"/>
        </w:rPr>
        <w:t xml:space="preserve">(15)  “Serial number” means an assigned designation that provides a means of identifying a specific individual item, as defined by </w:t>
      </w:r>
      <w:r w:rsidRPr="00B91070">
        <w:rPr>
          <w:bCs/>
          <w:szCs w:val="24"/>
        </w:rPr>
        <w:t xml:space="preserve">Military Standard 130, Standard Practice for Identification Marking of U. S. Military Property, latest version. </w:t>
      </w:r>
    </w:p>
    <w:p w14:paraId="40A9ECBE" w14:textId="77777777" w:rsidR="00A51113" w:rsidRDefault="00A51113" w:rsidP="00130477">
      <w:pPr>
        <w:tabs>
          <w:tab w:val="left" w:pos="0"/>
        </w:tabs>
        <w:spacing w:line="240" w:lineRule="exact"/>
        <w:ind w:firstLine="360"/>
        <w:rPr>
          <w:b/>
          <w:szCs w:val="24"/>
        </w:rPr>
      </w:pPr>
      <w:r>
        <w:rPr>
          <w:b/>
          <w:bCs/>
          <w:szCs w:val="24"/>
        </w:rPr>
        <w:br/>
      </w:r>
      <w:r w:rsidRPr="00B91070">
        <w:rPr>
          <w:szCs w:val="24"/>
        </w:rPr>
        <w:t>(16)  “Type Designation” means a combination of letters and numbers arranged in a specific sequence to provide a short, significant method of identification for an item.  The various type designators are as follows:</w:t>
      </w:r>
    </w:p>
    <w:p w14:paraId="51EBFFBA" w14:textId="77777777" w:rsidR="00A51113" w:rsidRDefault="00A51113" w:rsidP="00B53184">
      <w:pPr>
        <w:pStyle w:val="List3"/>
      </w:pPr>
      <w:r>
        <w:rPr>
          <w:b/>
        </w:rPr>
        <w:br/>
      </w:r>
      <w:r w:rsidRPr="00B91070">
        <w:t>(i)  Electronics:  MIL-STD-196, Joint Electronics Type Designation System, February 17, 1998.</w:t>
      </w:r>
    </w:p>
    <w:p w14:paraId="65BE6014" w14:textId="77777777" w:rsidR="00A51113" w:rsidRDefault="00A51113" w:rsidP="007E6786">
      <w:pPr>
        <w:pStyle w:val="List3"/>
        <w:rPr>
          <w:b/>
        </w:rPr>
      </w:pPr>
      <w:r>
        <w:rPr>
          <w:b/>
        </w:rPr>
        <w:br/>
      </w:r>
      <w:r w:rsidRPr="00B91070">
        <w:t>(ii)  Aerospace Vehicles:  DoD 4120.15-L, Model Designation of Military Aerospace Vehicles, May 12, 2004.</w:t>
      </w:r>
    </w:p>
    <w:p w14:paraId="5378D37B" w14:textId="77777777" w:rsidR="00A51113" w:rsidRDefault="00A51113" w:rsidP="007E6786">
      <w:pPr>
        <w:pStyle w:val="List3"/>
        <w:rPr>
          <w:b/>
        </w:rPr>
      </w:pPr>
      <w:r>
        <w:rPr>
          <w:b/>
          <w:szCs w:val="24"/>
        </w:rPr>
        <w:br/>
      </w:r>
      <w:r w:rsidRPr="00B91070">
        <w:rPr>
          <w:szCs w:val="24"/>
        </w:rPr>
        <w:t>(iii)  Aerospace Engines and Equipment:</w:t>
      </w:r>
      <w:r w:rsidRPr="00B91070">
        <w:rPr>
          <w:i/>
          <w:szCs w:val="24"/>
        </w:rPr>
        <w:t xml:space="preserve"> </w:t>
      </w:r>
      <w:r w:rsidRPr="00B91070">
        <w:rPr>
          <w:szCs w:val="24"/>
        </w:rPr>
        <w:t xml:space="preserve"> MIL-HDBK-1812, Type Designation, Assignment and Method of Obtaining, February 14, 1997.</w:t>
      </w:r>
    </w:p>
    <w:p w14:paraId="5D55E4F5" w14:textId="77777777" w:rsidR="00A51113" w:rsidRDefault="00A51113" w:rsidP="007E6786">
      <w:pPr>
        <w:pStyle w:val="List3"/>
        <w:rPr>
          <w:b/>
        </w:rPr>
      </w:pPr>
      <w:r>
        <w:rPr>
          <w:b/>
          <w:szCs w:val="24"/>
        </w:rPr>
        <w:br/>
      </w:r>
      <w:r w:rsidRPr="00B91070">
        <w:rPr>
          <w:szCs w:val="24"/>
        </w:rPr>
        <w:t>(iv)  Ships:</w:t>
      </w:r>
      <w:r w:rsidRPr="00B91070">
        <w:rPr>
          <w:i/>
          <w:szCs w:val="24"/>
        </w:rPr>
        <w:t xml:space="preserve"> </w:t>
      </w:r>
      <w:r w:rsidRPr="00B91070">
        <w:rPr>
          <w:szCs w:val="24"/>
        </w:rPr>
        <w:t xml:space="preserve"> SECNAVINST 5030.8, Classification of Naval Ships and Craft, November 21, 2006.</w:t>
      </w:r>
    </w:p>
    <w:p w14:paraId="433D6B96" w14:textId="77777777" w:rsidR="00A51113" w:rsidRDefault="00A51113" w:rsidP="00B53184">
      <w:pPr>
        <w:pStyle w:val="List3"/>
      </w:pPr>
      <w:r>
        <w:rPr>
          <w:b/>
        </w:rPr>
        <w:br/>
      </w:r>
      <w:r w:rsidRPr="00B91070">
        <w:t>(v)  Army Watercraft:</w:t>
      </w:r>
      <w:r w:rsidRPr="00B91070">
        <w:rPr>
          <w:i/>
        </w:rPr>
        <w:t xml:space="preserve">  </w:t>
      </w:r>
      <w:r w:rsidRPr="00B91070">
        <w:t>AR 56-9, Watercraft, February 7, 2002</w:t>
      </w:r>
    </w:p>
    <w:p w14:paraId="26553881" w14:textId="77777777" w:rsidR="00A51113" w:rsidRDefault="00A51113" w:rsidP="007E6786">
      <w:pPr>
        <w:pStyle w:val="List3"/>
        <w:rPr>
          <w:b/>
        </w:rPr>
      </w:pPr>
      <w:r>
        <w:rPr>
          <w:b/>
          <w:i/>
          <w:szCs w:val="24"/>
        </w:rPr>
        <w:br/>
      </w:r>
      <w:r w:rsidRPr="00B91070">
        <w:rPr>
          <w:szCs w:val="24"/>
        </w:rPr>
        <w:t>(vi)  Army Nomenclature:  MIL-STD-1464A (AR), Army Nomenclature System, May 15, 1987.</w:t>
      </w:r>
    </w:p>
    <w:p w14:paraId="2E656CA1" w14:textId="77777777" w:rsidR="00A51113" w:rsidRDefault="00A51113" w:rsidP="007E6786">
      <w:pPr>
        <w:pStyle w:val="List3"/>
        <w:rPr>
          <w:b/>
        </w:rPr>
      </w:pPr>
      <w:r>
        <w:rPr>
          <w:b/>
          <w:szCs w:val="24"/>
        </w:rPr>
        <w:br/>
      </w:r>
      <w:r w:rsidRPr="00B91070">
        <w:rPr>
          <w:szCs w:val="24"/>
        </w:rPr>
        <w:t>(vii)  Navy Nomenclature:  MIL-STD-1661(OS), Mark and Mod Nomenclature System, August 1, 1978.</w:t>
      </w:r>
    </w:p>
    <w:p w14:paraId="04052612" w14:textId="77777777" w:rsidR="00A51113" w:rsidRDefault="00A51113" w:rsidP="007E6786">
      <w:r>
        <w:rPr>
          <w:b/>
          <w:szCs w:val="24"/>
        </w:rPr>
        <w:br/>
      </w:r>
      <w:r w:rsidRPr="00B91070">
        <w:rPr>
          <w:szCs w:val="24"/>
        </w:rPr>
        <w:tab/>
        <w:t xml:space="preserve">(17)  “Unique item identifier (UII).”  See DFARS clause 252.211-7003. </w:t>
      </w:r>
    </w:p>
    <w:p w14:paraId="54924240" w14:textId="77777777" w:rsidR="00A51113" w:rsidRDefault="00A51113" w:rsidP="007E6786">
      <w:r>
        <w:lastRenderedPageBreak/>
        <w:br/>
      </w:r>
      <w:r w:rsidRPr="00B91070">
        <w:tab/>
        <w:t xml:space="preserve">(18)  “Unit of measure” means a measurement term, as listed in Table 81, Unit of Measure Designations, Volume 10, DoD 4100.39-M, Federal Logistics Information System, used in conjunction with a unit of issue of related national stock numbers. </w:t>
      </w:r>
    </w:p>
    <w:p w14:paraId="0A04768F" w14:textId="77777777" w:rsidR="00A51113" w:rsidRDefault="00A51113" w:rsidP="007E6786">
      <w:pPr>
        <w:pStyle w:val="Heading4"/>
      </w:pPr>
      <w:r>
        <w:br/>
      </w:r>
      <w:bookmarkStart w:id="29" w:name="_Toc37677778"/>
      <w:bookmarkStart w:id="30" w:name="_Toc37756666"/>
      <w:r w:rsidRPr="00B91070">
        <w:rPr>
          <w:b/>
        </w:rPr>
        <w:t>PGI 245.201-71  Security classification.</w:t>
      </w:r>
      <w:bookmarkEnd w:id="29"/>
      <w:bookmarkEnd w:id="30"/>
    </w:p>
    <w:p w14:paraId="6844EF3D" w14:textId="77777777" w:rsidR="00A51113" w:rsidRDefault="00A51113" w:rsidP="007E6786">
      <w:r>
        <w:rPr>
          <w:b/>
          <w:szCs w:val="24"/>
        </w:rPr>
        <w:br/>
      </w:r>
      <w:r w:rsidRPr="00B91070">
        <w:rPr>
          <w:b/>
          <w:szCs w:val="24"/>
        </w:rPr>
        <w:tab/>
      </w:r>
      <w:r w:rsidRPr="00B91070">
        <w:rPr>
          <w:szCs w:val="24"/>
        </w:rPr>
        <w:t xml:space="preserve">Classified contracts are not exempt from including GFP attachments solely because the contracts are classified. </w:t>
      </w:r>
    </w:p>
    <w:p w14:paraId="379AE634" w14:textId="77777777" w:rsidR="00A51113" w:rsidRPr="00B91070" w:rsidRDefault="00A51113" w:rsidP="007E6786">
      <w:pPr>
        <w:rPr>
          <w:b/>
        </w:rPr>
      </w:pPr>
      <w:r>
        <w:br/>
      </w:r>
      <w:bookmarkEnd w:id="22"/>
    </w:p>
    <w:p w14:paraId="4C7E3A12" w14:textId="77777777" w:rsidR="00A51113" w:rsidRDefault="00A51113">
      <w:pPr>
        <w:sectPr w:rsidR="00A51113" w:rsidSect="008D0B8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pPr>
    </w:p>
    <w:p w14:paraId="2186B4EF" w14:textId="77777777" w:rsidR="00A51113" w:rsidRDefault="00A51113" w:rsidP="005A6A90">
      <w:pPr>
        <w:jc w:val="center"/>
      </w:pPr>
      <w:r w:rsidRPr="00990D69">
        <w:rPr>
          <w:i/>
          <w:szCs w:val="24"/>
        </w:rPr>
        <w:lastRenderedPageBreak/>
        <w:t>(</w:t>
      </w:r>
      <w:r>
        <w:rPr>
          <w:i/>
          <w:szCs w:val="24"/>
        </w:rPr>
        <w:t>Revised August 2, 2016</w:t>
      </w:r>
      <w:r w:rsidRPr="00990D69">
        <w:rPr>
          <w:i/>
          <w:szCs w:val="24"/>
        </w:rPr>
        <w:t>)</w:t>
      </w:r>
    </w:p>
    <w:p w14:paraId="47D7F9FC" w14:textId="77777777" w:rsidR="00A51113" w:rsidRDefault="00A51113" w:rsidP="005A6A90">
      <w:pPr>
        <w:pStyle w:val="Heading2"/>
      </w:pPr>
      <w:r>
        <w:rPr>
          <w:i/>
          <w:szCs w:val="24"/>
        </w:rPr>
        <w:br/>
      </w:r>
      <w:bookmarkStart w:id="31" w:name="_Toc37415912"/>
      <w:bookmarkStart w:id="32" w:name="_Toc37677779"/>
      <w:bookmarkStart w:id="33" w:name="_Toc37756667"/>
      <w:r w:rsidRPr="0013238E">
        <w:rPr>
          <w:rFonts w:cs="Courier New"/>
          <w:szCs w:val="24"/>
        </w:rPr>
        <w:t>PGI 245.</w:t>
      </w:r>
      <w:r>
        <w:rPr>
          <w:rFonts w:cs="Courier New"/>
          <w:szCs w:val="24"/>
        </w:rPr>
        <w:t xml:space="preserve">4—TITLE </w:t>
      </w:r>
      <w:r w:rsidRPr="0013238E">
        <w:rPr>
          <w:rFonts w:cs="Courier New"/>
          <w:szCs w:val="24"/>
        </w:rPr>
        <w:t>TO GOVERNMENT PROPERTY</w:t>
      </w:r>
      <w:bookmarkEnd w:id="31"/>
      <w:bookmarkEnd w:id="32"/>
      <w:bookmarkEnd w:id="33"/>
    </w:p>
    <w:p w14:paraId="439E0520" w14:textId="77777777" w:rsidR="00A51113" w:rsidRDefault="00A51113" w:rsidP="005A6A90">
      <w:pPr>
        <w:pStyle w:val="Heading3"/>
      </w:pPr>
      <w:r>
        <w:rPr>
          <w:rFonts w:cs="Courier New"/>
          <w:b/>
          <w:szCs w:val="24"/>
        </w:rPr>
        <w:br/>
      </w:r>
      <w:bookmarkStart w:id="34" w:name="_Toc37415913"/>
      <w:bookmarkStart w:id="35" w:name="_Toc37677780"/>
      <w:bookmarkStart w:id="36" w:name="_Toc37756668"/>
      <w:r w:rsidRPr="0013238E">
        <w:rPr>
          <w:rFonts w:cs="Courier New"/>
          <w:b/>
          <w:szCs w:val="24"/>
        </w:rPr>
        <w:t>PGI 24</w:t>
      </w:r>
      <w:r>
        <w:rPr>
          <w:rFonts w:cs="Courier New"/>
          <w:b/>
          <w:szCs w:val="24"/>
        </w:rPr>
        <w:t>5.402  Title to contractor-a</w:t>
      </w:r>
      <w:r w:rsidRPr="0013238E">
        <w:rPr>
          <w:rFonts w:cs="Courier New"/>
          <w:b/>
          <w:szCs w:val="24"/>
        </w:rPr>
        <w:t>cquired property</w:t>
      </w:r>
      <w:r>
        <w:rPr>
          <w:rFonts w:cs="Courier New"/>
          <w:b/>
          <w:szCs w:val="24"/>
        </w:rPr>
        <w:t>.</w:t>
      </w:r>
      <w:bookmarkEnd w:id="34"/>
      <w:bookmarkEnd w:id="35"/>
      <w:bookmarkEnd w:id="36"/>
    </w:p>
    <w:p w14:paraId="20376888" w14:textId="77777777" w:rsidR="00A51113" w:rsidRDefault="00A51113" w:rsidP="005A6A90">
      <w:pPr>
        <w:pStyle w:val="Heading4"/>
      </w:pPr>
      <w:r>
        <w:rPr>
          <w:b/>
        </w:rPr>
        <w:br/>
      </w:r>
      <w:bookmarkStart w:id="37" w:name="_Toc37677781"/>
      <w:bookmarkStart w:id="38" w:name="_Toc37756669"/>
      <w:r w:rsidRPr="0013238E">
        <w:rPr>
          <w:b/>
        </w:rPr>
        <w:t>PGI 245.</w:t>
      </w:r>
      <w:r>
        <w:rPr>
          <w:b/>
        </w:rPr>
        <w:t>402-70  Policy.</w:t>
      </w:r>
      <w:bookmarkEnd w:id="37"/>
      <w:bookmarkEnd w:id="38"/>
    </w:p>
    <w:p w14:paraId="08B1DCF6" w14:textId="77777777" w:rsidR="00A51113" w:rsidRDefault="00A51113" w:rsidP="005A6A90">
      <w:r>
        <w:rPr>
          <w:rFonts w:cs="Courier New"/>
          <w:b/>
          <w:szCs w:val="24"/>
        </w:rPr>
        <w:br/>
      </w:r>
      <w:r w:rsidRPr="00711097">
        <w:rPr>
          <w:rFonts w:cs="Courier New"/>
          <w:szCs w:val="24"/>
          <w:lang w:val="en"/>
        </w:rPr>
        <w:t>Title vests in the Government for all property acquired or fabricated by the contractor in a</w:t>
      </w:r>
      <w:smartTag w:uri="urn:schemas-microsoft-com:office:smarttags" w:element="PersonName">
        <w:r w:rsidRPr="00711097">
          <w:rPr>
            <w:rFonts w:cs="Courier New"/>
            <w:szCs w:val="24"/>
            <w:lang w:val="en"/>
          </w:rPr>
          <w:t>cco</w:t>
        </w:r>
      </w:smartTag>
      <w:r w:rsidRPr="00711097">
        <w:rPr>
          <w:rFonts w:cs="Courier New"/>
          <w:szCs w:val="24"/>
          <w:lang w:val="en"/>
        </w:rPr>
        <w:t xml:space="preserve">rdance with </w:t>
      </w:r>
      <w:r w:rsidRPr="002033FA">
        <w:rPr>
          <w:rFonts w:cs="Courier New"/>
          <w:szCs w:val="24"/>
          <w:lang w:val="en"/>
        </w:rPr>
        <w:t xml:space="preserve">paragraph (e)(3) of the clause at FAR </w:t>
      </w:r>
      <w:r w:rsidRPr="00464B94">
        <w:rPr>
          <w:rFonts w:cs="Courier New"/>
          <w:szCs w:val="24"/>
          <w:lang w:val="en"/>
        </w:rPr>
        <w:t>52.245-1</w:t>
      </w:r>
      <w:r w:rsidRPr="002033FA">
        <w:rPr>
          <w:rFonts w:cs="Courier New"/>
          <w:szCs w:val="24"/>
          <w:lang w:val="en"/>
        </w:rPr>
        <w:t>, Government Property</w:t>
      </w:r>
      <w:r w:rsidRPr="00711097">
        <w:rPr>
          <w:rFonts w:cs="Courier New"/>
          <w:szCs w:val="24"/>
          <w:lang w:val="en"/>
        </w:rPr>
        <w:t xml:space="preserve">.  </w:t>
      </w:r>
      <w:r w:rsidRPr="00711097">
        <w:rPr>
          <w:rFonts w:cs="Courier New"/>
          <w:szCs w:val="24"/>
        </w:rPr>
        <w:t xml:space="preserve">Oversight and visibility of </w:t>
      </w:r>
      <w:r>
        <w:rPr>
          <w:rFonts w:cs="Courier New"/>
          <w:szCs w:val="24"/>
        </w:rPr>
        <w:t>contractor-acquired</w:t>
      </w:r>
      <w:r w:rsidRPr="00711097">
        <w:rPr>
          <w:rFonts w:cs="Courier New"/>
          <w:szCs w:val="24"/>
        </w:rPr>
        <w:t xml:space="preserve"> property</w:t>
      </w:r>
      <w:r>
        <w:rPr>
          <w:rFonts w:cs="Courier New"/>
          <w:szCs w:val="24"/>
        </w:rPr>
        <w:t xml:space="preserve"> (CAP)</w:t>
      </w:r>
      <w:r w:rsidRPr="00711097">
        <w:rPr>
          <w:rFonts w:cs="Courier New"/>
          <w:szCs w:val="24"/>
        </w:rPr>
        <w:t xml:space="preserve"> is </w:t>
      </w:r>
      <w:r>
        <w:rPr>
          <w:rFonts w:cs="Courier New"/>
          <w:szCs w:val="24"/>
        </w:rPr>
        <w:t>accomplished through</w:t>
      </w:r>
      <w:r w:rsidRPr="00711097">
        <w:rPr>
          <w:rFonts w:cs="Courier New"/>
          <w:bCs/>
          <w:iCs/>
          <w:szCs w:val="24"/>
        </w:rPr>
        <w:t xml:space="preserve"> reviews and audits of contractor </w:t>
      </w:r>
      <w:r>
        <w:rPr>
          <w:rFonts w:cs="Courier New"/>
          <w:bCs/>
          <w:iCs/>
          <w:szCs w:val="24"/>
        </w:rPr>
        <w:t>business</w:t>
      </w:r>
      <w:r w:rsidRPr="00711097">
        <w:rPr>
          <w:rFonts w:cs="Courier New"/>
          <w:bCs/>
          <w:iCs/>
          <w:szCs w:val="24"/>
        </w:rPr>
        <w:t xml:space="preserve"> systems</w:t>
      </w:r>
      <w:r>
        <w:rPr>
          <w:rFonts w:cs="Courier New"/>
          <w:bCs/>
          <w:iCs/>
          <w:szCs w:val="24"/>
        </w:rPr>
        <w:t>, including—</w:t>
      </w:r>
    </w:p>
    <w:p w14:paraId="2A767BA5" w14:textId="77777777" w:rsidR="00A51113" w:rsidRDefault="00A51113" w:rsidP="005A6A90">
      <w:pPr>
        <w:pStyle w:val="List2"/>
      </w:pPr>
      <w:r>
        <w:rPr>
          <w:rFonts w:cs="Courier New"/>
          <w:bCs/>
          <w:iCs/>
          <w:szCs w:val="24"/>
        </w:rPr>
        <w:br/>
      </w:r>
      <w:r w:rsidRPr="002033FA">
        <w:rPr>
          <w:rFonts w:cs="Courier New"/>
          <w:bCs/>
          <w:iCs/>
          <w:szCs w:val="24"/>
        </w:rPr>
        <w:t xml:space="preserve">(1)  Accounting systems (see DFARS </w:t>
      </w:r>
      <w:hyperlink r:id="rId27" w:history="1">
        <w:r w:rsidRPr="00CA69CE">
          <w:rPr>
            <w:rStyle w:val="Hyperlink"/>
            <w:rFonts w:cs="Courier New"/>
            <w:bCs/>
            <w:iCs/>
            <w:szCs w:val="24"/>
          </w:rPr>
          <w:t>242.75</w:t>
        </w:r>
      </w:hyperlink>
      <w:r w:rsidRPr="002033FA">
        <w:rPr>
          <w:rFonts w:cs="Courier New"/>
          <w:bCs/>
          <w:iCs/>
          <w:szCs w:val="24"/>
        </w:rPr>
        <w:t>);</w:t>
      </w:r>
    </w:p>
    <w:p w14:paraId="1E723E36" w14:textId="77777777" w:rsidR="00A51113" w:rsidRDefault="00A51113" w:rsidP="005A6A90">
      <w:pPr>
        <w:pStyle w:val="List2"/>
      </w:pPr>
      <w:r>
        <w:rPr>
          <w:rFonts w:cs="Courier New"/>
          <w:bCs/>
          <w:iCs/>
          <w:szCs w:val="24"/>
        </w:rPr>
        <w:br/>
      </w:r>
      <w:r w:rsidRPr="002033FA">
        <w:rPr>
          <w:rFonts w:cs="Courier New"/>
          <w:bCs/>
          <w:iCs/>
          <w:szCs w:val="24"/>
        </w:rPr>
        <w:t xml:space="preserve">(2)  Property management systems (see DFARS </w:t>
      </w:r>
      <w:hyperlink r:id="rId28" w:anchor="245.105" w:history="1">
        <w:r w:rsidRPr="00CA69CE">
          <w:rPr>
            <w:rStyle w:val="Hyperlink"/>
            <w:rFonts w:cs="Courier New"/>
            <w:bCs/>
            <w:iCs/>
            <w:szCs w:val="24"/>
          </w:rPr>
          <w:t>245.105</w:t>
        </w:r>
      </w:hyperlink>
      <w:r w:rsidRPr="002033FA">
        <w:rPr>
          <w:rFonts w:cs="Courier New"/>
          <w:bCs/>
          <w:iCs/>
          <w:szCs w:val="24"/>
        </w:rPr>
        <w:t>); and</w:t>
      </w:r>
    </w:p>
    <w:p w14:paraId="1FC96C38" w14:textId="77777777" w:rsidR="00A51113" w:rsidRDefault="00A51113" w:rsidP="005A6A90">
      <w:pPr>
        <w:pStyle w:val="List2"/>
      </w:pPr>
      <w:r>
        <w:rPr>
          <w:rFonts w:cs="Courier New"/>
          <w:bCs/>
          <w:iCs/>
          <w:szCs w:val="24"/>
        </w:rPr>
        <w:br/>
      </w:r>
      <w:r w:rsidRPr="002033FA">
        <w:rPr>
          <w:rFonts w:cs="Courier New"/>
          <w:bCs/>
          <w:iCs/>
          <w:szCs w:val="24"/>
        </w:rPr>
        <w:t>(3)  Material management and account</w:t>
      </w:r>
      <w:r>
        <w:rPr>
          <w:rFonts w:cs="Courier New"/>
          <w:bCs/>
          <w:iCs/>
          <w:szCs w:val="24"/>
        </w:rPr>
        <w:t xml:space="preserve">ing systems (see DFARS </w:t>
      </w:r>
      <w:hyperlink r:id="rId29" w:history="1">
        <w:r w:rsidRPr="00CA69CE">
          <w:rPr>
            <w:rStyle w:val="Hyperlink"/>
            <w:rFonts w:cs="Courier New"/>
            <w:bCs/>
            <w:iCs/>
            <w:szCs w:val="24"/>
          </w:rPr>
          <w:t>242.72</w:t>
        </w:r>
      </w:hyperlink>
      <w:r>
        <w:rPr>
          <w:rFonts w:cs="Courier New"/>
          <w:bCs/>
          <w:iCs/>
          <w:szCs w:val="24"/>
        </w:rPr>
        <w:t>).</w:t>
      </w:r>
    </w:p>
    <w:p w14:paraId="0D496894" w14:textId="77777777" w:rsidR="00A51113" w:rsidRDefault="00A51113" w:rsidP="005A6A90">
      <w:pPr>
        <w:pStyle w:val="Heading4"/>
      </w:pPr>
      <w:r>
        <w:rPr>
          <w:rFonts w:cs="Courier New"/>
          <w:bCs/>
          <w:iCs/>
          <w:szCs w:val="24"/>
        </w:rPr>
        <w:br/>
      </w:r>
      <w:bookmarkStart w:id="39" w:name="_Toc37677782"/>
      <w:bookmarkStart w:id="40" w:name="_Toc37756670"/>
      <w:r>
        <w:rPr>
          <w:rFonts w:cs="Courier New"/>
          <w:b/>
          <w:szCs w:val="24"/>
        </w:rPr>
        <w:t>PGI 245.402-</w:t>
      </w:r>
      <w:r w:rsidRPr="0013238E">
        <w:rPr>
          <w:rFonts w:cs="Courier New"/>
          <w:b/>
          <w:szCs w:val="24"/>
        </w:rPr>
        <w:t xml:space="preserve">71  Delivery of </w:t>
      </w:r>
      <w:r>
        <w:rPr>
          <w:rFonts w:cs="Courier New"/>
          <w:b/>
          <w:szCs w:val="24"/>
        </w:rPr>
        <w:t>contractor-acquired property.</w:t>
      </w:r>
      <w:bookmarkEnd w:id="39"/>
      <w:bookmarkEnd w:id="40"/>
    </w:p>
    <w:p w14:paraId="543DAD23" w14:textId="77777777" w:rsidR="00A51113" w:rsidRPr="002033FA" w:rsidRDefault="00A51113" w:rsidP="005A6A90">
      <w:pPr>
        <w:pStyle w:val="List2"/>
      </w:pPr>
      <w:r>
        <w:rPr>
          <w:rFonts w:cs="Courier New"/>
          <w:b/>
          <w:szCs w:val="24"/>
        </w:rPr>
        <w:br/>
      </w:r>
      <w:r w:rsidRPr="002033FA">
        <w:rPr>
          <w:szCs w:val="24"/>
        </w:rPr>
        <w:t xml:space="preserve">(1)  The contractual transfer of accountability of CAP from one contract to another is prohibited.  Only upon delivery under a line item can property be transferred to other contracts as Government-furnished property (GFP) (see </w:t>
      </w:r>
      <w:hyperlink r:id="rId30" w:anchor="245.103-71" w:history="1">
        <w:r w:rsidRPr="00CA69CE">
          <w:rPr>
            <w:rStyle w:val="Hyperlink"/>
            <w:szCs w:val="24"/>
          </w:rPr>
          <w:t>PGI 245.103-71</w:t>
        </w:r>
      </w:hyperlink>
      <w:r w:rsidRPr="002033FA">
        <w:rPr>
          <w:szCs w:val="24"/>
        </w:rPr>
        <w:t>).</w:t>
      </w:r>
    </w:p>
    <w:p w14:paraId="5D27FA78" w14:textId="77777777" w:rsidR="00A51113" w:rsidRPr="002033FA" w:rsidRDefault="00A51113" w:rsidP="005A6A90">
      <w:pPr>
        <w:pStyle w:val="List2"/>
      </w:pPr>
      <w:r w:rsidRPr="002033FA">
        <w:rPr>
          <w:rFonts w:cs="Courier New"/>
          <w:bCs/>
          <w:szCs w:val="24"/>
        </w:rPr>
        <w:tab/>
      </w:r>
      <w:r w:rsidRPr="002033FA">
        <w:rPr>
          <w:rFonts w:cs="Courier New"/>
          <w:bCs/>
          <w:szCs w:val="24"/>
        </w:rPr>
        <w:tab/>
      </w:r>
    </w:p>
    <w:p w14:paraId="61C0B6DE" w14:textId="77777777" w:rsidR="00A51113" w:rsidRDefault="00A51113" w:rsidP="005A6A90">
      <w:pPr>
        <w:pStyle w:val="List2"/>
        <w:rPr>
          <w:iCs/>
        </w:rPr>
      </w:pPr>
      <w:r w:rsidRPr="002033FA">
        <w:rPr>
          <w:iCs/>
        </w:rPr>
        <w:t xml:space="preserve">(2)  Upon delivery and acceptance by the Government, and when retained by the contractor for use under a contract, the delivered CAP items become GFP and shall be added to the contract GFP attachment (see </w:t>
      </w:r>
      <w:hyperlink r:id="rId31" w:anchor="245.103-72" w:history="1">
        <w:r w:rsidRPr="00F325CA">
          <w:rPr>
            <w:rStyle w:val="Hyperlink"/>
            <w:rFonts w:cs="Courier New"/>
            <w:bCs/>
            <w:iCs/>
            <w:szCs w:val="24"/>
          </w:rPr>
          <w:t>PGI 245.103-72</w:t>
        </w:r>
      </w:hyperlink>
      <w:r w:rsidRPr="002033FA">
        <w:rPr>
          <w:iCs/>
        </w:rPr>
        <w:t>).</w:t>
      </w:r>
    </w:p>
    <w:p w14:paraId="3934445B" w14:textId="77777777" w:rsidR="00A51113" w:rsidRDefault="00A51113" w:rsidP="005A6A90">
      <w:pPr>
        <w:pStyle w:val="List2"/>
        <w:rPr>
          <w:b/>
        </w:rPr>
      </w:pPr>
      <w:r>
        <w:rPr>
          <w:rFonts w:cs="Courier New"/>
          <w:bCs/>
          <w:iCs/>
          <w:szCs w:val="24"/>
        </w:rPr>
        <w:br/>
      </w:r>
      <w:r w:rsidRPr="002033FA">
        <w:rPr>
          <w:rFonts w:cs="Courier New"/>
          <w:bCs/>
          <w:iCs/>
          <w:spacing w:val="-5"/>
          <w:kern w:val="20"/>
          <w:szCs w:val="24"/>
        </w:rPr>
        <w:t xml:space="preserve">(3)  </w:t>
      </w:r>
      <w:r w:rsidRPr="002033FA">
        <w:rPr>
          <w:rFonts w:cs="Courier New"/>
          <w:bCs/>
          <w:i/>
          <w:iCs/>
          <w:spacing w:val="-5"/>
          <w:kern w:val="20"/>
          <w:szCs w:val="24"/>
        </w:rPr>
        <w:t>Contractor-acquired property not anticipated at time of contract award.</w:t>
      </w:r>
    </w:p>
    <w:p w14:paraId="252F2B81" w14:textId="77777777" w:rsidR="00A51113" w:rsidRDefault="00A51113" w:rsidP="009A2025">
      <w:pPr>
        <w:pStyle w:val="List3"/>
      </w:pPr>
      <w:r>
        <w:rPr>
          <w:rFonts w:cs="Courier New"/>
          <w:b/>
          <w:bCs/>
          <w:i/>
          <w:iCs/>
          <w:spacing w:val="-5"/>
          <w:kern w:val="20"/>
        </w:rPr>
        <w:br/>
      </w:r>
      <w:r w:rsidRPr="002033FA">
        <w:rPr>
          <w:rFonts w:cs="Courier New"/>
          <w:bCs/>
          <w:iCs/>
          <w:spacing w:val="-5"/>
          <w:kern w:val="20"/>
        </w:rPr>
        <w:t xml:space="preserve">(i)  For </w:t>
      </w:r>
      <w:r w:rsidRPr="002033FA">
        <w:rPr>
          <w:rFonts w:cs="Courier New"/>
          <w:bCs/>
          <w:iCs/>
        </w:rPr>
        <w:t xml:space="preserve">CAP not anticipated at the time of contract award, or not otherwise specified </w:t>
      </w:r>
      <w:r w:rsidRPr="002033FA">
        <w:rPr>
          <w:rFonts w:cs="Courier New"/>
          <w:bCs/>
          <w:iCs/>
        </w:rPr>
        <w:lastRenderedPageBreak/>
        <w:t>for delivery on an existing line item, the contracting officer shall direct delivery of the CAP items to the Government on a not separately priced (NSP) line item (e.g. contract line item, exhibit line item, etc.). Such items are typically identified through—</w:t>
      </w:r>
    </w:p>
    <w:p w14:paraId="1DA4C28A" w14:textId="77777777" w:rsidR="00A51113" w:rsidRDefault="00A51113" w:rsidP="005A6A90">
      <w:pPr>
        <w:pStyle w:val="List4"/>
        <w:rPr>
          <w:b/>
        </w:rPr>
      </w:pPr>
      <w:r>
        <w:rPr>
          <w:rFonts w:cs="Courier New"/>
          <w:b/>
          <w:bCs/>
          <w:iCs/>
          <w:szCs w:val="24"/>
        </w:rPr>
        <w:br/>
      </w:r>
      <w:r w:rsidRPr="002033FA">
        <w:rPr>
          <w:rFonts w:cs="Courier New"/>
          <w:bCs/>
          <w:iCs/>
          <w:szCs w:val="24"/>
        </w:rPr>
        <w:t xml:space="preserve">(A)  Plant clearance in accordance with the clause at DFARS </w:t>
      </w:r>
      <w:hyperlink r:id="rId32" w:anchor="252.245-7004" w:history="1">
        <w:r w:rsidRPr="00F325CA">
          <w:rPr>
            <w:rStyle w:val="Hyperlink"/>
            <w:rFonts w:cs="Courier New"/>
            <w:bCs/>
            <w:iCs/>
            <w:szCs w:val="24"/>
          </w:rPr>
          <w:t>252.245-7004</w:t>
        </w:r>
      </w:hyperlink>
      <w:r w:rsidRPr="002033FA">
        <w:rPr>
          <w:rFonts w:cs="Courier New"/>
          <w:bCs/>
          <w:iCs/>
          <w:szCs w:val="24"/>
        </w:rPr>
        <w:t>, Reporting, reutilization, and Disposal;</w:t>
      </w:r>
    </w:p>
    <w:p w14:paraId="54C7F755" w14:textId="77777777" w:rsidR="00A51113" w:rsidRDefault="00A51113" w:rsidP="005A6A90">
      <w:pPr>
        <w:pStyle w:val="List4"/>
        <w:rPr>
          <w:b/>
        </w:rPr>
      </w:pPr>
      <w:r>
        <w:rPr>
          <w:rFonts w:cs="Courier New"/>
          <w:b/>
          <w:bCs/>
          <w:iCs/>
          <w:szCs w:val="24"/>
        </w:rPr>
        <w:br/>
      </w:r>
      <w:r w:rsidRPr="002033FA">
        <w:rPr>
          <w:rFonts w:cs="Courier New"/>
          <w:bCs/>
          <w:iCs/>
          <w:szCs w:val="24"/>
        </w:rPr>
        <w:t xml:space="preserve">(B)  Inventory reports provided by the contractor in accordance with FAR clause </w:t>
      </w:r>
      <w:r w:rsidRPr="00191C3E">
        <w:rPr>
          <w:rFonts w:cs="Courier New"/>
          <w:bCs/>
          <w:iCs/>
          <w:szCs w:val="24"/>
        </w:rPr>
        <w:t>52.245-1</w:t>
      </w:r>
      <w:r w:rsidRPr="002033FA">
        <w:rPr>
          <w:rFonts w:cs="Courier New"/>
          <w:bCs/>
          <w:iCs/>
          <w:szCs w:val="24"/>
        </w:rPr>
        <w:t>; or</w:t>
      </w:r>
    </w:p>
    <w:p w14:paraId="1668517F" w14:textId="77777777" w:rsidR="00A51113" w:rsidRDefault="00A51113" w:rsidP="005A6A90">
      <w:pPr>
        <w:pStyle w:val="List4"/>
        <w:rPr>
          <w:b/>
        </w:rPr>
      </w:pPr>
      <w:r>
        <w:rPr>
          <w:rFonts w:cs="Courier New"/>
          <w:b/>
          <w:bCs/>
          <w:iCs/>
          <w:szCs w:val="24"/>
        </w:rPr>
        <w:br/>
      </w:r>
      <w:r w:rsidRPr="002033FA">
        <w:rPr>
          <w:rFonts w:cs="Courier New"/>
          <w:bCs/>
          <w:iCs/>
          <w:szCs w:val="24"/>
        </w:rPr>
        <w:t>(C)  Other reporting requirements specified in the contract.</w:t>
      </w:r>
    </w:p>
    <w:p w14:paraId="3B0B31E7" w14:textId="77777777" w:rsidR="00A51113" w:rsidRDefault="00A51113" w:rsidP="005A6A90">
      <w:pPr>
        <w:pStyle w:val="List3"/>
      </w:pPr>
      <w:r>
        <w:rPr>
          <w:rFonts w:cs="Courier New"/>
          <w:b/>
          <w:bCs/>
          <w:iCs/>
          <w:szCs w:val="24"/>
        </w:rPr>
        <w:br/>
      </w:r>
      <w:r w:rsidRPr="002033FA">
        <w:rPr>
          <w:rFonts w:cs="Courier New"/>
          <w:bCs/>
          <w:iCs/>
          <w:szCs w:val="24"/>
        </w:rPr>
        <w:t>(ii)  The contracting officer shall direct delivery of CAP on a line item as soon as the CAP item is identified, if—</w:t>
      </w:r>
    </w:p>
    <w:p w14:paraId="378650AC" w14:textId="77777777" w:rsidR="00A51113" w:rsidRDefault="00A51113" w:rsidP="005A6A90">
      <w:pPr>
        <w:pStyle w:val="List4"/>
      </w:pPr>
      <w:r>
        <w:rPr>
          <w:rFonts w:cs="Courier New"/>
          <w:bCs/>
          <w:iCs/>
          <w:szCs w:val="24"/>
        </w:rPr>
        <w:br/>
      </w:r>
      <w:r w:rsidRPr="002033FA">
        <w:rPr>
          <w:rFonts w:cs="Courier New"/>
          <w:bCs/>
          <w:iCs/>
          <w:szCs w:val="24"/>
        </w:rPr>
        <w:t>(A)  The value of the item meets</w:t>
      </w:r>
      <w:r w:rsidRPr="002033FA">
        <w:rPr>
          <w:szCs w:val="24"/>
        </w:rPr>
        <w:t xml:space="preserve"> or exceeds the capitalization threshold as identified in the memorandum issued jointly by the Under Secretary of Defense (USD) Comptroller and the USD (Acquisition, Technology, and Logistics) on 20 September 2013, entitled, “Elimination of Military Equipment Definition and Increase to Capitalization Thresholds for General Property, Plant and Equipment” (available at  </w:t>
      </w:r>
      <w:hyperlink r:id="rId33" w:history="1">
        <w:r w:rsidRPr="002033FA">
          <w:rPr>
            <w:rStyle w:val="Hyperlink"/>
            <w:szCs w:val="24"/>
          </w:rPr>
          <w:t>http://www.acq.osd.mil/pepolicy/pdfs/FinancialReportingGPPEMemo.pdf</w:t>
        </w:r>
      </w:hyperlink>
      <w:r w:rsidRPr="002033FA">
        <w:rPr>
          <w:rFonts w:cs="Courier New"/>
          <w:bCs/>
          <w:iCs/>
          <w:szCs w:val="24"/>
        </w:rPr>
        <w:t>) or;</w:t>
      </w:r>
    </w:p>
    <w:p w14:paraId="36D1A396" w14:textId="77777777" w:rsidR="00A51113" w:rsidRDefault="00A51113" w:rsidP="005A6A90">
      <w:pPr>
        <w:pStyle w:val="List4"/>
      </w:pPr>
      <w:r>
        <w:rPr>
          <w:rFonts w:cs="Courier New"/>
          <w:bCs/>
          <w:iCs/>
          <w:szCs w:val="24"/>
        </w:rPr>
        <w:br/>
      </w:r>
      <w:r w:rsidRPr="002033FA">
        <w:rPr>
          <w:rFonts w:cs="Courier New"/>
          <w:bCs/>
          <w:iCs/>
          <w:szCs w:val="24"/>
        </w:rPr>
        <w:t xml:space="preserve">(B)  The item is special tooling, special test equipment, or equipment </w:t>
      </w:r>
      <w:r w:rsidRPr="002033FA">
        <w:rPr>
          <w:szCs w:val="24"/>
        </w:rPr>
        <w:t>designated for preservation and storage under a major defense acquisition program (reference: Section 815 of the National Defense Authorization Act for Fiscal Year 2009 (Pub. L. 110-417))</w:t>
      </w:r>
      <w:r w:rsidRPr="002033FA">
        <w:rPr>
          <w:rFonts w:cs="Courier New"/>
          <w:szCs w:val="24"/>
        </w:rPr>
        <w:t>.</w:t>
      </w:r>
    </w:p>
    <w:p w14:paraId="237D87D0" w14:textId="77777777" w:rsidR="00A51113" w:rsidRDefault="00A51113" w:rsidP="005A6A90">
      <w:pPr>
        <w:pStyle w:val="List3"/>
      </w:pPr>
      <w:r>
        <w:rPr>
          <w:szCs w:val="24"/>
        </w:rPr>
        <w:br/>
      </w:r>
      <w:r w:rsidRPr="002033FA">
        <w:rPr>
          <w:rFonts w:cs="Courier New"/>
          <w:szCs w:val="24"/>
        </w:rPr>
        <w:t xml:space="preserve">(iii)  Each NSP line item of CAP to be delivered to the Government shall include the following information: </w:t>
      </w:r>
    </w:p>
    <w:p w14:paraId="21CFF3A2" w14:textId="77777777" w:rsidR="00A51113" w:rsidRPr="002033FA" w:rsidRDefault="00A51113" w:rsidP="005A6A90">
      <w:r>
        <w:rPr>
          <w:rFonts w:cs="Courier New"/>
          <w:szCs w:val="24"/>
        </w:rPr>
        <w:br/>
      </w:r>
      <w:r w:rsidRPr="002033FA">
        <w:rPr>
          <w:sz w:val="20"/>
        </w:rPr>
        <w:t>Contractor-Acquired Property Delivery NSP Line Item</w:t>
      </w: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440"/>
        <w:gridCol w:w="1260"/>
        <w:gridCol w:w="540"/>
        <w:gridCol w:w="540"/>
        <w:gridCol w:w="990"/>
        <w:gridCol w:w="990"/>
        <w:gridCol w:w="900"/>
        <w:gridCol w:w="1260"/>
        <w:gridCol w:w="1170"/>
      </w:tblGrid>
      <w:tr w:rsidR="00A51113" w:rsidRPr="002033FA" w14:paraId="28AC7490" w14:textId="77777777" w:rsidTr="00356765">
        <w:trPr>
          <w:trHeight w:val="809"/>
        </w:trPr>
        <w:tc>
          <w:tcPr>
            <w:tcW w:w="630" w:type="dxa"/>
            <w:vAlign w:val="bottom"/>
          </w:tcPr>
          <w:p w14:paraId="41C242C0" w14:textId="77777777" w:rsidR="00A51113" w:rsidRPr="002033FA" w:rsidRDefault="00A51113" w:rsidP="005A6A90">
            <w:r w:rsidRPr="002033FA">
              <w:rPr>
                <w:bCs/>
                <w:sz w:val="16"/>
                <w:szCs w:val="16"/>
              </w:rPr>
              <w:t>LI</w:t>
            </w:r>
          </w:p>
        </w:tc>
        <w:tc>
          <w:tcPr>
            <w:tcW w:w="1440" w:type="dxa"/>
            <w:vAlign w:val="bottom"/>
          </w:tcPr>
          <w:p w14:paraId="5487A2BB" w14:textId="77777777" w:rsidR="00A51113" w:rsidRPr="002033FA" w:rsidRDefault="00A51113" w:rsidP="005A6A90">
            <w:r w:rsidRPr="002033FA">
              <w:rPr>
                <w:bCs/>
                <w:sz w:val="16"/>
                <w:szCs w:val="16"/>
              </w:rPr>
              <w:t>Item Description/</w:t>
            </w:r>
          </w:p>
          <w:p w14:paraId="727AB7BF" w14:textId="77777777" w:rsidR="00A51113" w:rsidRPr="002033FA" w:rsidRDefault="00A51113" w:rsidP="005A6A90">
            <w:r w:rsidRPr="002033FA">
              <w:t>Nomenclature</w:t>
            </w:r>
          </w:p>
        </w:tc>
        <w:tc>
          <w:tcPr>
            <w:tcW w:w="1260" w:type="dxa"/>
            <w:vAlign w:val="bottom"/>
          </w:tcPr>
          <w:p w14:paraId="68E81617" w14:textId="77777777" w:rsidR="00A51113" w:rsidRPr="002033FA" w:rsidRDefault="00A51113" w:rsidP="005A6A90">
            <w:r w:rsidRPr="002033FA">
              <w:rPr>
                <w:bCs/>
                <w:sz w:val="16"/>
                <w:szCs w:val="16"/>
              </w:rPr>
              <w:t>Type Designation</w:t>
            </w:r>
          </w:p>
        </w:tc>
        <w:tc>
          <w:tcPr>
            <w:tcW w:w="540" w:type="dxa"/>
            <w:vAlign w:val="bottom"/>
          </w:tcPr>
          <w:p w14:paraId="2AA46C5D" w14:textId="77777777" w:rsidR="00A51113" w:rsidRPr="002033FA" w:rsidRDefault="00A51113" w:rsidP="005A6A90">
            <w:r w:rsidRPr="002033FA">
              <w:rPr>
                <w:bCs/>
                <w:sz w:val="16"/>
                <w:szCs w:val="16"/>
              </w:rPr>
              <w:t>NSN</w:t>
            </w:r>
          </w:p>
        </w:tc>
        <w:tc>
          <w:tcPr>
            <w:tcW w:w="540" w:type="dxa"/>
            <w:vAlign w:val="bottom"/>
          </w:tcPr>
          <w:p w14:paraId="00DDF6DE" w14:textId="77777777" w:rsidR="00A51113" w:rsidRPr="002033FA" w:rsidRDefault="00A51113" w:rsidP="005A6A90">
            <w:r w:rsidRPr="002033FA">
              <w:rPr>
                <w:bCs/>
                <w:sz w:val="16"/>
                <w:szCs w:val="16"/>
              </w:rPr>
              <w:t>PIN</w:t>
            </w:r>
          </w:p>
        </w:tc>
        <w:tc>
          <w:tcPr>
            <w:tcW w:w="990" w:type="dxa"/>
            <w:vAlign w:val="bottom"/>
          </w:tcPr>
          <w:p w14:paraId="5E545646" w14:textId="77777777" w:rsidR="00A51113" w:rsidRPr="002033FA" w:rsidRDefault="00A51113" w:rsidP="005A6A90">
            <w:r w:rsidRPr="002033FA">
              <w:rPr>
                <w:bCs/>
                <w:sz w:val="16"/>
                <w:szCs w:val="16"/>
              </w:rPr>
              <w:t>Quantity</w:t>
            </w:r>
          </w:p>
        </w:tc>
        <w:tc>
          <w:tcPr>
            <w:tcW w:w="990" w:type="dxa"/>
            <w:vAlign w:val="bottom"/>
          </w:tcPr>
          <w:p w14:paraId="647E9B0A" w14:textId="77777777" w:rsidR="00A51113" w:rsidRPr="002033FA" w:rsidRDefault="00A51113" w:rsidP="005A6A90">
            <w:r w:rsidRPr="002033FA">
              <w:rPr>
                <w:bCs/>
                <w:sz w:val="16"/>
                <w:szCs w:val="16"/>
              </w:rPr>
              <w:t>Unit of Measure</w:t>
            </w:r>
          </w:p>
        </w:tc>
        <w:tc>
          <w:tcPr>
            <w:tcW w:w="900" w:type="dxa"/>
            <w:vAlign w:val="bottom"/>
          </w:tcPr>
          <w:p w14:paraId="680EAB3E" w14:textId="77777777" w:rsidR="00A51113" w:rsidRPr="002033FA" w:rsidRDefault="00A51113" w:rsidP="005A6A90">
            <w:r w:rsidRPr="002033FA">
              <w:rPr>
                <w:bCs/>
                <w:sz w:val="16"/>
                <w:szCs w:val="16"/>
              </w:rPr>
              <w:t>Serial Number</w:t>
            </w:r>
          </w:p>
          <w:p w14:paraId="15CC56D9" w14:textId="77777777" w:rsidR="00A51113" w:rsidRPr="002033FA" w:rsidRDefault="00A51113" w:rsidP="005A6A90">
            <w:r w:rsidRPr="002033FA">
              <w:t>(UII)*</w:t>
            </w:r>
          </w:p>
        </w:tc>
        <w:tc>
          <w:tcPr>
            <w:tcW w:w="1260" w:type="dxa"/>
            <w:vAlign w:val="bottom"/>
          </w:tcPr>
          <w:p w14:paraId="5B2C76D5" w14:textId="77777777" w:rsidR="00A51113" w:rsidRPr="002033FA" w:rsidRDefault="00A51113" w:rsidP="005A6A90">
            <w:r w:rsidRPr="002033FA">
              <w:rPr>
                <w:bCs/>
                <w:sz w:val="16"/>
                <w:szCs w:val="16"/>
              </w:rPr>
              <w:t xml:space="preserve">Unit </w:t>
            </w:r>
          </w:p>
          <w:p w14:paraId="53D7A577" w14:textId="77777777" w:rsidR="00A51113" w:rsidRPr="002033FA" w:rsidRDefault="00A51113" w:rsidP="005A6A90">
            <w:r w:rsidRPr="002033FA">
              <w:t>Acquisition Cost</w:t>
            </w:r>
          </w:p>
        </w:tc>
        <w:tc>
          <w:tcPr>
            <w:tcW w:w="1170" w:type="dxa"/>
            <w:vAlign w:val="bottom"/>
          </w:tcPr>
          <w:p w14:paraId="12F3A924" w14:textId="77777777" w:rsidR="00A51113" w:rsidRPr="002033FA" w:rsidRDefault="00A51113" w:rsidP="005A6A90">
            <w:r w:rsidRPr="002033FA">
              <w:rPr>
                <w:bCs/>
                <w:sz w:val="16"/>
                <w:szCs w:val="16"/>
              </w:rPr>
              <w:t>Date Placed in Service by the Contractor</w:t>
            </w:r>
          </w:p>
        </w:tc>
      </w:tr>
      <w:tr w:rsidR="00A51113" w:rsidRPr="002033FA" w14:paraId="5A6ABACD" w14:textId="77777777" w:rsidTr="00356765">
        <w:trPr>
          <w:trHeight w:val="355"/>
        </w:trPr>
        <w:tc>
          <w:tcPr>
            <w:tcW w:w="630" w:type="dxa"/>
          </w:tcPr>
          <w:p w14:paraId="7B0091C6" w14:textId="77777777" w:rsidR="00A51113" w:rsidRPr="002033FA" w:rsidRDefault="00A51113" w:rsidP="005A6A90">
            <w:r w:rsidRPr="002033FA">
              <w:rPr>
                <w:bCs/>
                <w:sz w:val="16"/>
                <w:szCs w:val="16"/>
              </w:rPr>
              <w:t>x</w:t>
            </w:r>
          </w:p>
        </w:tc>
        <w:tc>
          <w:tcPr>
            <w:tcW w:w="1440" w:type="dxa"/>
          </w:tcPr>
          <w:p w14:paraId="5FE5547C" w14:textId="77777777" w:rsidR="00A51113" w:rsidRPr="002033FA" w:rsidRDefault="00A51113" w:rsidP="005A6A90">
            <w:r w:rsidRPr="002033FA">
              <w:rPr>
                <w:bCs/>
                <w:sz w:val="16"/>
                <w:szCs w:val="16"/>
              </w:rPr>
              <w:t>x</w:t>
            </w:r>
          </w:p>
        </w:tc>
        <w:tc>
          <w:tcPr>
            <w:tcW w:w="1260" w:type="dxa"/>
          </w:tcPr>
          <w:p w14:paraId="7BE7071D" w14:textId="77777777" w:rsidR="00A51113" w:rsidRPr="002033FA" w:rsidRDefault="00A51113" w:rsidP="005A6A90">
            <w:r w:rsidRPr="002033FA">
              <w:rPr>
                <w:bCs/>
                <w:sz w:val="16"/>
                <w:szCs w:val="16"/>
              </w:rPr>
              <w:t>As required</w:t>
            </w:r>
          </w:p>
        </w:tc>
        <w:tc>
          <w:tcPr>
            <w:tcW w:w="540" w:type="dxa"/>
          </w:tcPr>
          <w:p w14:paraId="6908DD37" w14:textId="77777777" w:rsidR="00A51113" w:rsidRPr="002033FA" w:rsidRDefault="00A51113" w:rsidP="005A6A90">
            <w:r w:rsidRPr="002033FA">
              <w:rPr>
                <w:bCs/>
                <w:sz w:val="16"/>
                <w:szCs w:val="16"/>
              </w:rPr>
              <w:t>x</w:t>
            </w:r>
          </w:p>
        </w:tc>
        <w:tc>
          <w:tcPr>
            <w:tcW w:w="540" w:type="dxa"/>
          </w:tcPr>
          <w:p w14:paraId="141B8696" w14:textId="77777777" w:rsidR="00A51113" w:rsidRPr="002033FA" w:rsidRDefault="00A51113" w:rsidP="005A6A90">
            <w:r w:rsidRPr="002033FA">
              <w:rPr>
                <w:bCs/>
                <w:sz w:val="16"/>
                <w:szCs w:val="16"/>
              </w:rPr>
              <w:t>x</w:t>
            </w:r>
          </w:p>
        </w:tc>
        <w:tc>
          <w:tcPr>
            <w:tcW w:w="990" w:type="dxa"/>
          </w:tcPr>
          <w:p w14:paraId="7F06E8C7" w14:textId="77777777" w:rsidR="00A51113" w:rsidRPr="002033FA" w:rsidRDefault="00A51113" w:rsidP="005A6A90">
            <w:r w:rsidRPr="002033FA">
              <w:rPr>
                <w:bCs/>
                <w:sz w:val="16"/>
                <w:szCs w:val="16"/>
              </w:rPr>
              <w:t>x</w:t>
            </w:r>
          </w:p>
        </w:tc>
        <w:tc>
          <w:tcPr>
            <w:tcW w:w="990" w:type="dxa"/>
          </w:tcPr>
          <w:p w14:paraId="471D14A7" w14:textId="77777777" w:rsidR="00A51113" w:rsidRPr="002033FA" w:rsidRDefault="00A51113" w:rsidP="005A6A90">
            <w:r w:rsidRPr="002033FA">
              <w:rPr>
                <w:bCs/>
                <w:sz w:val="16"/>
                <w:szCs w:val="16"/>
              </w:rPr>
              <w:t>x</w:t>
            </w:r>
          </w:p>
        </w:tc>
        <w:tc>
          <w:tcPr>
            <w:tcW w:w="900" w:type="dxa"/>
          </w:tcPr>
          <w:p w14:paraId="41AE15F9" w14:textId="77777777" w:rsidR="00A51113" w:rsidRPr="002033FA" w:rsidRDefault="00A51113" w:rsidP="005A6A90">
            <w:r w:rsidRPr="002033FA">
              <w:rPr>
                <w:bCs/>
                <w:sz w:val="16"/>
                <w:szCs w:val="16"/>
              </w:rPr>
              <w:t>If known</w:t>
            </w:r>
          </w:p>
        </w:tc>
        <w:tc>
          <w:tcPr>
            <w:tcW w:w="1260" w:type="dxa"/>
          </w:tcPr>
          <w:p w14:paraId="4E8DB9FD" w14:textId="77777777" w:rsidR="00A51113" w:rsidRPr="002033FA" w:rsidRDefault="00A51113" w:rsidP="005A6A90">
            <w:r w:rsidRPr="002033FA">
              <w:rPr>
                <w:bCs/>
                <w:sz w:val="16"/>
                <w:szCs w:val="16"/>
              </w:rPr>
              <w:t>x</w:t>
            </w:r>
          </w:p>
        </w:tc>
        <w:tc>
          <w:tcPr>
            <w:tcW w:w="1170" w:type="dxa"/>
          </w:tcPr>
          <w:p w14:paraId="2E24F228" w14:textId="77777777" w:rsidR="00A51113" w:rsidRPr="002033FA" w:rsidRDefault="00A51113" w:rsidP="005A6A90">
            <w:r w:rsidRPr="002033FA">
              <w:rPr>
                <w:bCs/>
                <w:sz w:val="16"/>
                <w:szCs w:val="16"/>
              </w:rPr>
              <w:t>x</w:t>
            </w:r>
          </w:p>
        </w:tc>
      </w:tr>
    </w:tbl>
    <w:p w14:paraId="4B8D353F" w14:textId="77777777" w:rsidR="00A51113" w:rsidRPr="002033FA" w:rsidRDefault="00A51113" w:rsidP="005A6A90">
      <w:r w:rsidRPr="002033FA">
        <w:rPr>
          <w:sz w:val="20"/>
        </w:rPr>
        <w:lastRenderedPageBreak/>
        <w:t xml:space="preserve">*Contractor-acquired property items shall be marked as required by DFARS clause </w:t>
      </w:r>
      <w:hyperlink r:id="rId34" w:anchor="252.211-7003" w:history="1">
        <w:r w:rsidRPr="00F325CA">
          <w:rPr>
            <w:rStyle w:val="Hyperlink"/>
            <w:sz w:val="20"/>
          </w:rPr>
          <w:t>252.211-7003</w:t>
        </w:r>
      </w:hyperlink>
      <w:r w:rsidRPr="002033FA">
        <w:rPr>
          <w:sz w:val="20"/>
        </w:rPr>
        <w:t xml:space="preserve">. </w:t>
      </w:r>
    </w:p>
    <w:p w14:paraId="03408583" w14:textId="77777777" w:rsidR="00A51113" w:rsidRPr="002033FA" w:rsidRDefault="00A51113" w:rsidP="005A6A90">
      <w:pPr>
        <w:pStyle w:val="List4"/>
      </w:pPr>
      <w:r w:rsidRPr="002033FA">
        <w:tab/>
      </w:r>
      <w:r w:rsidRPr="002033FA">
        <w:tab/>
      </w:r>
    </w:p>
    <w:p w14:paraId="5D4E9AFA" w14:textId="77777777" w:rsidR="00A51113" w:rsidRDefault="00A51113" w:rsidP="005A6A90">
      <w:pPr>
        <w:pStyle w:val="List4"/>
        <w:rPr>
          <w:rFonts w:cs="Courier New"/>
          <w:iCs/>
          <w:spacing w:val="-5"/>
          <w:kern w:val="20"/>
        </w:rPr>
      </w:pPr>
      <w:r w:rsidRPr="002033FA">
        <w:rPr>
          <w:rFonts w:cs="Courier New"/>
          <w:iCs/>
          <w:spacing w:val="-5"/>
          <w:kern w:val="20"/>
        </w:rP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hyperlink r:id="rId35" w:anchor="211.274-3" w:history="1">
        <w:r w:rsidRPr="00F325CA">
          <w:rPr>
            <w:rStyle w:val="Hyperlink"/>
            <w:rFonts w:cs="Courier New"/>
            <w:bCs/>
            <w:iCs/>
            <w:spacing w:val="-5"/>
            <w:kern w:val="20"/>
            <w:szCs w:val="24"/>
          </w:rPr>
          <w:t>211.274-3</w:t>
        </w:r>
      </w:hyperlink>
      <w:r w:rsidRPr="002033FA">
        <w:rPr>
          <w:rFonts w:cs="Courier New"/>
          <w:iCs/>
          <w:spacing w:val="-5"/>
          <w:kern w:val="20"/>
        </w:rPr>
        <w:t>, Policy for valuation, regarding unit acquisition cost.</w:t>
      </w:r>
    </w:p>
    <w:p w14:paraId="2B9C3EFE" w14:textId="77777777" w:rsidR="00A51113" w:rsidRDefault="00A51113" w:rsidP="005A6A90">
      <w:pPr>
        <w:pStyle w:val="List4"/>
        <w:rPr>
          <w:b/>
        </w:rPr>
      </w:pPr>
      <w:r>
        <w:rPr>
          <w:rFonts w:cs="Courier New"/>
          <w:b/>
          <w:bCs/>
          <w:iCs/>
          <w:spacing w:val="-5"/>
          <w:kern w:val="20"/>
          <w:szCs w:val="24"/>
        </w:rPr>
        <w:br/>
      </w:r>
      <w:r w:rsidRPr="002033FA">
        <w:rPr>
          <w:rFonts w:cs="Courier New"/>
          <w:bCs/>
          <w:iCs/>
          <w:spacing w:val="-5"/>
          <w:kern w:val="20"/>
          <w:szCs w:val="24"/>
        </w:rPr>
        <w:t xml:space="preserve">(B)  </w:t>
      </w:r>
      <w:r w:rsidRPr="002033FA">
        <w:rPr>
          <w:rFonts w:cs="Courier New"/>
          <w:bCs/>
          <w:iCs/>
          <w:szCs w:val="24"/>
        </w:rPr>
        <w:t xml:space="preserve">Unless otherwise noted by the contractor at the time of delivery to the Government, the placed-in-service date shall be the date of acquisition or, if fabricated, the date of completed manufacture.  </w:t>
      </w:r>
    </w:p>
    <w:p w14:paraId="24295C69" w14:textId="77777777" w:rsidR="00A51113" w:rsidRDefault="00A51113" w:rsidP="005A6A90">
      <w:pPr>
        <w:pStyle w:val="List2"/>
        <w:rPr>
          <w:b/>
        </w:rPr>
      </w:pPr>
      <w:r>
        <w:rPr>
          <w:rFonts w:cs="Courier New"/>
          <w:b/>
          <w:bCs/>
          <w:iCs/>
          <w:spacing w:val="-5"/>
          <w:kern w:val="20"/>
          <w:szCs w:val="24"/>
        </w:rPr>
        <w:br/>
      </w:r>
      <w:r w:rsidRPr="00C66C7D">
        <w:rPr>
          <w:rFonts w:cs="Courier New"/>
          <w:bCs/>
          <w:iCs/>
          <w:spacing w:val="-5"/>
          <w:kern w:val="20"/>
          <w:szCs w:val="24"/>
        </w:rPr>
        <w:t>(</w:t>
      </w:r>
      <w:r>
        <w:rPr>
          <w:rFonts w:cs="Courier New"/>
          <w:bCs/>
          <w:iCs/>
          <w:spacing w:val="-5"/>
          <w:kern w:val="20"/>
          <w:szCs w:val="24"/>
        </w:rPr>
        <w:t>4</w:t>
      </w:r>
      <w:r w:rsidRPr="00C66C7D">
        <w:rPr>
          <w:rFonts w:cs="Courier New"/>
          <w:bCs/>
          <w:iCs/>
          <w:spacing w:val="-5"/>
          <w:kern w:val="20"/>
          <w:szCs w:val="24"/>
        </w:rPr>
        <w:t xml:space="preserve">)  </w:t>
      </w:r>
      <w:r>
        <w:rPr>
          <w:rFonts w:cs="Courier New"/>
          <w:bCs/>
          <w:i/>
          <w:iCs/>
          <w:spacing w:val="-5"/>
          <w:kern w:val="20"/>
          <w:szCs w:val="24"/>
        </w:rPr>
        <w:t xml:space="preserve">Special circumstances.  </w:t>
      </w:r>
      <w:r w:rsidRPr="00C66C7D">
        <w:rPr>
          <w:rFonts w:cs="Courier New"/>
          <w:bCs/>
          <w:iCs/>
          <w:spacing w:val="-5"/>
          <w:kern w:val="20"/>
          <w:szCs w:val="24"/>
        </w:rPr>
        <w:t>In some circumstances, such as contractor-performed logistics support</w:t>
      </w:r>
      <w:r w:rsidRPr="002033FA">
        <w:rPr>
          <w:rFonts w:cs="Courier New"/>
          <w:bCs/>
          <w:iCs/>
          <w:spacing w:val="-5"/>
          <w:kern w:val="20"/>
          <w:szCs w:val="24"/>
        </w:rPr>
        <w:t xml:space="preserve">, interim contractor support, </w:t>
      </w:r>
      <w:r w:rsidRPr="00C66C7D">
        <w:rPr>
          <w:rFonts w:cs="Courier New"/>
          <w:bCs/>
          <w:iCs/>
          <w:spacing w:val="-5"/>
          <w:kern w:val="20"/>
          <w:szCs w:val="24"/>
        </w:rPr>
        <w:t xml:space="preserve">or performance-based logistics support </w:t>
      </w:r>
      <w:r w:rsidRPr="002033FA">
        <w:rPr>
          <w:rFonts w:cs="Courier New"/>
          <w:bCs/>
          <w:iCs/>
          <w:spacing w:val="-5"/>
          <w:kern w:val="20"/>
          <w:szCs w:val="24"/>
        </w:rPr>
        <w:t xml:space="preserve">under fixed-price </w:t>
      </w:r>
      <w:r w:rsidRPr="00C66C7D">
        <w:rPr>
          <w:rFonts w:cs="Courier New"/>
          <w:bCs/>
          <w:iCs/>
          <w:spacing w:val="-5"/>
          <w:kern w:val="20"/>
          <w:szCs w:val="24"/>
        </w:rPr>
        <w:t xml:space="preserve">contracts, contract deliverables consist of non-hardware items, such as operational readiness rate goals or mean-time-between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contractor provides the property.  </w:t>
      </w:r>
      <w:r>
        <w:rPr>
          <w:rFonts w:cs="Courier New"/>
          <w:bCs/>
          <w:iCs/>
          <w:spacing w:val="-5"/>
          <w:kern w:val="20"/>
          <w:szCs w:val="24"/>
        </w:rPr>
        <w:t>I</w:t>
      </w:r>
      <w:r w:rsidRPr="00C66C7D">
        <w:rPr>
          <w:rFonts w:cs="Courier New"/>
          <w:bCs/>
          <w:iCs/>
          <w:spacing w:val="-5"/>
          <w:kern w:val="20"/>
          <w:szCs w:val="24"/>
        </w:rPr>
        <w:t>n such cases, title to the property passes to the Government</w:t>
      </w:r>
      <w:r>
        <w:rPr>
          <w:rFonts w:cs="Courier New"/>
          <w:bCs/>
          <w:iCs/>
          <w:spacing w:val="-5"/>
          <w:kern w:val="20"/>
          <w:szCs w:val="24"/>
        </w:rPr>
        <w:t xml:space="preserve"> </w:t>
      </w:r>
      <w:r w:rsidRPr="00C66C7D">
        <w:rPr>
          <w:rFonts w:cs="Courier New"/>
          <w:bCs/>
          <w:iCs/>
          <w:spacing w:val="-5"/>
          <w:kern w:val="20"/>
          <w:szCs w:val="24"/>
        </w:rPr>
        <w:t>upon Government acceptance (as defined in FAR 46.101) of the items at the destination stated in the contract.   Contracting officers shall ensure that the contract—</w:t>
      </w:r>
    </w:p>
    <w:p w14:paraId="61CADC38" w14:textId="77777777" w:rsidR="00A51113" w:rsidRDefault="00A51113" w:rsidP="009A2025">
      <w:pPr>
        <w:pStyle w:val="List3"/>
      </w:pPr>
      <w:r>
        <w:rPr>
          <w:rFonts w:cs="Courier New"/>
          <w:b/>
          <w:bCs/>
          <w:iCs/>
          <w:spacing w:val="-5"/>
          <w:kern w:val="20"/>
        </w:rPr>
        <w:br/>
      </w:r>
      <w:r>
        <w:rPr>
          <w:rFonts w:cs="Courier New"/>
          <w:bCs/>
          <w:iCs/>
          <w:spacing w:val="-5"/>
          <w:kern w:val="20"/>
          <w:sz w:val="24"/>
        </w:rPr>
        <w:t xml:space="preserve">(i)  </w:t>
      </w:r>
      <w:r w:rsidRPr="00C66C7D">
        <w:rPr>
          <w:rFonts w:cs="Courier New"/>
          <w:bCs/>
          <w:iCs/>
          <w:spacing w:val="-5"/>
          <w:kern w:val="20"/>
          <w:sz w:val="24"/>
        </w:rPr>
        <w:t xml:space="preserve">Clearly defines how and when acceptance will be performed; and </w:t>
      </w:r>
    </w:p>
    <w:p w14:paraId="3E6F3366" w14:textId="77777777" w:rsidR="00A51113" w:rsidRPr="002033FA" w:rsidRDefault="00A51113" w:rsidP="005A6A90">
      <w:pPr>
        <w:pStyle w:val="List3"/>
      </w:pPr>
      <w:r>
        <w:rPr>
          <w:rFonts w:cs="Courier New"/>
          <w:bCs/>
          <w:iCs/>
          <w:spacing w:val="-5"/>
          <w:kern w:val="20"/>
          <w:sz w:val="24"/>
          <w:szCs w:val="24"/>
        </w:rPr>
        <w:br/>
        <w:t xml:space="preserve">(ii)  </w:t>
      </w:r>
      <w:r w:rsidRPr="00C66C7D">
        <w:rPr>
          <w:rFonts w:cs="Courier New"/>
          <w:bCs/>
          <w:iCs/>
          <w:spacing w:val="-5"/>
          <w:kern w:val="20"/>
          <w:sz w:val="24"/>
          <w:szCs w:val="24"/>
        </w:rPr>
        <w:t>Includes applicable requirements for quality assurance, part marking, anti-counterfeiting, or other requirement fo</w:t>
      </w:r>
      <w:r>
        <w:rPr>
          <w:rFonts w:cs="Courier New"/>
          <w:bCs/>
          <w:iCs/>
          <w:spacing w:val="-5"/>
          <w:kern w:val="20"/>
          <w:sz w:val="24"/>
          <w:szCs w:val="24"/>
        </w:rPr>
        <w:t>r the delivery of the property.</w:t>
      </w:r>
    </w:p>
    <w:p w14:paraId="4B13AED7" w14:textId="77777777" w:rsidR="00A51113" w:rsidRDefault="00A51113">
      <w:pPr>
        <w:sectPr w:rsidR="00A51113" w:rsidSect="001058C0">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pPr>
    </w:p>
    <w:p w14:paraId="4D273F54" w14:textId="77777777" w:rsidR="00A51113" w:rsidRDefault="00A51113" w:rsidP="00814966">
      <w:pPr>
        <w:jc w:val="center"/>
      </w:pPr>
      <w:r w:rsidRPr="00990D69">
        <w:rPr>
          <w:i/>
          <w:szCs w:val="24"/>
        </w:rPr>
        <w:lastRenderedPageBreak/>
        <w:t>(</w:t>
      </w:r>
      <w:r>
        <w:rPr>
          <w:i/>
          <w:szCs w:val="24"/>
        </w:rPr>
        <w:t>Revised May 16, 2013</w:t>
      </w:r>
      <w:r w:rsidRPr="00990D69">
        <w:rPr>
          <w:i/>
          <w:szCs w:val="24"/>
        </w:rPr>
        <w:t>)</w:t>
      </w:r>
    </w:p>
    <w:p w14:paraId="75B54F75" w14:textId="77777777" w:rsidR="00A51113" w:rsidRDefault="00A51113" w:rsidP="00814966">
      <w:pPr>
        <w:pStyle w:val="Heading2"/>
      </w:pPr>
      <w:r>
        <w:rPr>
          <w:i/>
          <w:szCs w:val="24"/>
        </w:rPr>
        <w:br/>
      </w:r>
      <w:bookmarkStart w:id="41" w:name="_Toc37415914"/>
      <w:bookmarkStart w:id="42" w:name="_Toc37677783"/>
      <w:bookmarkStart w:id="43" w:name="_Toc37756671"/>
      <w:r w:rsidRPr="006958B9">
        <w:rPr>
          <w:szCs w:val="24"/>
        </w:rPr>
        <w:t>PGI 245.6—REPORTING, REUTILIZATION, AND DISPOSAL</w:t>
      </w:r>
      <w:bookmarkEnd w:id="41"/>
      <w:bookmarkEnd w:id="42"/>
      <w:bookmarkEnd w:id="43"/>
    </w:p>
    <w:p w14:paraId="47B62275" w14:textId="77777777" w:rsidR="00A51113" w:rsidRDefault="00A51113" w:rsidP="00814966">
      <w:pPr>
        <w:pStyle w:val="Heading4"/>
      </w:pPr>
      <w:r>
        <w:br/>
      </w:r>
      <w:bookmarkStart w:id="44" w:name="_Toc37677784"/>
      <w:bookmarkStart w:id="45" w:name="_Toc37756672"/>
      <w:r w:rsidRPr="006958B9">
        <w:t>PGI 245.602-70  Plant clearance procedures</w:t>
      </w:r>
      <w:r w:rsidRPr="00C137D2">
        <w:t>.</w:t>
      </w:r>
      <w:bookmarkEnd w:id="44"/>
      <w:bookmarkEnd w:id="45"/>
    </w:p>
    <w:p w14:paraId="3154AC29" w14:textId="77777777" w:rsidR="00A51113" w:rsidRDefault="00A51113" w:rsidP="00814966">
      <w:pPr>
        <w:pStyle w:val="List2"/>
        <w:rPr>
          <w:b/>
        </w:rPr>
      </w:pPr>
      <w:r>
        <w:rPr>
          <w:b/>
          <w:szCs w:val="24"/>
        </w:rPr>
        <w:br/>
      </w:r>
      <w:r w:rsidRPr="00B94E66">
        <w:rPr>
          <w:szCs w:val="24"/>
        </w:rPr>
        <w:t>(1)  Upon receipt of acceptable inventory schedules, the plant clearance officer (PLCO) shall assign a plant clearance case number using DD Form 1635 (or an automated equivalent) and establish a case file.</w:t>
      </w:r>
    </w:p>
    <w:p w14:paraId="185D6994" w14:textId="77777777" w:rsidR="00A51113" w:rsidRDefault="00A51113" w:rsidP="00814966">
      <w:pPr>
        <w:pStyle w:val="List2"/>
        <w:rPr>
          <w:b/>
        </w:rPr>
      </w:pPr>
      <w:r>
        <w:rPr>
          <w:b/>
          <w:szCs w:val="24"/>
        </w:rPr>
        <w:br/>
      </w:r>
      <w:r w:rsidRPr="00C137D2">
        <w:rPr>
          <w:szCs w:val="24"/>
        </w:rPr>
        <w:t>(</w:t>
      </w:r>
      <w:r w:rsidRPr="00B94E66">
        <w:rPr>
          <w:szCs w:val="24"/>
        </w:rPr>
        <w:t>2)</w:t>
      </w:r>
      <w:r w:rsidRPr="00B94E66">
        <w:rPr>
          <w:szCs w:val="24"/>
        </w:rPr>
        <w:tab/>
        <w:t xml:space="preserve">The plant clearance case number shall be established using a three-part, </w:t>
      </w:r>
      <w:r>
        <w:rPr>
          <w:szCs w:val="24"/>
        </w:rPr>
        <w:t>11</w:t>
      </w:r>
      <w:r w:rsidRPr="00B94E66">
        <w:rPr>
          <w:szCs w:val="24"/>
        </w:rPr>
        <w:t>-character number as follows:</w:t>
      </w:r>
    </w:p>
    <w:p w14:paraId="52A80D95" w14:textId="77777777" w:rsidR="00A51113" w:rsidRDefault="00A51113" w:rsidP="00814966">
      <w:pPr>
        <w:pStyle w:val="List3"/>
        <w:rPr>
          <w:b/>
        </w:rPr>
      </w:pPr>
      <w:r>
        <w:rPr>
          <w:b/>
          <w:szCs w:val="24"/>
        </w:rPr>
        <w:br/>
      </w:r>
      <w:r w:rsidRPr="00B94E66">
        <w:rPr>
          <w:szCs w:val="24"/>
        </w:rPr>
        <w:t>(i)  Part 1:  DoD Activity Address Code (six-character alphanumeric code) assigned to the contract administration activity.</w:t>
      </w:r>
    </w:p>
    <w:p w14:paraId="141DFD86" w14:textId="77777777" w:rsidR="00A51113" w:rsidRDefault="00A51113" w:rsidP="00814966">
      <w:pPr>
        <w:pStyle w:val="List3"/>
        <w:rPr>
          <w:b/>
        </w:rPr>
      </w:pPr>
      <w:r>
        <w:rPr>
          <w:b/>
          <w:szCs w:val="24"/>
        </w:rPr>
        <w:br/>
      </w:r>
      <w:r w:rsidRPr="00B94E66">
        <w:rPr>
          <w:szCs w:val="24"/>
        </w:rPr>
        <w:t>(ii)  Part 2:  Locally assigned four-character consecutive alphanumeric code, beginning each calendar year with “001” continuing as necessary through “zzz</w:t>
      </w:r>
      <w:r>
        <w:rPr>
          <w:szCs w:val="24"/>
        </w:rPr>
        <w:t>.</w:t>
      </w:r>
      <w:r w:rsidRPr="00B94E66">
        <w:rPr>
          <w:szCs w:val="24"/>
        </w:rPr>
        <w:t>”  The fourth character is the last digit of the calendar year, e.g., “0013” for the first case of calendar year 2003.</w:t>
      </w:r>
    </w:p>
    <w:p w14:paraId="5D93C2D6" w14:textId="77777777" w:rsidR="00A51113" w:rsidRDefault="00A51113" w:rsidP="00814966">
      <w:pPr>
        <w:pStyle w:val="List3"/>
        <w:rPr>
          <w:b/>
        </w:rPr>
      </w:pPr>
      <w:r>
        <w:rPr>
          <w:b/>
          <w:szCs w:val="24"/>
        </w:rPr>
        <w:br/>
      </w:r>
      <w:r w:rsidRPr="00B94E66">
        <w:rPr>
          <w:szCs w:val="24"/>
        </w:rPr>
        <w:t>(iii)  Part 3:  The 11th character is a single letter identifying the department or agency:</w:t>
      </w:r>
    </w:p>
    <w:p w14:paraId="08A67EB0" w14:textId="77777777" w:rsidR="00A51113" w:rsidRPr="00B94E66" w:rsidRDefault="00A51113" w:rsidP="00814966">
      <w:pPr>
        <w:rPr>
          <w:b/>
        </w:rPr>
      </w:pPr>
      <w:r>
        <w:rPr>
          <w:b/>
        </w:rPr>
        <w:br/>
      </w:r>
      <w:r w:rsidRPr="00B94E66">
        <w:tab/>
      </w:r>
      <w:r w:rsidRPr="00B94E66">
        <w:tab/>
      </w:r>
      <w:r w:rsidRPr="00B94E66">
        <w:tab/>
        <w:t>C-Army</w:t>
      </w:r>
    </w:p>
    <w:p w14:paraId="7656CB79"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Q-Navy</w:t>
      </w:r>
    </w:p>
    <w:p w14:paraId="7AC8E13B"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E-Air Force</w:t>
      </w:r>
    </w:p>
    <w:p w14:paraId="07759371"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L-Marine Corps</w:t>
      </w:r>
    </w:p>
    <w:p w14:paraId="44A60508"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U-Defense Logistics Agency</w:t>
      </w:r>
    </w:p>
    <w:p w14:paraId="301BD97A"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N-</w:t>
      </w:r>
      <w:r w:rsidRPr="00B94E66">
        <w:rPr>
          <w:rStyle w:val="Emphasis"/>
          <w:color w:val="000000"/>
        </w:rPr>
        <w:t>Defense</w:t>
      </w:r>
      <w:r w:rsidRPr="00B94E66">
        <w:rPr>
          <w:color w:val="000000"/>
          <w:szCs w:val="24"/>
        </w:rPr>
        <w:t xml:space="preserve"> Threat Reduction Agency</w:t>
      </w:r>
    </w:p>
    <w:p w14:paraId="3772E16E"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M-National Geospatial-Intelligence Agency</w:t>
      </w:r>
    </w:p>
    <w:p w14:paraId="4D3F1712"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lastRenderedPageBreak/>
        <w:tab/>
      </w:r>
      <w:r w:rsidRPr="00B94E66">
        <w:rPr>
          <w:szCs w:val="24"/>
        </w:rPr>
        <w:tab/>
      </w:r>
      <w:r w:rsidRPr="00B94E66">
        <w:rPr>
          <w:szCs w:val="24"/>
        </w:rPr>
        <w:tab/>
        <w:t>S-NASA</w:t>
      </w:r>
    </w:p>
    <w:p w14:paraId="0864ECC7" w14:textId="77777777" w:rsidR="00A51113" w:rsidRPr="00B94E66"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D-Other DoD activities</w:t>
      </w:r>
    </w:p>
    <w:p w14:paraId="22DC3C9A" w14:textId="77777777" w:rsidR="00A51113" w:rsidRDefault="00A51113" w:rsidP="00B905E7">
      <w:pPr>
        <w:tabs>
          <w:tab w:val="left" w:pos="360"/>
          <w:tab w:val="left" w:pos="810"/>
          <w:tab w:val="left" w:pos="1210"/>
          <w:tab w:val="left" w:pos="1656"/>
          <w:tab w:val="left" w:pos="2131"/>
          <w:tab w:val="left" w:pos="2520"/>
        </w:tabs>
        <w:rPr>
          <w:b/>
          <w:szCs w:val="24"/>
        </w:rPr>
      </w:pPr>
      <w:r w:rsidRPr="00B94E66">
        <w:rPr>
          <w:szCs w:val="24"/>
        </w:rPr>
        <w:tab/>
      </w:r>
      <w:r w:rsidRPr="00B94E66">
        <w:rPr>
          <w:szCs w:val="24"/>
        </w:rPr>
        <w:tab/>
      </w:r>
      <w:r w:rsidRPr="00B94E66">
        <w:rPr>
          <w:szCs w:val="24"/>
        </w:rPr>
        <w:tab/>
        <w:t xml:space="preserve">O-Non-DoD activities </w:t>
      </w:r>
    </w:p>
    <w:p w14:paraId="760D9D29" w14:textId="77777777" w:rsidR="00A51113" w:rsidRDefault="00A51113" w:rsidP="00814966">
      <w:pPr>
        <w:pStyle w:val="List2"/>
        <w:rPr>
          <w:b/>
        </w:rPr>
      </w:pPr>
      <w:r>
        <w:rPr>
          <w:b/>
          <w:szCs w:val="24"/>
        </w:rPr>
        <w:br/>
      </w:r>
      <w:r w:rsidRPr="00B94E66">
        <w:rPr>
          <w:szCs w:val="24"/>
        </w:rPr>
        <w:t>(3)  The case file shall contain copies of all documents relevant to the case, e.g., correspondence</w:t>
      </w:r>
      <w:r w:rsidRPr="00C137D2">
        <w:rPr>
          <w:szCs w:val="24"/>
        </w:rPr>
        <w:t>, review board findings, anti-trust clearances, and reports.</w:t>
      </w:r>
    </w:p>
    <w:p w14:paraId="03531719" w14:textId="77777777" w:rsidR="00A51113" w:rsidRDefault="00A51113" w:rsidP="00814966">
      <w:pPr>
        <w:pStyle w:val="List2"/>
        <w:rPr>
          <w:b/>
        </w:rPr>
      </w:pPr>
      <w:r>
        <w:rPr>
          <w:b/>
          <w:szCs w:val="24"/>
        </w:rPr>
        <w:br/>
      </w:r>
      <w:r w:rsidRPr="00B94E66">
        <w:rPr>
          <w:szCs w:val="24"/>
        </w:rPr>
        <w:t>(4)  PLCOs will use DD Form 1638, Report of Disposition of Contractor Inventory</w:t>
      </w:r>
      <w:r>
        <w:rPr>
          <w:szCs w:val="24"/>
        </w:rPr>
        <w:t>,</w:t>
      </w:r>
      <w:r w:rsidRPr="00B94E66">
        <w:rPr>
          <w:szCs w:val="24"/>
        </w:rPr>
        <w:t xml:space="preserve"> or an automated equivalent to report the disposition of contractor inventory.  Do not include disposition actions transferred to other offices.  Complete only the column total for each line of this report.  The report is self-explanatory except—</w:t>
      </w:r>
    </w:p>
    <w:p w14:paraId="25A9CE75" w14:textId="77777777" w:rsidR="00A51113" w:rsidRDefault="00A51113" w:rsidP="004C7DD4">
      <w:pPr>
        <w:pStyle w:val="List3"/>
      </w:pPr>
      <w:r>
        <w:rPr>
          <w:b/>
        </w:rPr>
        <w:br/>
      </w:r>
      <w:r w:rsidRPr="00B94E66">
        <w:t>(i)  Line 1–insert totals from line 7 of the preceding report</w:t>
      </w:r>
      <w:r>
        <w:t>;</w:t>
      </w:r>
    </w:p>
    <w:p w14:paraId="7E623711" w14:textId="77777777" w:rsidR="00A51113" w:rsidRDefault="00A51113" w:rsidP="00814966">
      <w:pPr>
        <w:pStyle w:val="List3"/>
        <w:rPr>
          <w:b/>
        </w:rPr>
      </w:pPr>
      <w:r>
        <w:rPr>
          <w:b/>
          <w:szCs w:val="24"/>
        </w:rPr>
        <w:br/>
      </w:r>
      <w:r w:rsidRPr="00B94E66">
        <w:rPr>
          <w:szCs w:val="24"/>
        </w:rPr>
        <w:t xml:space="preserve">(ii)  Line 2–insert net changes due to shortages, overages, errors, or withdrawals (other than </w:t>
      </w:r>
      <w:r>
        <w:rPr>
          <w:szCs w:val="24"/>
        </w:rPr>
        <w:t>purchases or retention at cost);</w:t>
      </w:r>
    </w:p>
    <w:p w14:paraId="18E792D8" w14:textId="77777777" w:rsidR="00A51113" w:rsidRDefault="00A51113" w:rsidP="00814966">
      <w:pPr>
        <w:pStyle w:val="List3"/>
        <w:rPr>
          <w:b/>
        </w:rPr>
      </w:pPr>
      <w:r>
        <w:rPr>
          <w:b/>
          <w:szCs w:val="24"/>
        </w:rPr>
        <w:br/>
      </w:r>
      <w:r w:rsidRPr="00B94E66">
        <w:rPr>
          <w:szCs w:val="24"/>
        </w:rPr>
        <w:t>(iii)  Line 3–insert total excess inventory reported by contractors during the report period</w:t>
      </w:r>
      <w:r>
        <w:rPr>
          <w:szCs w:val="24"/>
        </w:rPr>
        <w:t>;</w:t>
      </w:r>
    </w:p>
    <w:p w14:paraId="06F93221" w14:textId="77777777" w:rsidR="00A51113" w:rsidRDefault="00A51113" w:rsidP="00814966">
      <w:pPr>
        <w:pStyle w:val="List3"/>
        <w:rPr>
          <w:b/>
        </w:rPr>
      </w:pPr>
      <w:r>
        <w:rPr>
          <w:b/>
          <w:szCs w:val="24"/>
        </w:rPr>
        <w:br/>
      </w:r>
      <w:r w:rsidRPr="00B94E66">
        <w:rPr>
          <w:szCs w:val="24"/>
        </w:rPr>
        <w:t xml:space="preserve">(iv)  Line 5–insert total plant clearance cases completed during the report period.  Do not report cases as completed until all property </w:t>
      </w:r>
      <w:r>
        <w:rPr>
          <w:szCs w:val="24"/>
        </w:rPr>
        <w:t>has been</w:t>
      </w:r>
      <w:r w:rsidRPr="00B94E66">
        <w:rPr>
          <w:szCs w:val="24"/>
        </w:rPr>
        <w:t xml:space="preserve"> disposed.  Acquisition cost must equal line 19</w:t>
      </w:r>
      <w:r>
        <w:rPr>
          <w:szCs w:val="24"/>
        </w:rPr>
        <w:t>;</w:t>
      </w:r>
    </w:p>
    <w:p w14:paraId="2104BE4F" w14:textId="77777777" w:rsidR="00A51113" w:rsidRDefault="00A51113" w:rsidP="004C7DD4">
      <w:pPr>
        <w:pStyle w:val="List3"/>
      </w:pPr>
      <w:r>
        <w:rPr>
          <w:b/>
        </w:rPr>
        <w:br/>
      </w:r>
      <w:r w:rsidRPr="00B94E66">
        <w:t>(v)  Line 8–insert amount ret</w:t>
      </w:r>
      <w:r>
        <w:t>ained or withdrawn at full cost;</w:t>
      </w:r>
    </w:p>
    <w:p w14:paraId="4E059784" w14:textId="77777777" w:rsidR="00A51113" w:rsidRDefault="00A51113" w:rsidP="00814966">
      <w:pPr>
        <w:pStyle w:val="List3"/>
        <w:rPr>
          <w:b/>
        </w:rPr>
      </w:pPr>
      <w:r>
        <w:rPr>
          <w:b/>
          <w:szCs w:val="24"/>
        </w:rPr>
        <w:br/>
      </w:r>
      <w:r w:rsidRPr="00B94E66">
        <w:rPr>
          <w:szCs w:val="24"/>
        </w:rPr>
        <w:t>(vi)</w:t>
      </w:r>
      <w:r w:rsidRPr="00C137D2">
        <w:rPr>
          <w:szCs w:val="24"/>
        </w:rPr>
        <w:t xml:space="preserve">  Line 9–insert acquisition cost in the “Acquisition Cost” column and insert acquisition cost less handling, transportation, or restocking charges, in the “Proceeds” column</w:t>
      </w:r>
      <w:r>
        <w:rPr>
          <w:szCs w:val="24"/>
        </w:rPr>
        <w:t>;</w:t>
      </w:r>
    </w:p>
    <w:p w14:paraId="47929358" w14:textId="77777777" w:rsidR="00A51113" w:rsidRDefault="00A51113" w:rsidP="00814966">
      <w:pPr>
        <w:pStyle w:val="List3"/>
        <w:rPr>
          <w:b/>
        </w:rPr>
      </w:pPr>
      <w:r>
        <w:rPr>
          <w:b/>
          <w:szCs w:val="24"/>
        </w:rPr>
        <w:br/>
      </w:r>
      <w:r w:rsidRPr="00C137D2">
        <w:rPr>
          <w:szCs w:val="24"/>
        </w:rPr>
        <w:t>(</w:t>
      </w:r>
      <w:r w:rsidRPr="00B94E66">
        <w:rPr>
          <w:szCs w:val="24"/>
        </w:rPr>
        <w:t>vii)  Line 10–insert acquisition cost of all transfers completed during the report period.  On lines 10A through 10H, insert subtotals representing transfers to the agency indicated.</w:t>
      </w:r>
      <w:r>
        <w:rPr>
          <w:szCs w:val="24"/>
        </w:rPr>
        <w:t xml:space="preserve"> </w:t>
      </w:r>
      <w:r w:rsidRPr="00B94E66">
        <w:rPr>
          <w:szCs w:val="24"/>
        </w:rPr>
        <w:t xml:space="preserve"> Exclude amounts on lines 10A through 10</w:t>
      </w:r>
      <w:r>
        <w:rPr>
          <w:szCs w:val="24"/>
        </w:rPr>
        <w:t>H when computing line 19 totals;</w:t>
      </w:r>
    </w:p>
    <w:p w14:paraId="5D2B827D" w14:textId="77777777" w:rsidR="00A51113" w:rsidRDefault="00A51113" w:rsidP="00814966">
      <w:pPr>
        <w:pStyle w:val="List3"/>
        <w:rPr>
          <w:b/>
        </w:rPr>
      </w:pPr>
      <w:r>
        <w:rPr>
          <w:b/>
          <w:szCs w:val="24"/>
        </w:rPr>
        <w:br/>
      </w:r>
      <w:r w:rsidRPr="00B94E66">
        <w:rPr>
          <w:szCs w:val="24"/>
        </w:rPr>
        <w:t>(viii</w:t>
      </w:r>
      <w:r w:rsidRPr="00C137D2">
        <w:rPr>
          <w:szCs w:val="24"/>
        </w:rPr>
        <w:t>)  Line 12–insert the acquisition cost and gross proceeds</w:t>
      </w:r>
      <w:r>
        <w:rPr>
          <w:szCs w:val="24"/>
        </w:rPr>
        <w:t>;</w:t>
      </w:r>
      <w:r w:rsidRPr="00C137D2">
        <w:rPr>
          <w:szCs w:val="24"/>
        </w:rPr>
        <w:t xml:space="preserve">  </w:t>
      </w:r>
    </w:p>
    <w:p w14:paraId="6939E859" w14:textId="77777777" w:rsidR="00A51113" w:rsidRDefault="00A51113" w:rsidP="00814966">
      <w:pPr>
        <w:pStyle w:val="List3"/>
        <w:rPr>
          <w:b/>
        </w:rPr>
      </w:pPr>
      <w:r>
        <w:rPr>
          <w:b/>
          <w:szCs w:val="24"/>
        </w:rPr>
        <w:lastRenderedPageBreak/>
        <w:br/>
      </w:r>
      <w:r w:rsidRPr="00C137D2">
        <w:rPr>
          <w:szCs w:val="24"/>
        </w:rPr>
        <w:t>(</w:t>
      </w:r>
      <w:r w:rsidRPr="00B94E66">
        <w:rPr>
          <w:szCs w:val="24"/>
        </w:rPr>
        <w:t>ix)  Lines 14 and 15–used to identify and report other transactions</w:t>
      </w:r>
      <w:r>
        <w:rPr>
          <w:szCs w:val="24"/>
        </w:rPr>
        <w:t>, and</w:t>
      </w:r>
    </w:p>
    <w:p w14:paraId="6D939098" w14:textId="77777777" w:rsidR="00A51113" w:rsidRDefault="00A51113" w:rsidP="004C7DD4">
      <w:pPr>
        <w:pStyle w:val="List3"/>
      </w:pPr>
      <w:r>
        <w:rPr>
          <w:b/>
        </w:rPr>
        <w:br/>
      </w:r>
      <w:r w:rsidRPr="00B94E66">
        <w:t>(x)  Line 18–insert section II totals.  Line 18 acquisition cost must equal acquisition cost on line 5.</w:t>
      </w:r>
    </w:p>
    <w:p w14:paraId="511F177F" w14:textId="77777777" w:rsidR="00A51113" w:rsidRDefault="00A51113" w:rsidP="00814966">
      <w:pPr>
        <w:pStyle w:val="List2"/>
        <w:rPr>
          <w:b/>
        </w:rPr>
      </w:pPr>
      <w:r>
        <w:rPr>
          <w:b/>
          <w:szCs w:val="24"/>
        </w:rPr>
        <w:br/>
      </w:r>
      <w:r w:rsidRPr="00B94E66">
        <w:rPr>
          <w:szCs w:val="24"/>
        </w:rPr>
        <w:t>(5)  The PLCO will prepare</w:t>
      </w:r>
      <w:r w:rsidRPr="00C137D2">
        <w:rPr>
          <w:szCs w:val="24"/>
        </w:rPr>
        <w:t xml:space="preserve"> quarterly reports for periods ending March 31, June 30, September 30, and December 31.  Activities preparing manual reports will submit duplicate reports to the headquarters of the administering activity within </w:t>
      </w:r>
      <w:r>
        <w:rPr>
          <w:szCs w:val="24"/>
        </w:rPr>
        <w:t>10</w:t>
      </w:r>
      <w:r w:rsidRPr="00C137D2">
        <w:rPr>
          <w:szCs w:val="24"/>
        </w:rPr>
        <w:t xml:space="preserve"> working days after the close of the report period (Report Control Symbol DD(I&amp;L)(Q)1430</w:t>
      </w:r>
      <w:r>
        <w:rPr>
          <w:szCs w:val="24"/>
        </w:rPr>
        <w:t xml:space="preserve"> applies</w:t>
      </w:r>
      <w:r w:rsidRPr="00C137D2">
        <w:rPr>
          <w:szCs w:val="24"/>
        </w:rPr>
        <w:t>).</w:t>
      </w:r>
    </w:p>
    <w:p w14:paraId="30D53BC7" w14:textId="77777777" w:rsidR="00A51113" w:rsidRDefault="00A51113" w:rsidP="00814966">
      <w:pPr>
        <w:pStyle w:val="List2"/>
        <w:rPr>
          <w:b/>
        </w:rPr>
      </w:pPr>
      <w:r>
        <w:rPr>
          <w:b/>
          <w:szCs w:val="24"/>
        </w:rPr>
        <w:br/>
      </w:r>
      <w:r w:rsidRPr="00C137D2">
        <w:rPr>
          <w:szCs w:val="24"/>
        </w:rPr>
        <w:t>(</w:t>
      </w:r>
      <w:r w:rsidRPr="00B94E66">
        <w:rPr>
          <w:szCs w:val="24"/>
        </w:rPr>
        <w:t>6)  Upon completion of the plant clearance action, the PLCO shall prepare a Standard Form 1424, Inventory Disposal Report.  The f</w:t>
      </w:r>
      <w:r w:rsidRPr="00B94E66">
        <w:rPr>
          <w:szCs w:val="24"/>
        </w:rPr>
        <w:lastRenderedPageBreak/>
        <w:t>orm is self-explanatory except–</w:t>
      </w:r>
    </w:p>
    <w:p w14:paraId="7F63168F" w14:textId="77777777" w:rsidR="00A51113" w:rsidRDefault="00A51113" w:rsidP="004C7DD4">
      <w:pPr>
        <w:pStyle w:val="List3"/>
      </w:pPr>
      <w:r>
        <w:rPr>
          <w:b/>
        </w:rPr>
        <w:br/>
      </w:r>
      <w:r w:rsidRPr="00B94E66">
        <w:t xml:space="preserve">(i)  Item 12–insert net change due to shortages, overages, errors, pricing, or withdrawals, etc. </w:t>
      </w:r>
      <w:r>
        <w:t xml:space="preserve"> Explain in item 18, Remarks;</w:t>
      </w:r>
    </w:p>
    <w:p w14:paraId="176560EA" w14:textId="77777777" w:rsidR="00A51113" w:rsidRDefault="00A51113" w:rsidP="00814966">
      <w:pPr>
        <w:pStyle w:val="List3"/>
        <w:rPr>
          <w:b/>
        </w:rPr>
      </w:pPr>
      <w:r>
        <w:rPr>
          <w:b/>
          <w:szCs w:val="24"/>
        </w:rPr>
        <w:br/>
      </w:r>
      <w:r w:rsidRPr="00B94E66">
        <w:rPr>
          <w:szCs w:val="24"/>
        </w:rPr>
        <w:t>(ii)  Item 14–insert amount contractor is retaining or</w:t>
      </w:r>
      <w:r>
        <w:rPr>
          <w:szCs w:val="24"/>
        </w:rPr>
        <w:t xml:space="preserve"> purchasing at acquisition cost;</w:t>
      </w:r>
    </w:p>
    <w:p w14:paraId="2743B951" w14:textId="77777777" w:rsidR="00A51113" w:rsidRDefault="00A51113" w:rsidP="00814966">
      <w:pPr>
        <w:pStyle w:val="List3"/>
        <w:rPr>
          <w:b/>
        </w:rPr>
      </w:pPr>
      <w:r>
        <w:rPr>
          <w:b/>
          <w:szCs w:val="24"/>
        </w:rPr>
        <w:br/>
      </w:r>
      <w:r w:rsidRPr="00B94E66">
        <w:rPr>
          <w:szCs w:val="24"/>
        </w:rPr>
        <w:t>(iii)  Item 15–insert acquisition cost and net credit (full credit less approved handling, transportation, and restocking charges for items returned to supplier)</w:t>
      </w:r>
      <w:r>
        <w:rPr>
          <w:szCs w:val="24"/>
        </w:rPr>
        <w:t>;</w:t>
      </w:r>
    </w:p>
    <w:p w14:paraId="6C2916C4" w14:textId="77777777" w:rsidR="00A51113" w:rsidRDefault="00A51113" w:rsidP="00814966">
      <w:pPr>
        <w:pStyle w:val="List3"/>
        <w:rPr>
          <w:b/>
        </w:rPr>
      </w:pPr>
      <w:r>
        <w:rPr>
          <w:b/>
          <w:szCs w:val="24"/>
        </w:rPr>
        <w:br/>
      </w:r>
      <w:r w:rsidRPr="00B94E66">
        <w:rPr>
          <w:szCs w:val="24"/>
        </w:rPr>
        <w:t>(iv)  Item 16–insert the acquisition cost for all transfers accomplished.  For lines 16A and 16B, insert subtotals as indicated</w:t>
      </w:r>
      <w:r>
        <w:rPr>
          <w:szCs w:val="24"/>
        </w:rPr>
        <w:t>;</w:t>
      </w:r>
    </w:p>
    <w:p w14:paraId="7F5B3BD6" w14:textId="77777777" w:rsidR="00A51113" w:rsidRDefault="00A51113" w:rsidP="004C7DD4">
      <w:pPr>
        <w:pStyle w:val="List3"/>
      </w:pPr>
      <w:r>
        <w:rPr>
          <w:b/>
        </w:rPr>
        <w:br/>
      </w:r>
      <w:r w:rsidRPr="00C137D2">
        <w:t>(</w:t>
      </w:r>
      <w:r w:rsidRPr="005453EC">
        <w:t>v</w:t>
      </w:r>
      <w:r w:rsidRPr="00C137D2">
        <w:t>)  Item 18–insert acquisition cost and gross proceeds</w:t>
      </w:r>
      <w:r>
        <w:t>;</w:t>
      </w:r>
      <w:r w:rsidRPr="00C137D2">
        <w:t xml:space="preserve">  </w:t>
      </w:r>
    </w:p>
    <w:p w14:paraId="6A136A77" w14:textId="77777777" w:rsidR="00A51113" w:rsidRDefault="00A51113" w:rsidP="00814966">
      <w:pPr>
        <w:pStyle w:val="List3"/>
        <w:rPr>
          <w:b/>
        </w:rPr>
      </w:pPr>
      <w:r>
        <w:rPr>
          <w:b/>
          <w:szCs w:val="24"/>
        </w:rPr>
        <w:br/>
      </w:r>
      <w:r w:rsidRPr="00B94E66">
        <w:rPr>
          <w:szCs w:val="24"/>
        </w:rPr>
        <w:t>(vi)  Items 20 and 21–use to identify and report transactions not otherwise identified, such as items shipped to a Government precious metals reclamation activity, etc.  Further explanation may be provided in item 26, Remarks, if necessary</w:t>
      </w:r>
      <w:r>
        <w:rPr>
          <w:szCs w:val="24"/>
        </w:rPr>
        <w:t>;</w:t>
      </w:r>
    </w:p>
    <w:p w14:paraId="5D1A6004" w14:textId="02754C72" w:rsidR="00A51113" w:rsidRDefault="00A51113" w:rsidP="00814966">
      <w:pPr>
        <w:pStyle w:val="List3"/>
        <w:rPr>
          <w:b/>
        </w:rPr>
      </w:pPr>
      <w:r>
        <w:rPr>
          <w:b/>
          <w:szCs w:val="24"/>
        </w:rPr>
        <w:br/>
      </w:r>
      <w:r w:rsidRPr="00B94E66">
        <w:rPr>
          <w:szCs w:val="24"/>
        </w:rPr>
        <w:t>(vii)  Item 26–show the specific disposition of proceeds reported in items 14, 15, and 18.  Also</w:t>
      </w:r>
      <w:r>
        <w:rPr>
          <w:szCs w:val="24"/>
        </w:rPr>
        <w:t>,</w:t>
      </w:r>
      <w:r w:rsidRPr="00B94E66">
        <w:rPr>
          <w:szCs w:val="24"/>
        </w:rPr>
        <w:t xml:space="preserve"> indicate amounts d for specific contractor claims, or applied as a credit to the claim</w:t>
      </w:r>
      <w:r>
        <w:rPr>
          <w:szCs w:val="24"/>
        </w:rPr>
        <w:t>; and</w:t>
      </w:r>
      <w:r w:rsidRPr="00B94E66">
        <w:rPr>
          <w:szCs w:val="24"/>
        </w:rPr>
        <w:t xml:space="preserve"> </w:t>
      </w:r>
    </w:p>
    <w:p w14:paraId="57E271DD" w14:textId="77777777" w:rsidR="00A51113" w:rsidRDefault="00A51113" w:rsidP="00814966">
      <w:pPr>
        <w:pStyle w:val="List3"/>
        <w:rPr>
          <w:b/>
        </w:rPr>
      </w:pPr>
      <w:r>
        <w:rPr>
          <w:b/>
          <w:szCs w:val="24"/>
        </w:rPr>
        <w:br/>
      </w:r>
      <w:r w:rsidRPr="00B94E66">
        <w:rPr>
          <w:szCs w:val="24"/>
        </w:rPr>
        <w:t>(viii)  Item 27–total dispositions must equal the amounts on line 13, and must reflect all disposal actions within the case.</w:t>
      </w:r>
    </w:p>
    <w:p w14:paraId="25370128" w14:textId="77777777" w:rsidR="00A51113" w:rsidRDefault="00A51113" w:rsidP="00814966">
      <w:pPr>
        <w:pStyle w:val="List2"/>
        <w:rPr>
          <w:b/>
        </w:rPr>
      </w:pPr>
      <w:r>
        <w:rPr>
          <w:b/>
          <w:szCs w:val="24"/>
        </w:rPr>
        <w:br/>
      </w:r>
      <w:r w:rsidRPr="00B94E66">
        <w:rPr>
          <w:bCs/>
          <w:szCs w:val="24"/>
        </w:rPr>
        <w:t xml:space="preserve">(7) </w:t>
      </w:r>
      <w:r w:rsidRPr="00B94E66">
        <w:rPr>
          <w:szCs w:val="24"/>
        </w:rPr>
        <w:t xml:space="preserve">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14:paraId="4A341527" w14:textId="77777777" w:rsidR="00A51113" w:rsidRDefault="00A51113" w:rsidP="004C7DD4">
      <w:pPr>
        <w:pStyle w:val="List3"/>
      </w:pPr>
      <w:r>
        <w:rPr>
          <w:b/>
        </w:rPr>
        <w:br/>
      </w:r>
      <w:r w:rsidRPr="006958B9">
        <w:t>(i)  Location and description of property (specify tonnage if scrap).</w:t>
      </w:r>
    </w:p>
    <w:p w14:paraId="4B1C46CB" w14:textId="77777777" w:rsidR="00A51113" w:rsidRDefault="00A51113" w:rsidP="00814966">
      <w:pPr>
        <w:pStyle w:val="List3"/>
      </w:pPr>
      <w:r>
        <w:br/>
      </w:r>
      <w:r w:rsidRPr="006958B9">
        <w:t>(ii)  Proposed sale price (explain if the proposed purchaser was not highest bidder).</w:t>
      </w:r>
    </w:p>
    <w:p w14:paraId="16D4BA7B" w14:textId="77777777" w:rsidR="00A51113" w:rsidRDefault="00A51113" w:rsidP="00814966">
      <w:pPr>
        <w:pStyle w:val="List3"/>
      </w:pPr>
      <w:r>
        <w:br/>
      </w:r>
      <w:r w:rsidRPr="006958B9">
        <w:t>(iii)  Acquisition cost of property.</w:t>
      </w:r>
    </w:p>
    <w:p w14:paraId="7A02C743" w14:textId="77777777" w:rsidR="00A51113" w:rsidRDefault="00A51113" w:rsidP="00814966">
      <w:pPr>
        <w:pStyle w:val="List3"/>
      </w:pPr>
      <w:r>
        <w:lastRenderedPageBreak/>
        <w:br/>
      </w:r>
      <w:r w:rsidRPr="006958B9">
        <w:t>(iv)  Manner of sale, indicating whether by—</w:t>
      </w:r>
    </w:p>
    <w:p w14:paraId="57A35996" w14:textId="77777777" w:rsidR="00A51113" w:rsidRDefault="00A51113" w:rsidP="00814966">
      <w:pPr>
        <w:pStyle w:val="List4"/>
      </w:pPr>
      <w:r>
        <w:br/>
      </w:r>
      <w:r w:rsidRPr="006958B9">
        <w:t>(A)  Sealed bid (specify number of bidders solicited and bids received);</w:t>
      </w:r>
    </w:p>
    <w:p w14:paraId="30B0C043" w14:textId="77777777" w:rsidR="00A51113" w:rsidRDefault="00A51113" w:rsidP="00814966">
      <w:pPr>
        <w:pStyle w:val="List4"/>
      </w:pPr>
      <w:r>
        <w:br/>
      </w:r>
      <w:r w:rsidRPr="006958B9">
        <w:t xml:space="preserve">(B)  Auction or spot bid (state how sale was advertised); </w:t>
      </w:r>
    </w:p>
    <w:p w14:paraId="07CC8BFB" w14:textId="77777777" w:rsidR="00A51113" w:rsidRDefault="00A51113" w:rsidP="00814966">
      <w:pPr>
        <w:pStyle w:val="List4"/>
      </w:pPr>
      <w:r>
        <w:br/>
      </w:r>
      <w:r w:rsidRPr="006958B9">
        <w:t>(C)  Negotiation (explain why property was not sold competitively);</w:t>
      </w:r>
    </w:p>
    <w:p w14:paraId="4D22D428" w14:textId="77777777" w:rsidR="00A51113" w:rsidRDefault="00A51113" w:rsidP="00814966">
      <w:pPr>
        <w:pStyle w:val="List4"/>
      </w:pPr>
      <w:r>
        <w:br/>
      </w:r>
      <w:r w:rsidRPr="006958B9">
        <w:t>(D)  Proposed purchaser's name, address, and trade name (if any) under which proposed purchaser is doing business;</w:t>
      </w:r>
    </w:p>
    <w:p w14:paraId="4C31D04E" w14:textId="77777777" w:rsidR="00A51113" w:rsidRDefault="00A51113" w:rsidP="00814966">
      <w:pPr>
        <w:pStyle w:val="List4"/>
      </w:pPr>
      <w:r>
        <w:br/>
      </w:r>
      <w:r w:rsidRPr="006958B9">
        <w:t>(E)  If a corporation, provide state and date of incorporation, and name and address of—</w:t>
      </w:r>
    </w:p>
    <w:p w14:paraId="2E112F02" w14:textId="77777777" w:rsidR="00A51113" w:rsidRDefault="00A51113" w:rsidP="00814966">
      <w:pPr>
        <w:pStyle w:val="List6"/>
      </w:pPr>
      <w:r>
        <w:br/>
      </w:r>
      <w:r w:rsidRPr="006958B9">
        <w:t>(</w:t>
      </w:r>
      <w:r w:rsidRPr="006958B9">
        <w:rPr>
          <w:i/>
        </w:rPr>
        <w:t>1</w:t>
      </w:r>
      <w:r w:rsidRPr="006958B9">
        <w:t>)  Each holder of 25 percent or more of the corporate stock;</w:t>
      </w:r>
    </w:p>
    <w:p w14:paraId="64451E11" w14:textId="77777777" w:rsidR="00A51113" w:rsidRDefault="00A51113" w:rsidP="00814966">
      <w:pPr>
        <w:pStyle w:val="List6"/>
      </w:pPr>
      <w:r>
        <w:br/>
      </w:r>
      <w:r w:rsidRPr="006958B9">
        <w:t>(</w:t>
      </w:r>
      <w:r w:rsidRPr="006958B9">
        <w:rPr>
          <w:i/>
        </w:rPr>
        <w:t>2</w:t>
      </w:r>
      <w:r w:rsidRPr="006958B9">
        <w:t>)  Each subsidiary; and</w:t>
      </w:r>
    </w:p>
    <w:p w14:paraId="4A9F50CF" w14:textId="77777777" w:rsidR="00A51113" w:rsidRDefault="00A51113" w:rsidP="00814966">
      <w:pPr>
        <w:pStyle w:val="List6"/>
      </w:pPr>
      <w:r>
        <w:br/>
      </w:r>
      <w:r w:rsidRPr="006958B9">
        <w:t>(</w:t>
      </w:r>
      <w:r w:rsidRPr="006958B9">
        <w:rPr>
          <w:i/>
        </w:rPr>
        <w:t>3</w:t>
      </w:r>
      <w:r w:rsidRPr="006958B9">
        <w:t>)  Each company under common control with proposed purchaser.</w:t>
      </w:r>
    </w:p>
    <w:p w14:paraId="5CEBFED9" w14:textId="77777777" w:rsidR="00A51113" w:rsidRDefault="00A51113" w:rsidP="00814966">
      <w:pPr>
        <w:pStyle w:val="List6"/>
      </w:pPr>
      <w:r>
        <w:br/>
      </w:r>
      <w:r w:rsidRPr="006958B9">
        <w:t>(</w:t>
      </w:r>
      <w:r w:rsidRPr="006958B9">
        <w:rPr>
          <w:i/>
        </w:rPr>
        <w:t>4</w:t>
      </w:r>
      <w:r w:rsidRPr="006958B9">
        <w:t>)  If a partnership, provide—</w:t>
      </w:r>
    </w:p>
    <w:p w14:paraId="649CA904" w14:textId="77777777" w:rsidR="00A51113" w:rsidRDefault="00A51113" w:rsidP="00B905E7">
      <w:pPr>
        <w:pStyle w:val="NormalWeb"/>
        <w:tabs>
          <w:tab w:val="left" w:pos="0"/>
          <w:tab w:val="left" w:pos="360"/>
          <w:tab w:val="left" w:pos="810"/>
          <w:tab w:val="left" w:pos="1210"/>
          <w:tab w:val="left" w:pos="1656"/>
          <w:tab w:val="left" w:pos="2131"/>
          <w:tab w:val="left" w:pos="2520"/>
        </w:tabs>
        <w:spacing w:before="0" w:beforeAutospacing="0" w:after="0" w:afterAutospacing="0"/>
      </w:pPr>
      <w:r>
        <w:br/>
      </w:r>
      <w:r w:rsidRPr="006958B9">
        <w:rPr>
          <w:i/>
        </w:rPr>
        <w:tab/>
      </w:r>
      <w:r w:rsidRPr="006958B9">
        <w:rPr>
          <w:i/>
        </w:rPr>
        <w:tab/>
      </w:r>
      <w:r w:rsidRPr="006958B9">
        <w:rPr>
          <w:i/>
        </w:rPr>
        <w:tab/>
      </w:r>
      <w:r w:rsidRPr="006958B9">
        <w:rPr>
          <w:i/>
        </w:rPr>
        <w:tab/>
        <w:t xml:space="preserve">(a) </w:t>
      </w:r>
      <w:r w:rsidRPr="006958B9">
        <w:t xml:space="preserve"> Name and address of each partner; and</w:t>
      </w:r>
    </w:p>
    <w:p w14:paraId="690CE4A7" w14:textId="77777777" w:rsidR="00A51113" w:rsidRDefault="00A51113" w:rsidP="00B905E7">
      <w:pPr>
        <w:pStyle w:val="NormalWeb"/>
        <w:tabs>
          <w:tab w:val="left" w:pos="0"/>
          <w:tab w:val="left" w:pos="360"/>
          <w:tab w:val="left" w:pos="810"/>
          <w:tab w:val="left" w:pos="1210"/>
          <w:tab w:val="left" w:pos="1656"/>
          <w:tab w:val="left" w:pos="2131"/>
          <w:tab w:val="left" w:pos="2520"/>
        </w:tabs>
        <w:spacing w:before="0" w:beforeAutospacing="0" w:after="0" w:afterAutospacing="0"/>
      </w:pPr>
      <w:r>
        <w:br/>
      </w:r>
      <w:r w:rsidRPr="006958B9">
        <w:tab/>
      </w:r>
      <w:r w:rsidRPr="006958B9">
        <w:tab/>
      </w:r>
      <w:r w:rsidRPr="006958B9">
        <w:tab/>
      </w:r>
      <w:r w:rsidRPr="006958B9">
        <w:tab/>
      </w:r>
      <w:r w:rsidRPr="006958B9">
        <w:rPr>
          <w:i/>
        </w:rPr>
        <w:t xml:space="preserve">(b) </w:t>
      </w:r>
      <w:r w:rsidRPr="006958B9">
        <w:t xml:space="preserve"> Other business connections of each partner;</w:t>
      </w:r>
    </w:p>
    <w:p w14:paraId="2EACD195" w14:textId="77777777" w:rsidR="00A51113" w:rsidRDefault="00A51113" w:rsidP="00814966">
      <w:pPr>
        <w:pStyle w:val="List5"/>
      </w:pPr>
      <w:r>
        <w:br/>
      </w:r>
      <w:r w:rsidRPr="006958B9">
        <w:rPr>
          <w:i/>
        </w:rPr>
        <w:t>(c)</w:t>
      </w:r>
      <w:r w:rsidRPr="006958B9">
        <w:t xml:space="preserve">  Nature of proposed purchaser's business (indicate whether its scope is local, statewide, regional, or national);</w:t>
      </w:r>
    </w:p>
    <w:p w14:paraId="36F0FEB9" w14:textId="77777777" w:rsidR="00A51113" w:rsidRDefault="00A51113" w:rsidP="00B905E7">
      <w:pPr>
        <w:pStyle w:val="NormalWeb"/>
        <w:tabs>
          <w:tab w:val="left" w:pos="0"/>
          <w:tab w:val="left" w:pos="360"/>
          <w:tab w:val="left" w:pos="810"/>
          <w:tab w:val="left" w:pos="1210"/>
          <w:tab w:val="left" w:pos="1656"/>
          <w:tab w:val="left" w:pos="2131"/>
          <w:tab w:val="left" w:pos="2520"/>
        </w:tabs>
        <w:spacing w:before="0" w:beforeAutospacing="0" w:after="0" w:afterAutospacing="0"/>
      </w:pPr>
      <w:r>
        <w:br/>
      </w:r>
      <w:r w:rsidRPr="006958B9">
        <w:tab/>
      </w:r>
      <w:r w:rsidRPr="006958B9">
        <w:tab/>
      </w:r>
      <w:r w:rsidRPr="006958B9">
        <w:tab/>
      </w:r>
      <w:r w:rsidRPr="006958B9">
        <w:tab/>
      </w:r>
      <w:r w:rsidRPr="006958B9">
        <w:rPr>
          <w:i/>
        </w:rPr>
        <w:t>(d)</w:t>
      </w:r>
      <w:r w:rsidRPr="006958B9">
        <w:t xml:space="preserve">  Estimated dollar volume of sales of proposed purchaser (as of latest calendar or fiscal year);</w:t>
      </w:r>
    </w:p>
    <w:p w14:paraId="5668BE85" w14:textId="77777777" w:rsidR="00A51113" w:rsidRDefault="00A51113" w:rsidP="00B905E7">
      <w:pPr>
        <w:pStyle w:val="NormalWeb"/>
        <w:tabs>
          <w:tab w:val="left" w:pos="0"/>
          <w:tab w:val="left" w:pos="360"/>
          <w:tab w:val="left" w:pos="810"/>
          <w:tab w:val="left" w:pos="1210"/>
          <w:tab w:val="left" w:pos="1656"/>
          <w:tab w:val="left" w:pos="2131"/>
          <w:tab w:val="left" w:pos="2520"/>
        </w:tabs>
        <w:spacing w:before="0" w:beforeAutospacing="0" w:after="0" w:afterAutospacing="0"/>
      </w:pPr>
      <w:r>
        <w:br/>
      </w:r>
      <w:r w:rsidRPr="006958B9">
        <w:tab/>
      </w:r>
      <w:r w:rsidRPr="006958B9">
        <w:tab/>
      </w:r>
      <w:r w:rsidRPr="006958B9">
        <w:tab/>
      </w:r>
      <w:r w:rsidRPr="006958B9">
        <w:tab/>
      </w:r>
      <w:r w:rsidRPr="006958B9">
        <w:rPr>
          <w:i/>
        </w:rPr>
        <w:t xml:space="preserve">(e) </w:t>
      </w:r>
      <w:r w:rsidRPr="006958B9">
        <w:t xml:space="preserve"> Estimated net worth of proposed purchaser; and</w:t>
      </w:r>
    </w:p>
    <w:p w14:paraId="0B61E0D1" w14:textId="77777777" w:rsidR="00A51113" w:rsidRDefault="00A51113" w:rsidP="00B905E7">
      <w:pPr>
        <w:pStyle w:val="NormalWeb"/>
        <w:tabs>
          <w:tab w:val="left" w:pos="0"/>
          <w:tab w:val="left" w:pos="360"/>
          <w:tab w:val="left" w:pos="810"/>
          <w:tab w:val="left" w:pos="1210"/>
          <w:tab w:val="left" w:pos="1656"/>
          <w:tab w:val="left" w:pos="2131"/>
          <w:tab w:val="left" w:pos="2520"/>
        </w:tabs>
        <w:spacing w:before="0" w:beforeAutospacing="0" w:after="0" w:afterAutospacing="0"/>
      </w:pPr>
      <w:r>
        <w:br/>
      </w:r>
      <w:r w:rsidRPr="006958B9">
        <w:tab/>
      </w:r>
      <w:r w:rsidRPr="006958B9">
        <w:tab/>
      </w:r>
      <w:r w:rsidRPr="006958B9">
        <w:tab/>
      </w:r>
      <w:r w:rsidRPr="006958B9">
        <w:tab/>
      </w:r>
      <w:r w:rsidRPr="006958B9">
        <w:rPr>
          <w:i/>
        </w:rPr>
        <w:t xml:space="preserve">(f) </w:t>
      </w:r>
      <w:r w:rsidRPr="006958B9">
        <w:t xml:space="preserve"> Intended use of property.</w:t>
      </w:r>
    </w:p>
    <w:p w14:paraId="44FA6600" w14:textId="77777777" w:rsidR="00A51113" w:rsidRDefault="00A51113" w:rsidP="00814966">
      <w:pPr>
        <w:pStyle w:val="List2"/>
      </w:pPr>
      <w:r>
        <w:lastRenderedPageBreak/>
        <w:br/>
      </w:r>
      <w:r w:rsidRPr="006958B9">
        <w:t>(8)  Do not dispose of property until the Attorney General determines whether the proposed disposal action would tend to create or maintain a situation inconsistent with the antitrust laws.</w:t>
      </w:r>
    </w:p>
    <w:p w14:paraId="5527F10E" w14:textId="77777777" w:rsidR="00A51113" w:rsidRDefault="00A51113" w:rsidP="00814966">
      <w:pPr>
        <w:pStyle w:val="List2"/>
      </w:pPr>
      <w:r>
        <w:br/>
      </w:r>
      <w:r w:rsidRPr="006958B9">
        <w:t>(9)  If the Attorney General advises that the proposed disposition is inconsistent with the antitrust laws, do not continue with the proposed disposition.</w:t>
      </w:r>
    </w:p>
    <w:p w14:paraId="785784DE" w14:textId="77777777" w:rsidR="00A51113" w:rsidRDefault="00A51113" w:rsidP="00B905E7">
      <w:pPr>
        <w:pStyle w:val="NormalWeb"/>
        <w:tabs>
          <w:tab w:val="left" w:pos="360"/>
          <w:tab w:val="left" w:pos="810"/>
          <w:tab w:val="left" w:pos="1210"/>
          <w:tab w:val="left" w:pos="1656"/>
          <w:tab w:val="left" w:pos="2131"/>
          <w:tab w:val="left" w:pos="2520"/>
        </w:tabs>
        <w:spacing w:before="0" w:beforeAutospacing="0" w:after="0" w:afterAutospacing="0"/>
      </w:pPr>
      <w:r>
        <w:br/>
      </w:r>
      <w:r w:rsidRPr="006958B9">
        <w:tab/>
        <w:t>(10)  Under noncompetitive sales, the prospective purchaser shall be informed that final consummation of the sale is subject to determination by the Attorney General.</w:t>
      </w:r>
    </w:p>
    <w:p w14:paraId="5091303C" w14:textId="77777777" w:rsidR="00A51113" w:rsidRDefault="00A51113" w:rsidP="00B905E7">
      <w:pPr>
        <w:pStyle w:val="NormalWeb"/>
        <w:tabs>
          <w:tab w:val="left" w:pos="360"/>
          <w:tab w:val="left" w:pos="810"/>
          <w:tab w:val="left" w:pos="1210"/>
          <w:tab w:val="left" w:pos="1656"/>
          <w:tab w:val="left" w:pos="2131"/>
          <w:tab w:val="left" w:pos="2520"/>
        </w:tabs>
        <w:spacing w:before="0" w:beforeAutospacing="0" w:after="0" w:afterAutospacing="0"/>
        <w:rPr>
          <w:bCs/>
        </w:rPr>
      </w:pPr>
      <w:r>
        <w:br/>
      </w:r>
      <w:r w:rsidRPr="006958B9">
        <w:tab/>
        <w:t xml:space="preserve">(11)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w:t>
      </w:r>
      <w:r w:rsidRPr="006958B9">
        <w:rPr>
          <w:bCs/>
        </w:rPr>
        <w:t>45.604-4.</w:t>
      </w:r>
    </w:p>
    <w:p w14:paraId="6CF443BD" w14:textId="77777777" w:rsidR="00A51113" w:rsidRDefault="00A51113" w:rsidP="00B905E7">
      <w:pPr>
        <w:pStyle w:val="NormalWeb"/>
        <w:tabs>
          <w:tab w:val="left" w:pos="360"/>
          <w:tab w:val="left" w:pos="810"/>
          <w:tab w:val="left" w:pos="1210"/>
          <w:tab w:val="left" w:pos="1656"/>
          <w:tab w:val="left" w:pos="2131"/>
          <w:tab w:val="left" w:pos="2520"/>
        </w:tabs>
        <w:spacing w:before="0" w:beforeAutospacing="0" w:after="0" w:afterAutospacing="0"/>
        <w:rPr>
          <w:bCs/>
        </w:rPr>
      </w:pPr>
      <w:r>
        <w:rPr>
          <w:bCs/>
        </w:rPr>
        <w:br/>
      </w:r>
      <w:r w:rsidRPr="006958B9">
        <w:rPr>
          <w:bCs/>
        </w:rPr>
        <w:tab/>
        <w:t>(12)  The PLCO shall, prior to sales contract award—</w:t>
      </w:r>
    </w:p>
    <w:p w14:paraId="71D7909C" w14:textId="77777777" w:rsidR="00A51113" w:rsidRDefault="00A51113" w:rsidP="004C7DD4">
      <w:pPr>
        <w:pStyle w:val="List3"/>
      </w:pPr>
      <w:r>
        <w:br/>
      </w:r>
      <w:r w:rsidRPr="00317119">
        <w:t xml:space="preserve">(i)  Ensure the prospective buyer is not an ineligible transferee, including those on found in the System for Award Management (SAM) Exclusions. </w:t>
      </w:r>
      <w:r>
        <w:t xml:space="preserve"> </w:t>
      </w:r>
      <w:r w:rsidRPr="00317119">
        <w:t xml:space="preserve">For additional information see </w:t>
      </w:r>
      <w:hyperlink r:id="rId42" w:history="1">
        <w:r w:rsidRPr="00317119">
          <w:rPr>
            <w:rStyle w:val="Hyperlink"/>
          </w:rPr>
          <w:t>https://www.acquisition.gov</w:t>
        </w:r>
      </w:hyperlink>
      <w:bookmarkStart w:id="46" w:name="P133_7994"/>
      <w:bookmarkEnd w:id="46"/>
      <w:r w:rsidRPr="00317119">
        <w:t xml:space="preserve"> ;</w:t>
      </w:r>
    </w:p>
    <w:p w14:paraId="75D3A0B0" w14:textId="77777777" w:rsidR="00A51113" w:rsidRDefault="00A51113" w:rsidP="00814966">
      <w:pPr>
        <w:pStyle w:val="List3"/>
      </w:pPr>
      <w:r>
        <w:rPr>
          <w:bCs/>
        </w:rPr>
        <w:br/>
      </w:r>
      <w:r w:rsidRPr="006958B9">
        <w:rPr>
          <w:bCs/>
        </w:rPr>
        <w:t xml:space="preserve">(ii)  Cross-reference contractor inventory to a National Stock Number and Demilitarization code.  For additional information, see FED LOG or WEBFLIS at </w:t>
      </w:r>
      <w:hyperlink r:id="rId43" w:history="1">
        <w:r w:rsidRPr="006958B9">
          <w:rPr>
            <w:rStyle w:val="Hyperlink"/>
            <w:rFonts w:eastAsia="Calibri"/>
            <w:bCs/>
          </w:rPr>
          <w:t>http://www.dlis.dla.mil/webflis/</w:t>
        </w:r>
      </w:hyperlink>
      <w:r w:rsidRPr="006958B9">
        <w:rPr>
          <w:bCs/>
        </w:rPr>
        <w:t xml:space="preserve"> and the current edition of the DoD Demilitarization Manual at </w:t>
      </w:r>
      <w:hyperlink r:id="rId44" w:history="1">
        <w:r w:rsidRPr="006958B9">
          <w:rPr>
            <w:rStyle w:val="Hyperlink"/>
            <w:bCs/>
          </w:rPr>
          <w:t>http://www.dtic.mil/whs/directives</w:t>
        </w:r>
      </w:hyperlink>
      <w:r w:rsidRPr="006958B9">
        <w:rPr>
          <w:bCs/>
        </w:rPr>
        <w:t xml:space="preserve">; </w:t>
      </w:r>
    </w:p>
    <w:p w14:paraId="52C86F0E" w14:textId="77777777" w:rsidR="00A51113" w:rsidRDefault="00A51113" w:rsidP="00814966">
      <w:pPr>
        <w:pStyle w:val="List3"/>
      </w:pPr>
      <w:r>
        <w:rPr>
          <w:bCs/>
        </w:rPr>
        <w:br/>
      </w:r>
      <w:r w:rsidRPr="006958B9">
        <w:rPr>
          <w:bCs/>
        </w:rPr>
        <w:t>(iii)  Consult with the DoD Demilitarization (Demil)/Trade Security Control (TSC) Program office to determine if the contractor inventory can be sold to the public; and if a TSC assessment of the prospective buyer is required.  Reference DoD Instruction 2030.08,</w:t>
      </w:r>
      <w:r w:rsidRPr="006958B9">
        <w:t xml:space="preserve"> Implementation of Trade Security Controls (TSC) for Transfers </w:t>
      </w:r>
      <w:r w:rsidRPr="006958B9">
        <w:lastRenderedPageBreak/>
        <w:t>of DoD U.S. Munitions List (USML) and Commerce Control List (CCL) Personal Property to Parties Outside DoD Control; and Defense Demilitarization Manual, DoD 4160.28-M;</w:t>
      </w:r>
    </w:p>
    <w:p w14:paraId="6E59544F" w14:textId="77777777" w:rsidR="00A51113" w:rsidRDefault="00A51113" w:rsidP="00814966">
      <w:pPr>
        <w:pStyle w:val="List3"/>
      </w:pPr>
      <w:r>
        <w:rPr>
          <w:bCs/>
        </w:rPr>
        <w:br/>
      </w:r>
      <w:r w:rsidRPr="006958B9">
        <w:rPr>
          <w:bCs/>
        </w:rPr>
        <w:t>(iv)  If TSC is required, provide</w:t>
      </w:r>
      <w:r w:rsidRPr="006958B9">
        <w:t xml:space="preserve"> the DoD Demil/TSC Program office with a completed DLA Form 1822 End-Use Certificate (EUC) for the prospective buyer.  Note: TSC assessments/EUCs are typically not required for scrap sales; and </w:t>
      </w:r>
    </w:p>
    <w:p w14:paraId="74044DF0" w14:textId="77777777" w:rsidR="00A51113" w:rsidRDefault="00A51113" w:rsidP="004C7DD4">
      <w:pPr>
        <w:pStyle w:val="List3"/>
      </w:pPr>
      <w:r>
        <w:rPr>
          <w:strike/>
        </w:rPr>
        <w:br/>
      </w:r>
      <w:r w:rsidRPr="006958B9">
        <w:t xml:space="preserve">(v)  Upon TSC clearance (if required) of the prospective buyer, authorize the contractor to complete the sale, as applicable. </w:t>
      </w:r>
    </w:p>
    <w:p w14:paraId="642ED81C" w14:textId="77777777" w:rsidR="00A51113" w:rsidRDefault="00A51113" w:rsidP="00B905E7">
      <w:pPr>
        <w:pStyle w:val="PlainText"/>
        <w:tabs>
          <w:tab w:val="clear" w:pos="1000"/>
          <w:tab w:val="left" w:pos="0"/>
          <w:tab w:val="left" w:pos="360"/>
          <w:tab w:val="left" w:pos="810"/>
          <w:tab w:val="left" w:pos="1210"/>
          <w:tab w:val="left" w:pos="1656"/>
          <w:tab w:val="left" w:pos="2131"/>
          <w:tab w:val="left" w:pos="2520"/>
        </w:tabs>
        <w:rPr>
          <w:rFonts w:ascii="Arial" w:hAnsi="Arial" w:cs="Arial"/>
          <w:b/>
          <w:bCs/>
          <w:sz w:val="24"/>
          <w:szCs w:val="24"/>
        </w:rPr>
      </w:pPr>
      <w:r>
        <w:rPr>
          <w:rFonts w:ascii="Arial" w:hAnsi="Arial" w:cs="Arial"/>
          <w:bCs/>
        </w:rPr>
        <w:br/>
      </w:r>
      <w:r w:rsidRPr="006958B9">
        <w:rPr>
          <w:rFonts w:ascii="Arial" w:hAnsi="Arial" w:cs="Arial"/>
          <w:bCs/>
          <w:sz w:val="24"/>
          <w:szCs w:val="24"/>
        </w:rPr>
        <w:tab/>
        <w:t xml:space="preserve">(13)  To the extent that demilitarization, mutilation, or destruction is required, the PLCO may authorize the contractor to perform such action as follows: </w:t>
      </w:r>
    </w:p>
    <w:p w14:paraId="7425A7F9" w14:textId="77777777" w:rsidR="00A51113" w:rsidRDefault="00A51113" w:rsidP="004C7DD4">
      <w:pPr>
        <w:pStyle w:val="List3"/>
      </w:pPr>
      <w:r>
        <w:rPr>
          <w:b/>
          <w:sz w:val="24"/>
        </w:rPr>
        <w:br/>
      </w:r>
      <w:r w:rsidRPr="006958B9">
        <w:t xml:space="preserve">(i)  Demilitarization, mutilation, or destruction by the contractor or buyer as a condition of sale; </w:t>
      </w:r>
    </w:p>
    <w:p w14:paraId="63A9FAAF" w14:textId="77777777" w:rsidR="00A51113" w:rsidRDefault="00A51113" w:rsidP="00814966">
      <w:pPr>
        <w:pStyle w:val="List3"/>
      </w:pPr>
      <w:r>
        <w:rPr>
          <w:bCs/>
        </w:rPr>
        <w:br/>
      </w:r>
      <w:r w:rsidRPr="006958B9">
        <w:rPr>
          <w:bCs/>
        </w:rPr>
        <w:t>(ii)  Shipment to a DoD disposal activity (contingent upon packing, crating, handling, and transportation funding), or</w:t>
      </w:r>
    </w:p>
    <w:p w14:paraId="0B02F5E7" w14:textId="77777777" w:rsidR="00A51113" w:rsidRDefault="00A51113" w:rsidP="00814966">
      <w:pPr>
        <w:pStyle w:val="List3"/>
      </w:pPr>
      <w:r>
        <w:rPr>
          <w:bCs/>
        </w:rPr>
        <w:br/>
      </w:r>
      <w:r w:rsidRPr="006958B9">
        <w:rPr>
          <w:bCs/>
        </w:rPr>
        <w:t>(iii)  Such other actions as are included in the terms and conditions of the contract.</w:t>
      </w:r>
    </w:p>
    <w:p w14:paraId="0BA048BB" w14:textId="77777777" w:rsidR="00A51113" w:rsidRDefault="00A51113" w:rsidP="00B905E7">
      <w:pPr>
        <w:pStyle w:val="PlainText"/>
        <w:tabs>
          <w:tab w:val="clear" w:pos="1000"/>
          <w:tab w:val="left" w:pos="0"/>
          <w:tab w:val="left" w:pos="360"/>
          <w:tab w:val="left" w:pos="810"/>
          <w:tab w:val="left" w:pos="1210"/>
          <w:tab w:val="left" w:pos="1656"/>
          <w:tab w:val="left" w:pos="2131"/>
          <w:tab w:val="left" w:pos="2520"/>
        </w:tabs>
        <w:rPr>
          <w:rFonts w:ascii="Arial" w:hAnsi="Arial" w:cs="Arial"/>
          <w:b/>
          <w:bCs/>
          <w:sz w:val="24"/>
          <w:szCs w:val="24"/>
        </w:rPr>
      </w:pPr>
      <w:r>
        <w:rPr>
          <w:rFonts w:ascii="Arial" w:hAnsi="Arial" w:cs="Arial"/>
          <w:bCs/>
        </w:rPr>
        <w:br/>
      </w:r>
      <w:r w:rsidRPr="006958B9">
        <w:rPr>
          <w:rFonts w:ascii="Arial" w:hAnsi="Arial" w:cs="Arial"/>
          <w:bCs/>
          <w:sz w:val="24"/>
          <w:szCs w:val="24"/>
        </w:rPr>
        <w:tab/>
        <w:t xml:space="preserve">(14)  </w:t>
      </w:r>
      <w:r w:rsidRPr="006958B9">
        <w:rPr>
          <w:rFonts w:ascii="Arial" w:hAnsi="Arial" w:cs="Arial"/>
          <w:sz w:val="24"/>
          <w:szCs w:val="24"/>
        </w:rPr>
        <w:t>S</w:t>
      </w:r>
      <w:r w:rsidRPr="006958B9">
        <w:rPr>
          <w:rFonts w:ascii="Arial" w:hAnsi="Arial" w:cs="Arial"/>
          <w:bCs/>
          <w:sz w:val="24"/>
          <w:szCs w:val="24"/>
        </w:rPr>
        <w:t>ecurity assistance transfers or foreign military sales shall be conducted in accordance with the terms and conditions of the contract and consistent with DoD 5105.38-M</w:t>
      </w:r>
      <w:r w:rsidRPr="006958B9">
        <w:rPr>
          <w:rFonts w:ascii="Arial" w:hAnsi="Arial" w:cs="Arial"/>
          <w:color w:val="000000"/>
          <w:sz w:val="24"/>
          <w:szCs w:val="24"/>
        </w:rPr>
        <w:t xml:space="preserve"> Security Assistance Management Manual.</w:t>
      </w:r>
    </w:p>
    <w:p w14:paraId="1F12EF0C" w14:textId="77777777" w:rsidR="00A51113" w:rsidRPr="006958B9" w:rsidRDefault="00A51113" w:rsidP="00B905E7">
      <w:pPr>
        <w:pStyle w:val="NormalWeb"/>
        <w:tabs>
          <w:tab w:val="left" w:pos="360"/>
          <w:tab w:val="left" w:pos="810"/>
          <w:tab w:val="left" w:pos="1210"/>
          <w:tab w:val="left" w:pos="1656"/>
          <w:tab w:val="left" w:pos="2131"/>
          <w:tab w:val="left" w:pos="2520"/>
        </w:tabs>
        <w:spacing w:before="0" w:beforeAutospacing="0" w:after="0" w:afterAutospacing="0"/>
      </w:pPr>
      <w:r>
        <w:rPr>
          <w:b w:val="0"/>
          <w:bCs/>
          <w:sz w:val="24"/>
        </w:rPr>
        <w:br/>
      </w:r>
      <w:r w:rsidRPr="006958B9">
        <w:tab/>
        <w:t>(15)  The plant clearance officer may send a notice of proposed surplus sale to FedBizOpps (</w:t>
      </w:r>
      <w:hyperlink r:id="rId45" w:history="1">
        <w:r w:rsidRPr="006958B9">
          <w:rPr>
            <w:color w:val="0000FF"/>
            <w:u w:val="single"/>
          </w:rPr>
          <w:t>http://www.fbo.gov</w:t>
        </w:r>
      </w:hyperlink>
      <w:r w:rsidRPr="006958B9">
        <w:t>) if the items have potentially high public interest.</w:t>
      </w:r>
    </w:p>
    <w:p w14:paraId="34697348" w14:textId="77777777" w:rsidR="00850595" w:rsidRDefault="00850595"/>
    <w:sectPr w:rsidR="00850595" w:rsidSect="00203DCE">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3BFD0" w14:textId="77777777" w:rsidR="00A50A7B" w:rsidRDefault="00A50A7B">
      <w:pPr>
        <w:spacing w:after="0" w:line="240" w:lineRule="auto"/>
      </w:pPr>
      <w:r>
        <w:separator/>
      </w:r>
    </w:p>
  </w:endnote>
  <w:endnote w:type="continuationSeparator" w:id="0">
    <w:p w14:paraId="5DE135BF" w14:textId="77777777" w:rsidR="00A50A7B" w:rsidRDefault="00A5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D07D" w14:textId="77777777" w:rsidR="00FE610C" w:rsidRDefault="00A50A7B">
    <w:pPr>
      <w:pStyle w:val="Footer"/>
      <w:pBdr>
        <w:top w:val="single" w:sz="6" w:space="1" w:color="auto"/>
      </w:pBdr>
      <w:tabs>
        <w:tab w:val="clear" w:pos="8640"/>
        <w:tab w:val="right" w:pos="9260"/>
      </w:tabs>
      <w:rPr>
        <w:szCs w:val="22"/>
      </w:rPr>
    </w:pPr>
  </w:p>
  <w:p w14:paraId="36DAF479" w14:textId="77777777" w:rsidR="00FE610C" w:rsidRPr="00355086" w:rsidRDefault="00A51113" w:rsidP="00355086">
    <w:pPr>
      <w:pStyle w:val="Footer"/>
      <w:pBdr>
        <w:top w:val="single" w:sz="6" w:space="1" w:color="auto"/>
      </w:pBdr>
      <w:tabs>
        <w:tab w:val="clear" w:pos="8640"/>
        <w:tab w:val="right" w:pos="9260"/>
      </w:tabs>
      <w:rPr>
        <w:szCs w:val="22"/>
      </w:rPr>
    </w:pPr>
    <w:r w:rsidRPr="00355086">
      <w:rPr>
        <w:szCs w:val="22"/>
      </w:rPr>
      <w:t>2004 EDITION</w:t>
    </w:r>
    <w:r w:rsidRPr="00355086">
      <w:rPr>
        <w:szCs w:val="22"/>
      </w:rPr>
      <w:tab/>
    </w:r>
    <w:r w:rsidRPr="00355086">
      <w:rPr>
        <w:szCs w:val="22"/>
      </w:rPr>
      <w:tab/>
      <w:t>245.1-</w:t>
    </w:r>
    <w:r w:rsidRPr="00355086">
      <w:rPr>
        <w:szCs w:val="22"/>
      </w:rPr>
      <w:pgNum/>
    </w:r>
  </w:p>
  <w:p w14:paraId="08E1999D" w14:textId="77777777" w:rsidR="00FE610C" w:rsidRPr="00BC71C0" w:rsidRDefault="00A50A7B">
    <w:pPr>
      <w:pStyle w:val="Footer"/>
      <w:pBdr>
        <w:top w:val="single" w:sz="6" w:space="1" w:color="auto"/>
      </w:pBdr>
      <w:tabs>
        <w:tab w:val="clear" w:pos="8640"/>
        <w:tab w:val="right" w:pos="9260"/>
      </w:tabs>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DEE0C" w14:textId="77777777" w:rsidR="00D2117A" w:rsidRDefault="00A50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40C7" w14:textId="77777777" w:rsidR="00D2117A" w:rsidRDefault="00A51113">
    <w:pPr>
      <w:pStyle w:val="Footer"/>
      <w:jc w:val="right"/>
    </w:pPr>
    <w:r>
      <w:t>245.2-</w:t>
    </w:r>
    <w:r>
      <w:fldChar w:fldCharType="begin"/>
    </w:r>
    <w:r>
      <w:instrText xml:space="preserve"> PAGE   \* MERGEFORMAT </w:instrText>
    </w:r>
    <w:r>
      <w:fldChar w:fldCharType="separate"/>
    </w:r>
    <w:r>
      <w:rPr>
        <w:noProof/>
      </w:rPr>
      <w:t>2</w:t>
    </w:r>
    <w:r>
      <w:fldChar w:fldCharType="end"/>
    </w:r>
  </w:p>
  <w:p w14:paraId="0DB1E4B8" w14:textId="77777777" w:rsidR="00D2117A" w:rsidRPr="00BC71C0" w:rsidRDefault="00A50A7B">
    <w:pPr>
      <w:pStyle w:val="Footer"/>
      <w:pBdr>
        <w:top w:val="single" w:sz="6" w:space="1" w:color="auto"/>
      </w:pBdr>
      <w:tabs>
        <w:tab w:val="clear" w:pos="8640"/>
        <w:tab w:val="right" w:pos="9260"/>
      </w:tabs>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A3AAB" w14:textId="77777777" w:rsidR="00D2117A" w:rsidRDefault="00A50A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69578" w14:textId="77777777" w:rsidR="00C66C7D" w:rsidRDefault="00A50A7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C069" w14:textId="77777777" w:rsidR="00C66C7D" w:rsidRDefault="00A51113">
    <w:pPr>
      <w:pStyle w:val="Footer"/>
      <w:jc w:val="right"/>
    </w:pPr>
    <w:r>
      <w:t>245.4-</w:t>
    </w:r>
    <w:r>
      <w:fldChar w:fldCharType="begin"/>
    </w:r>
    <w:r>
      <w:instrText xml:space="preserve"> PAGE   \* MERGEFORMAT </w:instrText>
    </w:r>
    <w:r>
      <w:fldChar w:fldCharType="separate"/>
    </w:r>
    <w:r>
      <w:rPr>
        <w:noProof/>
      </w:rPr>
      <w:t>1</w:t>
    </w:r>
    <w:r>
      <w:fldChar w:fldCharType="end"/>
    </w:r>
  </w:p>
  <w:p w14:paraId="354F3E28" w14:textId="77777777" w:rsidR="00C66C7D" w:rsidRPr="00BC71C0" w:rsidRDefault="00A50A7B">
    <w:pPr>
      <w:pStyle w:val="Footer"/>
      <w:pBdr>
        <w:top w:val="single" w:sz="6" w:space="1" w:color="auto"/>
      </w:pBdr>
      <w:tabs>
        <w:tab w:val="clear" w:pos="8640"/>
        <w:tab w:val="right" w:pos="9260"/>
      </w:tabs>
      <w:rPr>
        <w:szCs w:val="2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65E18" w14:textId="77777777" w:rsidR="00C66C7D" w:rsidRDefault="00A50A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BE728" w14:textId="77777777" w:rsidR="003E3B4D" w:rsidRDefault="00A51113">
    <w:pPr>
      <w:pStyle w:val="Footer"/>
      <w:jc w:val="right"/>
    </w:pPr>
    <w:r>
      <w:t>245.6-</w:t>
    </w:r>
    <w:r>
      <w:fldChar w:fldCharType="begin"/>
    </w:r>
    <w:r>
      <w:instrText xml:space="preserve"> PAGE   \* MERGEFORMAT </w:instrText>
    </w:r>
    <w:r>
      <w:fldChar w:fldCharType="separate"/>
    </w:r>
    <w:r>
      <w:rPr>
        <w:noProof/>
      </w:rPr>
      <w:t>1</w:t>
    </w:r>
    <w:r>
      <w:fldChar w:fldCharType="end"/>
    </w:r>
  </w:p>
  <w:p w14:paraId="534FEA8F" w14:textId="77777777" w:rsidR="00B173B9" w:rsidRPr="00BC71C0" w:rsidRDefault="00A50A7B">
    <w:pPr>
      <w:pStyle w:val="Footer"/>
      <w:pBdr>
        <w:top w:val="single" w:sz="6" w:space="1" w:color="auto"/>
      </w:pBdr>
      <w:tabs>
        <w:tab w:val="clear" w:pos="8640"/>
        <w:tab w:val="right" w:pos="9260"/>
      </w:tabs>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C98D7" w14:textId="77777777" w:rsidR="00A50A7B" w:rsidRDefault="00A50A7B">
      <w:pPr>
        <w:spacing w:after="0" w:line="240" w:lineRule="auto"/>
      </w:pPr>
      <w:r>
        <w:separator/>
      </w:r>
    </w:p>
  </w:footnote>
  <w:footnote w:type="continuationSeparator" w:id="0">
    <w:p w14:paraId="32ED5A63" w14:textId="77777777" w:rsidR="00A50A7B" w:rsidRDefault="00A5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1B105" w14:textId="77777777" w:rsidR="00FE610C" w:rsidRDefault="00A51113" w:rsidP="003E6AA4">
    <w:pPr>
      <w:pStyle w:val="Header"/>
      <w:tabs>
        <w:tab w:val="clear" w:pos="8640"/>
        <w:tab w:val="left" w:pos="4590"/>
      </w:tabs>
      <w:jc w:val="center"/>
      <w:rPr>
        <w:sz w:val="28"/>
        <w:szCs w:val="28"/>
      </w:rPr>
    </w:pPr>
    <w:r w:rsidRPr="002B1BC7">
      <w:rPr>
        <w:sz w:val="28"/>
        <w:szCs w:val="28"/>
      </w:rPr>
      <w:t>DFARS Procedures, Guidance, and Information</w:t>
    </w:r>
  </w:p>
  <w:p w14:paraId="4C60F245" w14:textId="77777777" w:rsidR="00FE610C" w:rsidRPr="002B1BC7" w:rsidRDefault="00A50A7B" w:rsidP="003E6AA4">
    <w:pPr>
      <w:pStyle w:val="Header"/>
      <w:tabs>
        <w:tab w:val="clear" w:pos="8640"/>
        <w:tab w:val="left" w:pos="4590"/>
      </w:tabs>
      <w:jc w:val="center"/>
      <w:rPr>
        <w:sz w:val="28"/>
        <w:szCs w:val="28"/>
      </w:rPr>
    </w:pPr>
  </w:p>
  <w:p w14:paraId="3E3B18A8" w14:textId="77777777" w:rsidR="00FE610C" w:rsidRPr="00BC71C0" w:rsidRDefault="00A5111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45</w:t>
    </w:r>
    <w:r w:rsidRPr="00BC71C0">
      <w:rPr>
        <w:szCs w:val="24"/>
      </w:rPr>
      <w:t>—</w:t>
    </w:r>
    <w:r>
      <w:rPr>
        <w:szCs w:val="24"/>
      </w:rPr>
      <w:t>Government Property</w:t>
    </w:r>
  </w:p>
  <w:p w14:paraId="7C2DCBD4" w14:textId="77777777" w:rsidR="00FE610C" w:rsidRDefault="00A50A7B">
    <w:pPr>
      <w:pStyle w:val="Header"/>
      <w:tabs>
        <w:tab w:val="clear" w:pos="8640"/>
        <w:tab w:val="right" w:pos="9260"/>
      </w:tabs>
      <w:spacing w:before="20" w:line="20" w:lineRule="exact"/>
      <w:rPr>
        <w:rFonts w:ascii="Geneva" w:hAnsi="Geneva"/>
        <w:b/>
        <w:position w:val="6"/>
        <w:sz w:val="18"/>
      </w:rPr>
    </w:pPr>
  </w:p>
  <w:p w14:paraId="03F18C50" w14:textId="77777777" w:rsidR="00FE610C" w:rsidRDefault="00A50A7B">
    <w:pPr>
      <w:pStyle w:val="Header"/>
      <w:tabs>
        <w:tab w:val="clear" w:pos="8640"/>
        <w:tab w:val="right" w:pos="9260"/>
      </w:tabs>
      <w:rPr>
        <w:rFonts w:ascii="Century Schoolbook" w:hAnsi="Century Schoolbook"/>
        <w:b/>
        <w:sz w:val="20"/>
      </w:rPr>
    </w:pPr>
  </w:p>
  <w:p w14:paraId="64A09C1F" w14:textId="77777777" w:rsidR="00FE610C" w:rsidRDefault="00A50A7B">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3FF69" w14:textId="77777777" w:rsidR="00D2117A" w:rsidRDefault="00A50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B3BE7" w14:textId="77777777" w:rsidR="00D2117A" w:rsidRDefault="00A51113" w:rsidP="003E6AA4">
    <w:pPr>
      <w:pStyle w:val="Header"/>
      <w:tabs>
        <w:tab w:val="clear" w:pos="8640"/>
        <w:tab w:val="left" w:pos="4590"/>
      </w:tabs>
      <w:jc w:val="center"/>
      <w:rPr>
        <w:sz w:val="28"/>
        <w:szCs w:val="28"/>
      </w:rPr>
    </w:pPr>
    <w:r w:rsidRPr="002B1BC7">
      <w:rPr>
        <w:sz w:val="28"/>
        <w:szCs w:val="28"/>
      </w:rPr>
      <w:t>DFARS Procedures, Guidance, and Information</w:t>
    </w:r>
  </w:p>
  <w:p w14:paraId="78D60447" w14:textId="77777777" w:rsidR="00D2117A" w:rsidRPr="002B1BC7" w:rsidRDefault="00A50A7B" w:rsidP="003E6AA4">
    <w:pPr>
      <w:pStyle w:val="Header"/>
      <w:tabs>
        <w:tab w:val="clear" w:pos="8640"/>
        <w:tab w:val="left" w:pos="4590"/>
      </w:tabs>
      <w:jc w:val="center"/>
      <w:rPr>
        <w:sz w:val="28"/>
        <w:szCs w:val="28"/>
      </w:rPr>
    </w:pPr>
  </w:p>
  <w:p w14:paraId="456EFF32" w14:textId="77777777" w:rsidR="00D2117A" w:rsidRPr="00BC71C0" w:rsidRDefault="00A5111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45</w:t>
    </w:r>
    <w:r w:rsidRPr="00BC71C0">
      <w:rPr>
        <w:szCs w:val="24"/>
      </w:rPr>
      <w:t>—</w:t>
    </w:r>
    <w:r>
      <w:rPr>
        <w:szCs w:val="24"/>
      </w:rPr>
      <w:t>Government Property</w:t>
    </w:r>
  </w:p>
  <w:p w14:paraId="4E40EE1D" w14:textId="77777777" w:rsidR="00D2117A" w:rsidRDefault="00A50A7B">
    <w:pPr>
      <w:pStyle w:val="Header"/>
      <w:tabs>
        <w:tab w:val="clear" w:pos="8640"/>
        <w:tab w:val="right" w:pos="9260"/>
      </w:tabs>
      <w:spacing w:before="20" w:line="20" w:lineRule="exact"/>
      <w:rPr>
        <w:rFonts w:ascii="Geneva" w:hAnsi="Geneva"/>
        <w:b/>
        <w:position w:val="6"/>
        <w:sz w:val="18"/>
      </w:rPr>
    </w:pPr>
  </w:p>
  <w:p w14:paraId="2BFBBD48" w14:textId="77777777" w:rsidR="00D2117A" w:rsidRDefault="00A50A7B">
    <w:pPr>
      <w:pStyle w:val="Header"/>
      <w:tabs>
        <w:tab w:val="clear" w:pos="8640"/>
        <w:tab w:val="right" w:pos="9260"/>
      </w:tabs>
      <w:rPr>
        <w:rFonts w:ascii="Century Schoolbook" w:hAnsi="Century Schoolbook"/>
        <w:b/>
        <w:sz w:val="20"/>
      </w:rPr>
    </w:pPr>
  </w:p>
  <w:p w14:paraId="73993876" w14:textId="77777777" w:rsidR="00D2117A" w:rsidRDefault="00A50A7B">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F1A65" w14:textId="77777777" w:rsidR="00D2117A" w:rsidRDefault="00A50A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08AE" w14:textId="77777777" w:rsidR="00C66C7D" w:rsidRDefault="00A50A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9DA4" w14:textId="77777777" w:rsidR="00C66C7D" w:rsidRDefault="00A51113" w:rsidP="003E6AA4">
    <w:pPr>
      <w:pStyle w:val="Header"/>
      <w:tabs>
        <w:tab w:val="clear" w:pos="8640"/>
        <w:tab w:val="left" w:pos="4590"/>
      </w:tabs>
      <w:jc w:val="center"/>
      <w:rPr>
        <w:sz w:val="28"/>
        <w:szCs w:val="28"/>
      </w:rPr>
    </w:pPr>
    <w:r w:rsidRPr="002B1BC7">
      <w:rPr>
        <w:sz w:val="28"/>
        <w:szCs w:val="28"/>
      </w:rPr>
      <w:t>DFARS Procedures, Guidance, and Information</w:t>
    </w:r>
  </w:p>
  <w:p w14:paraId="6B523E85" w14:textId="77777777" w:rsidR="00C66C7D" w:rsidRPr="002B1BC7" w:rsidRDefault="00A50A7B" w:rsidP="003E6AA4">
    <w:pPr>
      <w:pStyle w:val="Header"/>
      <w:tabs>
        <w:tab w:val="clear" w:pos="8640"/>
        <w:tab w:val="left" w:pos="4590"/>
      </w:tabs>
      <w:jc w:val="center"/>
      <w:rPr>
        <w:sz w:val="28"/>
        <w:szCs w:val="28"/>
      </w:rPr>
    </w:pPr>
  </w:p>
  <w:p w14:paraId="4D355905" w14:textId="77777777" w:rsidR="00C66C7D" w:rsidRPr="00BC71C0" w:rsidRDefault="00A5111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45</w:t>
    </w:r>
    <w:r w:rsidRPr="00BC71C0">
      <w:rPr>
        <w:szCs w:val="24"/>
      </w:rPr>
      <w:t>—</w:t>
    </w:r>
    <w:r>
      <w:rPr>
        <w:szCs w:val="24"/>
      </w:rPr>
      <w:t>Government Property</w:t>
    </w:r>
  </w:p>
  <w:p w14:paraId="12A4F374" w14:textId="77777777" w:rsidR="00C66C7D" w:rsidRDefault="00A50A7B">
    <w:pPr>
      <w:pStyle w:val="Header"/>
      <w:tabs>
        <w:tab w:val="clear" w:pos="8640"/>
        <w:tab w:val="right" w:pos="9260"/>
      </w:tabs>
      <w:spacing w:before="20" w:line="20" w:lineRule="exact"/>
      <w:rPr>
        <w:rFonts w:ascii="Geneva" w:hAnsi="Geneva"/>
        <w:b/>
        <w:position w:val="6"/>
        <w:sz w:val="18"/>
      </w:rPr>
    </w:pPr>
  </w:p>
  <w:p w14:paraId="5D1C6C6D" w14:textId="77777777" w:rsidR="00C66C7D" w:rsidRDefault="00A50A7B">
    <w:pPr>
      <w:pStyle w:val="Header"/>
      <w:tabs>
        <w:tab w:val="clear" w:pos="8640"/>
        <w:tab w:val="right" w:pos="9260"/>
      </w:tabs>
      <w:rPr>
        <w:rFonts w:ascii="Century Schoolbook" w:hAnsi="Century Schoolbook"/>
        <w:b/>
        <w:sz w:val="20"/>
      </w:rPr>
    </w:pPr>
  </w:p>
  <w:p w14:paraId="26786FC9" w14:textId="77777777" w:rsidR="00C66C7D" w:rsidRDefault="00A50A7B">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69280" w14:textId="77777777" w:rsidR="00C66C7D" w:rsidRDefault="00A50A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5C9B" w14:textId="77777777" w:rsidR="00B173B9" w:rsidRDefault="00A51113" w:rsidP="003E6AA4">
    <w:pPr>
      <w:pStyle w:val="Header"/>
      <w:tabs>
        <w:tab w:val="clear" w:pos="8640"/>
        <w:tab w:val="left" w:pos="4590"/>
      </w:tabs>
      <w:jc w:val="center"/>
      <w:rPr>
        <w:sz w:val="28"/>
        <w:szCs w:val="28"/>
      </w:rPr>
    </w:pPr>
    <w:r w:rsidRPr="002B1BC7">
      <w:rPr>
        <w:sz w:val="28"/>
        <w:szCs w:val="28"/>
      </w:rPr>
      <w:t>DFARS Procedures, Guidance, and Information</w:t>
    </w:r>
  </w:p>
  <w:p w14:paraId="3FC89B6C" w14:textId="77777777" w:rsidR="00B173B9" w:rsidRPr="002B1BC7" w:rsidRDefault="00A50A7B" w:rsidP="003E6AA4">
    <w:pPr>
      <w:pStyle w:val="Header"/>
      <w:tabs>
        <w:tab w:val="clear" w:pos="8640"/>
        <w:tab w:val="left" w:pos="4590"/>
      </w:tabs>
      <w:jc w:val="center"/>
      <w:rPr>
        <w:sz w:val="28"/>
        <w:szCs w:val="28"/>
      </w:rPr>
    </w:pPr>
  </w:p>
  <w:p w14:paraId="0DFF547B" w14:textId="77777777" w:rsidR="00B173B9" w:rsidRPr="00BC71C0" w:rsidRDefault="00A5111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45</w:t>
    </w:r>
    <w:r w:rsidRPr="00BC71C0">
      <w:rPr>
        <w:szCs w:val="24"/>
      </w:rPr>
      <w:t>—</w:t>
    </w:r>
    <w:r>
      <w:rPr>
        <w:szCs w:val="24"/>
      </w:rPr>
      <w:t>Government Property</w:t>
    </w:r>
  </w:p>
  <w:p w14:paraId="1758A8C9" w14:textId="77777777" w:rsidR="00B173B9" w:rsidRDefault="00A50A7B">
    <w:pPr>
      <w:pStyle w:val="Header"/>
      <w:tabs>
        <w:tab w:val="clear" w:pos="8640"/>
        <w:tab w:val="right" w:pos="9260"/>
      </w:tabs>
      <w:spacing w:before="20" w:line="20" w:lineRule="exact"/>
      <w:rPr>
        <w:rFonts w:ascii="Geneva" w:hAnsi="Geneva"/>
        <w:b/>
        <w:position w:val="6"/>
        <w:sz w:val="18"/>
      </w:rPr>
    </w:pPr>
  </w:p>
  <w:p w14:paraId="3F4FE00A" w14:textId="77777777" w:rsidR="00B173B9" w:rsidRDefault="00A50A7B">
    <w:pPr>
      <w:pStyle w:val="Header"/>
      <w:tabs>
        <w:tab w:val="clear" w:pos="8640"/>
        <w:tab w:val="right" w:pos="9260"/>
      </w:tabs>
      <w:rPr>
        <w:rFonts w:ascii="Century Schoolbook" w:hAnsi="Century Schoolbook"/>
        <w:b/>
        <w:sz w:val="20"/>
      </w:rPr>
    </w:pPr>
  </w:p>
  <w:p w14:paraId="7652C23C" w14:textId="77777777" w:rsidR="00B173B9" w:rsidRDefault="00A50A7B">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13"/>
    <w:rsid w:val="00455FC3"/>
    <w:rsid w:val="00505901"/>
    <w:rsid w:val="005F5444"/>
    <w:rsid w:val="007D6208"/>
    <w:rsid w:val="00850595"/>
    <w:rsid w:val="00A50A7B"/>
    <w:rsid w:val="00A51113"/>
    <w:rsid w:val="00AC7E3C"/>
    <w:rsid w:val="00B8095C"/>
    <w:rsid w:val="00BF48DE"/>
    <w:rsid w:val="00C24E8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9EA6A5"/>
  <w15:chartTrackingRefBased/>
  <w15:docId w15:val="{24CBDB84-645F-4B00-BEAD-33661FD2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A51113"/>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A51113"/>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A51113"/>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A51113"/>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13"/>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A51113"/>
    <w:rPr>
      <w:rFonts w:ascii="Arial" w:eastAsia="Times New Roman" w:hAnsi="Arial" w:cs="Arial"/>
      <w:szCs w:val="20"/>
    </w:rPr>
  </w:style>
  <w:style w:type="character" w:customStyle="1" w:styleId="Heading4Char">
    <w:name w:val="Heading 4 Char"/>
    <w:basedOn w:val="DefaultParagraphFont"/>
    <w:link w:val="Heading4"/>
    <w:rsid w:val="00A51113"/>
    <w:rPr>
      <w:rFonts w:ascii="Arial" w:eastAsia="Times New Roman" w:hAnsi="Arial" w:cs="Arial"/>
      <w:szCs w:val="20"/>
    </w:rPr>
  </w:style>
  <w:style w:type="paragraph" w:styleId="Footer">
    <w:name w:val="footer"/>
    <w:basedOn w:val="Normal"/>
    <w:link w:val="FooterChar"/>
    <w:uiPriority w:val="99"/>
    <w:rsid w:val="00A51113"/>
    <w:pPr>
      <w:tabs>
        <w:tab w:val="left" w:pos="1000"/>
        <w:tab w:val="center" w:pos="4320"/>
        <w:tab w:val="right" w:pos="8640"/>
      </w:tabs>
      <w:spacing w:before="120" w:after="100" w:afterAutospacing="1" w:line="240" w:lineRule="auto"/>
    </w:pPr>
    <w:rPr>
      <w:rFonts w:eastAsia="Times New Roman"/>
      <w:szCs w:val="20"/>
      <w:lang w:val="x-none" w:eastAsia="x-none"/>
    </w:rPr>
  </w:style>
  <w:style w:type="character" w:customStyle="1" w:styleId="FooterChar">
    <w:name w:val="Footer Char"/>
    <w:basedOn w:val="DefaultParagraphFont"/>
    <w:link w:val="Footer"/>
    <w:uiPriority w:val="99"/>
    <w:rsid w:val="00A51113"/>
    <w:rPr>
      <w:rFonts w:ascii="Arial" w:eastAsia="Times New Roman" w:hAnsi="Arial" w:cs="Arial"/>
      <w:szCs w:val="20"/>
      <w:lang w:val="x-none" w:eastAsia="x-none"/>
    </w:rPr>
  </w:style>
  <w:style w:type="paragraph" w:styleId="Header">
    <w:name w:val="header"/>
    <w:basedOn w:val="Normal"/>
    <w:link w:val="HeaderChar"/>
    <w:rsid w:val="00A51113"/>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A51113"/>
    <w:rPr>
      <w:rFonts w:ascii="Arial" w:eastAsia="Times New Roman" w:hAnsi="Arial" w:cs="Arial"/>
      <w:szCs w:val="20"/>
    </w:rPr>
  </w:style>
  <w:style w:type="character" w:styleId="Hyperlink">
    <w:name w:val="Hyperlink"/>
    <w:uiPriority w:val="99"/>
    <w:unhideWhenUsed/>
    <w:rsid w:val="00A51113"/>
    <w:rPr>
      <w:color w:val="0000FF"/>
      <w:u w:val="single"/>
    </w:rPr>
  </w:style>
  <w:style w:type="character" w:styleId="Strong">
    <w:name w:val="Strong"/>
    <w:uiPriority w:val="22"/>
    <w:qFormat/>
    <w:rsid w:val="00A51113"/>
    <w:rPr>
      <w:b/>
      <w:bCs/>
    </w:rPr>
  </w:style>
  <w:style w:type="paragraph" w:customStyle="1" w:styleId="List1">
    <w:name w:val="List 1"/>
    <w:link w:val="List1Char"/>
    <w:rsid w:val="00A51113"/>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A51113"/>
    <w:rPr>
      <w:rFonts w:ascii="Arial" w:eastAsia="Times New Roman" w:hAnsi="Arial" w:cs="Arial"/>
      <w:szCs w:val="24"/>
    </w:rPr>
  </w:style>
  <w:style w:type="paragraph" w:styleId="List2">
    <w:name w:val="List 2"/>
    <w:uiPriority w:val="99"/>
    <w:semiHidden/>
    <w:unhideWhenUsed/>
    <w:rsid w:val="00A51113"/>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A51113"/>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A51113"/>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A51113"/>
    <w:pPr>
      <w:spacing w:after="160" w:line="259" w:lineRule="auto"/>
      <w:ind w:left="1800" w:firstLine="0"/>
    </w:pPr>
    <w:rPr>
      <w:szCs w:val="24"/>
    </w:rPr>
  </w:style>
  <w:style w:type="character" w:customStyle="1" w:styleId="List4Char">
    <w:name w:val="List 4 Char"/>
    <w:basedOn w:val="DefaultParagraphFont"/>
    <w:link w:val="List4"/>
    <w:uiPriority w:val="99"/>
    <w:rsid w:val="00A51113"/>
    <w:rPr>
      <w:rFonts w:ascii="Arial" w:eastAsia="Times New Roman" w:hAnsi="Arial" w:cs="Arial"/>
      <w:szCs w:val="20"/>
    </w:rPr>
  </w:style>
  <w:style w:type="character" w:customStyle="1" w:styleId="List6Char">
    <w:name w:val="List 6 Char"/>
    <w:basedOn w:val="List4Char"/>
    <w:link w:val="List6"/>
    <w:rsid w:val="00A51113"/>
    <w:rPr>
      <w:rFonts w:ascii="Arial" w:eastAsia="Times New Roman" w:hAnsi="Arial" w:cs="Arial"/>
      <w:szCs w:val="24"/>
    </w:rPr>
  </w:style>
  <w:style w:type="character" w:customStyle="1" w:styleId="Heading2Char">
    <w:name w:val="Heading 2 Char"/>
    <w:basedOn w:val="DefaultParagraphFont"/>
    <w:link w:val="Heading2"/>
    <w:uiPriority w:val="9"/>
    <w:semiHidden/>
    <w:rsid w:val="00A51113"/>
    <w:rPr>
      <w:rFonts w:ascii="Arial" w:eastAsiaTheme="majorEastAsia" w:hAnsi="Arial" w:cs="Arial"/>
      <w:b/>
      <w:sz w:val="28"/>
      <w:szCs w:val="26"/>
    </w:rPr>
  </w:style>
  <w:style w:type="character" w:customStyle="1" w:styleId="List3Char">
    <w:name w:val="List 3 Char"/>
    <w:basedOn w:val="DefaultParagraphFont"/>
    <w:link w:val="List3"/>
    <w:uiPriority w:val="99"/>
    <w:rsid w:val="00A51113"/>
    <w:rPr>
      <w:rFonts w:ascii="Arial" w:eastAsia="Times New Roman" w:hAnsi="Arial" w:cs="Arial"/>
      <w:szCs w:val="20"/>
    </w:rPr>
  </w:style>
  <w:style w:type="paragraph" w:styleId="PlainText">
    <w:name w:val="Plain Text"/>
    <w:basedOn w:val="Normal"/>
    <w:link w:val="PlainTextChar"/>
    <w:uiPriority w:val="99"/>
    <w:rsid w:val="00A51113"/>
    <w:pPr>
      <w:tabs>
        <w:tab w:val="left" w:pos="1000"/>
      </w:tabs>
      <w:spacing w:before="120" w:after="100" w:afterAutospacing="1"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51113"/>
    <w:rPr>
      <w:rFonts w:ascii="Courier New" w:eastAsia="Times New Roman" w:hAnsi="Courier New" w:cs="Courier New"/>
      <w:sz w:val="20"/>
      <w:szCs w:val="20"/>
    </w:rPr>
  </w:style>
  <w:style w:type="paragraph" w:styleId="NormalWeb">
    <w:name w:val="Normal (Web)"/>
    <w:basedOn w:val="Normal"/>
    <w:unhideWhenUsed/>
    <w:rsid w:val="00A51113"/>
    <w:pPr>
      <w:spacing w:before="100" w:beforeAutospacing="1" w:after="100" w:afterAutospacing="1" w:line="240" w:lineRule="auto"/>
    </w:pPr>
    <w:rPr>
      <w:rFonts w:eastAsia="Times New Roman"/>
      <w:b/>
      <w:szCs w:val="24"/>
    </w:rPr>
  </w:style>
  <w:style w:type="character" w:styleId="Emphasis">
    <w:name w:val="Emphasis"/>
    <w:uiPriority w:val="20"/>
    <w:qFormat/>
    <w:rsid w:val="00A51113"/>
    <w:rPr>
      <w:b/>
      <w:bCs/>
      <w:i w:val="0"/>
      <w:iCs w:val="0"/>
    </w:rPr>
  </w:style>
  <w:style w:type="paragraph" w:styleId="List5">
    <w:name w:val="List 5"/>
    <w:basedOn w:val="Normal"/>
    <w:link w:val="List5Char"/>
    <w:uiPriority w:val="99"/>
    <w:semiHidden/>
    <w:unhideWhenUsed/>
    <w:rsid w:val="00A51113"/>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uiPriority w:val="99"/>
    <w:semiHidden/>
    <w:rsid w:val="00A51113"/>
    <w:rPr>
      <w:rFonts w:ascii="Arial" w:eastAsia="Times New Roman" w:hAnsi="Arial" w:cs="Arial"/>
      <w:szCs w:val="20"/>
    </w:rPr>
  </w:style>
  <w:style w:type="paragraph" w:styleId="TOC1">
    <w:name w:val="toc 1"/>
    <w:basedOn w:val="Normal"/>
    <w:next w:val="Normal"/>
    <w:autoRedefine/>
    <w:uiPriority w:val="39"/>
    <w:unhideWhenUsed/>
    <w:rsid w:val="00A51113"/>
    <w:pPr>
      <w:spacing w:after="100"/>
    </w:pPr>
  </w:style>
  <w:style w:type="paragraph" w:styleId="TOC3">
    <w:name w:val="toc 3"/>
    <w:basedOn w:val="Normal"/>
    <w:next w:val="Normal"/>
    <w:autoRedefine/>
    <w:uiPriority w:val="39"/>
    <w:unhideWhenUsed/>
    <w:rsid w:val="00A51113"/>
    <w:pPr>
      <w:spacing w:after="100"/>
      <w:ind w:left="440"/>
    </w:pPr>
  </w:style>
  <w:style w:type="paragraph" w:styleId="TOC2">
    <w:name w:val="toc 2"/>
    <w:basedOn w:val="Normal"/>
    <w:next w:val="Normal"/>
    <w:autoRedefine/>
    <w:uiPriority w:val="39"/>
    <w:unhideWhenUsed/>
    <w:rsid w:val="00A51113"/>
    <w:pPr>
      <w:spacing w:after="100"/>
      <w:ind w:left="220"/>
    </w:pPr>
  </w:style>
  <w:style w:type="paragraph" w:styleId="TOC4">
    <w:name w:val="toc 4"/>
    <w:basedOn w:val="Normal"/>
    <w:next w:val="Normal"/>
    <w:autoRedefine/>
    <w:uiPriority w:val="39"/>
    <w:unhideWhenUsed/>
    <w:rsid w:val="00A51113"/>
    <w:pPr>
      <w:spacing w:after="100"/>
      <w:ind w:left="660"/>
    </w:pPr>
  </w:style>
  <w:style w:type="paragraph" w:styleId="TOC5">
    <w:name w:val="toc 5"/>
    <w:basedOn w:val="Normal"/>
    <w:next w:val="Normal"/>
    <w:autoRedefine/>
    <w:uiPriority w:val="39"/>
    <w:semiHidden/>
    <w:unhideWhenUsed/>
    <w:rsid w:val="00A51113"/>
    <w:pPr>
      <w:spacing w:after="100"/>
      <w:ind w:left="880"/>
    </w:pPr>
  </w:style>
  <w:style w:type="paragraph" w:styleId="TOC6">
    <w:name w:val="toc 6"/>
    <w:basedOn w:val="Normal"/>
    <w:next w:val="Normal"/>
    <w:autoRedefine/>
    <w:uiPriority w:val="39"/>
    <w:semiHidden/>
    <w:unhideWhenUsed/>
    <w:rsid w:val="00A51113"/>
    <w:pPr>
      <w:spacing w:after="100"/>
      <w:ind w:left="1100"/>
    </w:pPr>
  </w:style>
  <w:style w:type="paragraph" w:styleId="TOC7">
    <w:name w:val="toc 7"/>
    <w:basedOn w:val="Normal"/>
    <w:next w:val="Normal"/>
    <w:autoRedefine/>
    <w:uiPriority w:val="39"/>
    <w:semiHidden/>
    <w:unhideWhenUsed/>
    <w:rsid w:val="00A51113"/>
    <w:pPr>
      <w:spacing w:after="100"/>
      <w:ind w:left="1320"/>
    </w:pPr>
  </w:style>
  <w:style w:type="paragraph" w:styleId="TOC8">
    <w:name w:val="toc 8"/>
    <w:basedOn w:val="Normal"/>
    <w:next w:val="Normal"/>
    <w:autoRedefine/>
    <w:uiPriority w:val="39"/>
    <w:semiHidden/>
    <w:unhideWhenUsed/>
    <w:rsid w:val="00A51113"/>
    <w:pPr>
      <w:spacing w:after="100"/>
      <w:ind w:left="1540"/>
    </w:pPr>
  </w:style>
  <w:style w:type="paragraph" w:styleId="TOC9">
    <w:name w:val="toc 9"/>
    <w:basedOn w:val="Normal"/>
    <w:next w:val="Normal"/>
    <w:autoRedefine/>
    <w:uiPriority w:val="39"/>
    <w:semiHidden/>
    <w:unhideWhenUsed/>
    <w:rsid w:val="00A5111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pgi/pgi_htm/PGI245_1.htm" TargetMode="External"/><Relationship Id="rId18" Type="http://schemas.openxmlformats.org/officeDocument/2006/relationships/footer" Target="footer1.xml"/><Relationship Id="rId26" Type="http://schemas.openxmlformats.org/officeDocument/2006/relationships/footer" Target="footer4.xml"/><Relationship Id="rId39"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header" Target="header2.xml"/><Relationship Id="rId34" Type="http://schemas.openxmlformats.org/officeDocument/2006/relationships/hyperlink" Target="http://www.acq.osd.mil/dpap/dars/dfars/html/current/252211.htm" TargetMode="External"/><Relationship Id="rId42" Type="http://schemas.openxmlformats.org/officeDocument/2006/relationships/hyperlink" Target="https://www.acquisition.gov" TargetMode="External"/><Relationship Id="rId47" Type="http://schemas.openxmlformats.org/officeDocument/2006/relationships/footer" Target="footer8.xml"/><Relationship Id="rId7" Type="http://schemas.openxmlformats.org/officeDocument/2006/relationships/hyperlink" Target="http://www.acq.osd.mil/dpap/dars/dfars/html/current/245_1.htm" TargetMode="External"/><Relationship Id="rId12" Type="http://schemas.openxmlformats.org/officeDocument/2006/relationships/hyperlink" Target="http://dodprocurementtoolbox.com/site-pages/gfp-resources"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yperlink" Target="http://www.acq.osd.mil/pepolicy/pdfs/FinancialReportingGPPEMemo.pdf" TargetMode="External"/><Relationship Id="rId38" Type="http://schemas.openxmlformats.org/officeDocument/2006/relationships/footer" Target="footer5.xml"/><Relationship Id="rId46"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hyperlink" Target="http://www.acq.osd.mi/dpap/dars/dfars/html/current/252242.htm" TargetMode="External"/><Relationship Id="rId20" Type="http://schemas.openxmlformats.org/officeDocument/2006/relationships/hyperlink" Target="http://www.acq.osd.mil/dpap/dars/dfars/html/current/252211.htm" TargetMode="External"/><Relationship Id="rId29" Type="http://schemas.openxmlformats.org/officeDocument/2006/relationships/hyperlink" Target="http://www.acq.osd.mil/dpap/dars/dfars/html/current/242_72.htm" TargetMode="External"/><Relationship Id="rId41" Type="http://schemas.openxmlformats.org/officeDocument/2006/relationships/footer" Target="footer7.xml"/><Relationship Id="rId1" Type="http://schemas.openxmlformats.org/officeDocument/2006/relationships/styles" Target="styles.xml"/><Relationship Id="rId6" Type="http://schemas.openxmlformats.org/officeDocument/2006/relationships/hyperlink" Target="http://www.acq.osd.mil/dpap/dars/pgi/pgi_htm/PGI245_1.htm" TargetMode="External"/><Relationship Id="rId11" Type="http://schemas.openxmlformats.org/officeDocument/2006/relationships/hyperlink" Target="http://www.acq.osd.mil/dpap/dars/pgi/pgi_htm/PGI204_71.htm" TargetMode="External"/><Relationship Id="rId24" Type="http://schemas.openxmlformats.org/officeDocument/2006/relationships/footer" Target="footer3.xml"/><Relationship Id="rId32" Type="http://schemas.openxmlformats.org/officeDocument/2006/relationships/hyperlink" Target="http://www.acq.osd.mil/dpap/dars/dfars/html/current/252245.htm" TargetMode="External"/><Relationship Id="rId37" Type="http://schemas.openxmlformats.org/officeDocument/2006/relationships/header" Target="header6.xml"/><Relationship Id="rId40" Type="http://schemas.openxmlformats.org/officeDocument/2006/relationships/header" Target="header7.xml"/><Relationship Id="rId45" Type="http://schemas.openxmlformats.org/officeDocument/2006/relationships/hyperlink" Target="http://frwebgate.access.gpo.gov/cgi-bin/leaving.cgi?from=leavingFR.html&amp;log=linklog&amp;to=http://www.fbo.gov" TargetMode="External"/><Relationship Id="rId5" Type="http://schemas.openxmlformats.org/officeDocument/2006/relationships/endnotes" Target="endnotes.xml"/><Relationship Id="rId15" Type="http://schemas.openxmlformats.org/officeDocument/2006/relationships/hyperlink" Target="https://www.acq.osd.mil/dpap/dars/pgi/pgi_htm/current/PGI245_1.htm" TargetMode="External"/><Relationship Id="rId23" Type="http://schemas.openxmlformats.org/officeDocument/2006/relationships/footer" Target="footer2.xml"/><Relationship Id="rId28" Type="http://schemas.openxmlformats.org/officeDocument/2006/relationships/hyperlink" Target="http://www.acq.osd.mil/dpap/dars/dfars/html/current/245_1.htm" TargetMode="External"/><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hyperlink" Target="http://dodprocurementtoolbox.org/site/detail/id/26" TargetMode="External"/><Relationship Id="rId19" Type="http://schemas.openxmlformats.org/officeDocument/2006/relationships/hyperlink" Target="http://www.dla.mil/HQ/InformationOperations/Offers/Services/TrainingandReference/FLISProcedures.aspx" TargetMode="External"/><Relationship Id="rId31" Type="http://schemas.openxmlformats.org/officeDocument/2006/relationships/hyperlink" Target="http://www.acq.osd.mil/dpap/dars/pgi/pgi_htm/current/PGI245_1.htm" TargetMode="External"/><Relationship Id="rId44" Type="http://schemas.openxmlformats.org/officeDocument/2006/relationships/hyperlink" Target="http://www.dtic.mil/whs/directives" TargetMode="External"/><Relationship Id="rId4" Type="http://schemas.openxmlformats.org/officeDocument/2006/relationships/footnotes" Target="footnotes.xml"/><Relationship Id="rId9" Type="http://schemas.openxmlformats.org/officeDocument/2006/relationships/hyperlink" Target="http://www.acq.osd.mil/dpap/dars/pgi/pgi_htm/PGI204_71.htm" TargetMode="External"/><Relationship Id="rId14" Type="http://schemas.openxmlformats.org/officeDocument/2006/relationships/hyperlink" Target="http://www.acq.osd.mil/dpap/dars/pgi/pgi_htm/PGI245_1.htm" TargetMode="External"/><Relationship Id="rId22" Type="http://schemas.openxmlformats.org/officeDocument/2006/relationships/header" Target="header3.xml"/><Relationship Id="rId27" Type="http://schemas.openxmlformats.org/officeDocument/2006/relationships/hyperlink" Target="http://www.acq.osd.mil/dpap/dars/dfars/html/current/242_75.htm" TargetMode="External"/><Relationship Id="rId30" Type="http://schemas.openxmlformats.org/officeDocument/2006/relationships/hyperlink" Target="http://www.acq.osd.mil/dpap/dars/pgi/pgi_htm/current/PGI245_1.htm" TargetMode="External"/><Relationship Id="rId35" Type="http://schemas.openxmlformats.org/officeDocument/2006/relationships/hyperlink" Target="http://www.acq.osd.mil/dpap/dars/dfars/html/current/211_2.htm" TargetMode="External"/><Relationship Id="rId43" Type="http://schemas.openxmlformats.org/officeDocument/2006/relationships/hyperlink" Target="http://www.dlis.dla.mil/webflis/" TargetMode="External"/><Relationship Id="rId48" Type="http://schemas.openxmlformats.org/officeDocument/2006/relationships/fontTable" Target="fontTable.xml"/><Relationship Id="rId8" Type="http://schemas.openxmlformats.org/officeDocument/2006/relationships/hyperlink" Target="http://dodprocurementtoolbox.org/site/detail/id/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5232</Words>
  <Characters>29825</Characters>
  <Application>Microsoft Office Word</Application>
  <DocSecurity>0</DocSecurity>
  <Lines>248</Lines>
  <Paragraphs>69</Paragraphs>
  <ScaleCrop>false</ScaleCrop>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2020-04-10T16:56:00Z</dcterms:created>
  <dcterms:modified xsi:type="dcterms:W3CDTF">2020-04-14T15:37:00Z</dcterms:modified>
</cp:coreProperties>
</file>