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839C5" w14:textId="77777777" w:rsidR="001E4B47" w:rsidRDefault="001E4B47">
      <w:pPr>
        <w:sectPr w:rsidR="001E4B47">
          <w:pgSz w:w="12240" w:h="15840"/>
          <w:pgMar w:top="1440" w:right="1440" w:bottom="1440" w:left="1440" w:header="720" w:footer="720" w:gutter="0"/>
          <w:cols w:space="720"/>
          <w:docGrid w:linePitch="360"/>
        </w:sectPr>
      </w:pPr>
    </w:p>
    <w:p w14:paraId="1BBD117C" w14:textId="77777777" w:rsidR="001E4B47" w:rsidRDefault="001E4B47" w:rsidP="00903EEF">
      <w:pPr>
        <w:pStyle w:val="Heading1"/>
      </w:pPr>
      <w:bookmarkStart w:id="0" w:name="_Toc37677785"/>
      <w:bookmarkStart w:id="1" w:name="_Toc37756685"/>
      <w:r>
        <w:lastRenderedPageBreak/>
        <w:t xml:space="preserve">PGI </w:t>
      </w:r>
      <w:r w:rsidRPr="007B495C">
        <w:t>PART 2</w:t>
      </w:r>
      <w:r>
        <w:t>46</w:t>
      </w:r>
      <w:r w:rsidRPr="007B495C">
        <w:t xml:space="preserve"> - </w:t>
      </w:r>
      <w:r>
        <w:br/>
      </w:r>
      <w:r w:rsidRPr="00A67D1E">
        <w:t>Quality Assurance</w:t>
      </w:r>
      <w:bookmarkEnd w:id="0"/>
      <w:bookmarkEnd w:id="1"/>
    </w:p>
    <w:p w14:paraId="3F54907F" w14:textId="77777777" w:rsidR="001E4B47" w:rsidRDefault="001E4B47">
      <w:r>
        <w:br w:type="page"/>
      </w:r>
      <w:r>
        <w:lastRenderedPageBreak/>
        <w:br/>
      </w:r>
    </w:p>
    <w:p w14:paraId="2A3838CC" w14:textId="77777777" w:rsidR="001517DD" w:rsidRPr="00E56417" w:rsidRDefault="001517DD" w:rsidP="00E56417">
      <w:pPr>
        <w:jc w:val="center"/>
        <w:rPr>
          <w:b/>
        </w:rPr>
      </w:pPr>
      <w:r w:rsidRPr="00E56417">
        <w:rPr>
          <w:b/>
        </w:rPr>
        <w:t>Table of Contents</w:t>
      </w:r>
    </w:p>
    <w:p w14:paraId="21969A30" w14:textId="214F31DB" w:rsidR="006D4192" w:rsidRDefault="006D4192" w:rsidP="006D4192">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6685" w:history="1">
        <w:r w:rsidRPr="002F6B62">
          <w:rPr>
            <w:rStyle w:val="Hyperlink"/>
            <w:noProof/>
          </w:rPr>
          <w:t>PGI PART 246 -  Quality Assurance</w:t>
        </w:r>
      </w:hyperlink>
    </w:p>
    <w:p w14:paraId="29A5EA06" w14:textId="6B875FBB" w:rsidR="006D4192" w:rsidRDefault="006D4192" w:rsidP="006D4192">
      <w:pPr>
        <w:pStyle w:val="TOC2"/>
        <w:tabs>
          <w:tab w:val="right" w:leader="dot" w:pos="9350"/>
        </w:tabs>
        <w:rPr>
          <w:rFonts w:asciiTheme="minorHAnsi" w:eastAsiaTheme="minorEastAsia" w:hAnsiTheme="minorHAnsi" w:cstheme="minorBidi"/>
          <w:noProof/>
        </w:rPr>
      </w:pPr>
      <w:hyperlink w:anchor="_Toc37756686" w:history="1">
        <w:r w:rsidRPr="002F6B62">
          <w:rPr>
            <w:rStyle w:val="Hyperlink"/>
            <w:caps/>
            <w:noProof/>
          </w:rPr>
          <w:t>PGI 246.1—general</w:t>
        </w:r>
      </w:hyperlink>
    </w:p>
    <w:p w14:paraId="5D0F9FB3" w14:textId="4BB1FED8" w:rsidR="006D4192" w:rsidRDefault="006D4192" w:rsidP="006D4192">
      <w:pPr>
        <w:pStyle w:val="TOC3"/>
        <w:tabs>
          <w:tab w:val="right" w:leader="dot" w:pos="9350"/>
        </w:tabs>
        <w:rPr>
          <w:rFonts w:asciiTheme="minorHAnsi" w:eastAsiaTheme="minorEastAsia" w:hAnsiTheme="minorHAnsi" w:cstheme="minorBidi"/>
          <w:noProof/>
        </w:rPr>
      </w:pPr>
      <w:hyperlink w:anchor="_Toc37756687" w:history="1">
        <w:r w:rsidRPr="002F6B62">
          <w:rPr>
            <w:rStyle w:val="Hyperlink"/>
            <w:b/>
            <w:noProof/>
          </w:rPr>
          <w:t>PGI 246.103  Contracting office responsibilities.</w:t>
        </w:r>
      </w:hyperlink>
    </w:p>
    <w:p w14:paraId="3B6E86B8" w14:textId="0D3E6A4B" w:rsidR="006D4192" w:rsidRDefault="006D4192" w:rsidP="006D4192">
      <w:pPr>
        <w:pStyle w:val="TOC2"/>
        <w:tabs>
          <w:tab w:val="right" w:leader="dot" w:pos="9350"/>
        </w:tabs>
        <w:rPr>
          <w:rFonts w:asciiTheme="minorHAnsi" w:eastAsiaTheme="minorEastAsia" w:hAnsiTheme="minorHAnsi" w:cstheme="minorBidi"/>
          <w:noProof/>
        </w:rPr>
      </w:pPr>
      <w:hyperlink w:anchor="_Toc37756688" w:history="1">
        <w:r w:rsidRPr="002F6B62">
          <w:rPr>
            <w:rStyle w:val="Hyperlink"/>
            <w:noProof/>
          </w:rPr>
          <w:t>PGI 246.3—CONTRACT CLAUSES</w:t>
        </w:r>
      </w:hyperlink>
    </w:p>
    <w:p w14:paraId="1A3321E1" w14:textId="10D7D3B8" w:rsidR="006D4192" w:rsidRDefault="006D4192" w:rsidP="006D4192">
      <w:pPr>
        <w:pStyle w:val="TOC3"/>
        <w:tabs>
          <w:tab w:val="right" w:leader="dot" w:pos="9350"/>
        </w:tabs>
        <w:rPr>
          <w:rFonts w:asciiTheme="minorHAnsi" w:eastAsiaTheme="minorEastAsia" w:hAnsiTheme="minorHAnsi" w:cstheme="minorBidi"/>
          <w:noProof/>
        </w:rPr>
      </w:pPr>
      <w:hyperlink w:anchor="_Toc37756689" w:history="1">
        <w:r w:rsidRPr="002F6B62">
          <w:rPr>
            <w:rStyle w:val="Hyperlink"/>
            <w:b/>
            <w:noProof/>
          </w:rPr>
          <w:t>PGI 246.370  Notification of potential safety issues.</w:t>
        </w:r>
      </w:hyperlink>
    </w:p>
    <w:p w14:paraId="36A770D5" w14:textId="7079D309" w:rsidR="006D4192" w:rsidRDefault="006D4192" w:rsidP="006D4192">
      <w:pPr>
        <w:pStyle w:val="TOC2"/>
        <w:tabs>
          <w:tab w:val="right" w:leader="dot" w:pos="9350"/>
        </w:tabs>
        <w:rPr>
          <w:rFonts w:asciiTheme="minorHAnsi" w:eastAsiaTheme="minorEastAsia" w:hAnsiTheme="minorHAnsi" w:cstheme="minorBidi"/>
          <w:noProof/>
        </w:rPr>
      </w:pPr>
      <w:hyperlink w:anchor="_Toc37756690" w:history="1">
        <w:r w:rsidRPr="002F6B62">
          <w:rPr>
            <w:rStyle w:val="Hyperlink"/>
            <w:noProof/>
          </w:rPr>
          <w:t>PGI 246.4—GOVERNMENT CONTRACT QUALITY ASSURANCE</w:t>
        </w:r>
      </w:hyperlink>
    </w:p>
    <w:p w14:paraId="50A068C7" w14:textId="3CDC606F" w:rsidR="006D4192" w:rsidRDefault="006D4192" w:rsidP="006D4192">
      <w:pPr>
        <w:pStyle w:val="TOC3"/>
        <w:tabs>
          <w:tab w:val="right" w:leader="dot" w:pos="9350"/>
        </w:tabs>
        <w:rPr>
          <w:rFonts w:asciiTheme="minorHAnsi" w:eastAsiaTheme="minorEastAsia" w:hAnsiTheme="minorHAnsi" w:cstheme="minorBidi"/>
          <w:noProof/>
        </w:rPr>
      </w:pPr>
      <w:hyperlink w:anchor="_Toc37756691" w:history="1">
        <w:r w:rsidRPr="002F6B62">
          <w:rPr>
            <w:rStyle w:val="Hyperlink"/>
            <w:b/>
            <w:noProof/>
          </w:rPr>
          <w:t>PGI 246.407  Nonconforming supplies or services.</w:t>
        </w:r>
      </w:hyperlink>
    </w:p>
    <w:p w14:paraId="34E08C7C" w14:textId="6EEDC1E3" w:rsidR="006D4192" w:rsidRDefault="006D4192" w:rsidP="006D4192">
      <w:pPr>
        <w:pStyle w:val="TOC2"/>
        <w:tabs>
          <w:tab w:val="right" w:leader="dot" w:pos="9350"/>
        </w:tabs>
        <w:rPr>
          <w:rFonts w:asciiTheme="minorHAnsi" w:eastAsiaTheme="minorEastAsia" w:hAnsiTheme="minorHAnsi" w:cstheme="minorBidi"/>
          <w:noProof/>
        </w:rPr>
      </w:pPr>
      <w:hyperlink w:anchor="_Toc37756692" w:history="1">
        <w:r w:rsidRPr="002F6B62">
          <w:rPr>
            <w:rStyle w:val="Hyperlink"/>
            <w:noProof/>
          </w:rPr>
          <w:t>Additional information on delegation of authority for acceptance of minor nonconformances in aviation and ship critical safety items is available at http://www.aviation.dla.mil/UserWeb/AviationEngineering/EngineeringSupport/Documents/AviationCSIHandbook.pdf.</w:t>
        </w:r>
      </w:hyperlink>
    </w:p>
    <w:p w14:paraId="257A43FF" w14:textId="1364413C" w:rsidR="006D4192" w:rsidRDefault="006D4192" w:rsidP="006D4192">
      <w:pPr>
        <w:pStyle w:val="TOC3"/>
        <w:tabs>
          <w:tab w:val="right" w:leader="dot" w:pos="9350"/>
        </w:tabs>
        <w:rPr>
          <w:rFonts w:asciiTheme="minorHAnsi" w:eastAsiaTheme="minorEastAsia" w:hAnsiTheme="minorHAnsi" w:cstheme="minorBidi"/>
          <w:noProof/>
        </w:rPr>
      </w:pPr>
      <w:hyperlink w:anchor="_Toc37756693" w:history="1">
        <w:r w:rsidRPr="002F6B62">
          <w:rPr>
            <w:rStyle w:val="Hyperlink"/>
            <w:b/>
            <w:noProof/>
          </w:rPr>
          <w:t>PGI 246.470  Government contract quality assurance actions.</w:t>
        </w:r>
      </w:hyperlink>
    </w:p>
    <w:p w14:paraId="5E8F4408" w14:textId="69626909" w:rsidR="006D4192" w:rsidRDefault="006D4192" w:rsidP="006D4192">
      <w:pPr>
        <w:pStyle w:val="TOC4"/>
        <w:tabs>
          <w:tab w:val="right" w:leader="dot" w:pos="9350"/>
        </w:tabs>
        <w:rPr>
          <w:rFonts w:asciiTheme="minorHAnsi" w:eastAsiaTheme="minorEastAsia" w:hAnsiTheme="minorHAnsi" w:cstheme="minorBidi"/>
          <w:noProof/>
        </w:rPr>
      </w:pPr>
      <w:hyperlink w:anchor="_Toc37756694" w:history="1">
        <w:r w:rsidRPr="002F6B62">
          <w:rPr>
            <w:rStyle w:val="Hyperlink"/>
            <w:b/>
            <w:noProof/>
          </w:rPr>
          <w:t>PGI 246.470-2  Quality evaluation data.</w:t>
        </w:r>
      </w:hyperlink>
    </w:p>
    <w:p w14:paraId="3931E22A" w14:textId="4B7A6EF8" w:rsidR="006D4192" w:rsidRDefault="006D4192" w:rsidP="006D4192">
      <w:pPr>
        <w:pStyle w:val="TOC2"/>
        <w:tabs>
          <w:tab w:val="right" w:leader="dot" w:pos="9350"/>
        </w:tabs>
        <w:rPr>
          <w:rFonts w:asciiTheme="minorHAnsi" w:eastAsiaTheme="minorEastAsia" w:hAnsiTheme="minorHAnsi" w:cstheme="minorBidi"/>
          <w:noProof/>
        </w:rPr>
      </w:pPr>
      <w:hyperlink w:anchor="_Toc37756695" w:history="1">
        <w:r w:rsidRPr="002F6B62">
          <w:rPr>
            <w:rStyle w:val="Hyperlink"/>
            <w:noProof/>
          </w:rPr>
          <w:t>Types of quality evaluation data are--</w:t>
        </w:r>
      </w:hyperlink>
    </w:p>
    <w:p w14:paraId="49BE3761" w14:textId="1F806A61" w:rsidR="006D4192" w:rsidRDefault="006D4192" w:rsidP="006D4192">
      <w:pPr>
        <w:pStyle w:val="TOC3"/>
        <w:tabs>
          <w:tab w:val="right" w:leader="dot" w:pos="9350"/>
        </w:tabs>
        <w:rPr>
          <w:rFonts w:asciiTheme="minorHAnsi" w:eastAsiaTheme="minorEastAsia" w:hAnsiTheme="minorHAnsi" w:cstheme="minorBidi"/>
          <w:noProof/>
        </w:rPr>
      </w:pPr>
      <w:hyperlink w:anchor="_Toc37756696" w:history="1">
        <w:r w:rsidRPr="002F6B62">
          <w:rPr>
            <w:rStyle w:val="Hyperlink"/>
            <w:b/>
            <w:noProof/>
          </w:rPr>
          <w:t>PGI 246.472  Inspection stamping.</w:t>
        </w:r>
      </w:hyperlink>
    </w:p>
    <w:p w14:paraId="215F6114" w14:textId="22E717AB" w:rsidR="006D4192" w:rsidRDefault="006D4192" w:rsidP="006D4192">
      <w:pPr>
        <w:pStyle w:val="TOC2"/>
        <w:tabs>
          <w:tab w:val="right" w:leader="dot" w:pos="9350"/>
        </w:tabs>
        <w:rPr>
          <w:rFonts w:asciiTheme="minorHAnsi" w:eastAsiaTheme="minorEastAsia" w:hAnsiTheme="minorHAnsi" w:cstheme="minorBidi"/>
          <w:noProof/>
        </w:rPr>
      </w:pPr>
      <w:hyperlink w:anchor="_Toc37756697" w:history="1">
        <w:r w:rsidRPr="002F6B62">
          <w:rPr>
            <w:rStyle w:val="Hyperlink"/>
            <w:noProof/>
          </w:rPr>
          <w:t>PGI 246.7—WARRANTIES</w:t>
        </w:r>
      </w:hyperlink>
    </w:p>
    <w:p w14:paraId="631BF1C3" w14:textId="5501B2ED" w:rsidR="006D4192" w:rsidRDefault="006D4192" w:rsidP="006D4192">
      <w:pPr>
        <w:pStyle w:val="TOC3"/>
        <w:tabs>
          <w:tab w:val="right" w:leader="dot" w:pos="9350"/>
        </w:tabs>
        <w:rPr>
          <w:rFonts w:asciiTheme="minorHAnsi" w:eastAsiaTheme="minorEastAsia" w:hAnsiTheme="minorHAnsi" w:cstheme="minorBidi"/>
          <w:noProof/>
        </w:rPr>
      </w:pPr>
      <w:hyperlink w:anchor="_Toc37756698" w:history="1">
        <w:r w:rsidRPr="002F6B62">
          <w:rPr>
            <w:rStyle w:val="Hyperlink"/>
            <w:noProof/>
            <w:spacing w:val="-5"/>
            <w:kern w:val="20"/>
          </w:rPr>
          <w:t>PGI 246.701  Definitions.</w:t>
        </w:r>
      </w:hyperlink>
    </w:p>
    <w:p w14:paraId="4216BA34" w14:textId="769FD03C" w:rsidR="006D4192" w:rsidRDefault="006D4192" w:rsidP="006D4192">
      <w:pPr>
        <w:pStyle w:val="TOC4"/>
        <w:tabs>
          <w:tab w:val="right" w:leader="dot" w:pos="9350"/>
        </w:tabs>
        <w:rPr>
          <w:rFonts w:asciiTheme="minorHAnsi" w:eastAsiaTheme="minorEastAsia" w:hAnsiTheme="minorHAnsi" w:cstheme="minorBidi"/>
          <w:noProof/>
        </w:rPr>
      </w:pPr>
      <w:hyperlink w:anchor="_Toc37756699" w:history="1">
        <w:r w:rsidRPr="002F6B62">
          <w:rPr>
            <w:rStyle w:val="Hyperlink"/>
            <w:noProof/>
          </w:rPr>
          <w:t>PGI 246.710-70  Warranty attachments.</w:t>
        </w:r>
      </w:hyperlink>
    </w:p>
    <w:p w14:paraId="6639CA6C" w14:textId="7CF23A19" w:rsidR="001E4B47" w:rsidRPr="001E4B47" w:rsidRDefault="006D4192" w:rsidP="001E4B47">
      <w:r>
        <w:rPr>
          <w:rStyle w:val="Hyperlink"/>
          <w:noProof/>
        </w:rPr>
        <w:fldChar w:fldCharType="end"/>
      </w:r>
    </w:p>
    <w:p w14:paraId="52178BF7" w14:textId="77777777" w:rsidR="001E4B47" w:rsidRDefault="001E4B47" w:rsidP="00427D20">
      <w:pPr>
        <w:jc w:val="center"/>
      </w:pPr>
      <w:r w:rsidRPr="00F05414">
        <w:rPr>
          <w:i/>
          <w:szCs w:val="24"/>
        </w:rPr>
        <w:t>(Added May 12, 2006)</w:t>
      </w:r>
    </w:p>
    <w:p w14:paraId="6C6170CC" w14:textId="77777777" w:rsidR="001E4B47" w:rsidRDefault="001E4B47" w:rsidP="00427D20">
      <w:pPr>
        <w:pStyle w:val="Heading2"/>
      </w:pPr>
      <w:r>
        <w:rPr>
          <w:i/>
          <w:szCs w:val="24"/>
        </w:rPr>
        <w:lastRenderedPageBreak/>
        <w:br/>
      </w:r>
      <w:bookmarkStart w:id="2" w:name="_Toc37415915"/>
      <w:bookmarkStart w:id="3" w:name="_Toc37677786"/>
      <w:bookmarkStart w:id="4" w:name="_Toc37756686"/>
      <w:r w:rsidRPr="00F05414">
        <w:rPr>
          <w:caps/>
          <w:szCs w:val="24"/>
        </w:rPr>
        <w:t>PGI 246.1</w:t>
      </w:r>
      <w:r>
        <w:rPr>
          <w:caps/>
          <w:szCs w:val="24"/>
        </w:rPr>
        <w:t>—</w:t>
      </w:r>
      <w:r w:rsidRPr="00F05414">
        <w:rPr>
          <w:caps/>
          <w:szCs w:val="24"/>
        </w:rPr>
        <w:t>general</w:t>
      </w:r>
      <w:bookmarkEnd w:id="2"/>
      <w:bookmarkEnd w:id="3"/>
      <w:bookmarkEnd w:id="4"/>
    </w:p>
    <w:p w14:paraId="71313BCA" w14:textId="77777777" w:rsidR="001E4B47" w:rsidRDefault="001E4B47" w:rsidP="00427D20">
      <w:pPr>
        <w:pStyle w:val="Heading3"/>
      </w:pPr>
      <w:r>
        <w:rPr>
          <w:b/>
          <w:caps/>
          <w:szCs w:val="24"/>
        </w:rPr>
        <w:br/>
      </w:r>
      <w:bookmarkStart w:id="5" w:name="_Toc37415916"/>
      <w:bookmarkStart w:id="6" w:name="_Toc37677787"/>
      <w:bookmarkStart w:id="7" w:name="_Toc37756687"/>
      <w:r w:rsidRPr="00F05414">
        <w:rPr>
          <w:b/>
          <w:szCs w:val="24"/>
        </w:rPr>
        <w:t xml:space="preserve">PGI </w:t>
      </w:r>
      <w:proofErr w:type="gramStart"/>
      <w:r w:rsidRPr="00F05414">
        <w:rPr>
          <w:b/>
          <w:szCs w:val="24"/>
        </w:rPr>
        <w:t>246.103  Contracting</w:t>
      </w:r>
      <w:proofErr w:type="gramEnd"/>
      <w:r w:rsidRPr="00F05414">
        <w:rPr>
          <w:b/>
          <w:szCs w:val="24"/>
        </w:rPr>
        <w:t xml:space="preserve"> office responsibilities.</w:t>
      </w:r>
      <w:bookmarkEnd w:id="5"/>
      <w:bookmarkEnd w:id="6"/>
      <w:bookmarkEnd w:id="7"/>
    </w:p>
    <w:p w14:paraId="08CFB3FD" w14:textId="77777777" w:rsidR="001E4B47" w:rsidRDefault="001E4B47" w:rsidP="00427D20">
      <w:pPr>
        <w:pStyle w:val="List2"/>
      </w:pPr>
      <w:r>
        <w:rPr>
          <w:b/>
          <w:szCs w:val="24"/>
        </w:rPr>
        <w:br/>
      </w:r>
      <w:r w:rsidRPr="00F05414">
        <w:rPr>
          <w:szCs w:val="24"/>
        </w:rPr>
        <w:t>(2)(</w:t>
      </w:r>
      <w:proofErr w:type="spellStart"/>
      <w:r w:rsidRPr="00F05414">
        <w:rPr>
          <w:szCs w:val="24"/>
        </w:rPr>
        <w:t>i</w:t>
      </w:r>
      <w:proofErr w:type="spellEnd"/>
      <w:proofErr w:type="gramStart"/>
      <w:r w:rsidRPr="00F05414">
        <w:rPr>
          <w:szCs w:val="24"/>
        </w:rPr>
        <w:t>)  In</w:t>
      </w:r>
      <w:proofErr w:type="gramEnd"/>
      <w:r w:rsidRPr="00F05414">
        <w:rPr>
          <w:szCs w:val="24"/>
        </w:rPr>
        <w:t xml:space="preserve"> preparing instructions for Government inspections, the technical activity shall consider, as applicable—</w:t>
      </w:r>
    </w:p>
    <w:p w14:paraId="2338B147" w14:textId="77777777" w:rsidR="001E4B47" w:rsidRDefault="001E4B47" w:rsidP="00427D20">
      <w:pPr>
        <w:pStyle w:val="List4"/>
      </w:pPr>
      <w:r>
        <w:rPr>
          <w:szCs w:val="24"/>
        </w:rPr>
        <w:br/>
      </w:r>
      <w:r w:rsidRPr="00F05414">
        <w:rPr>
          <w:szCs w:val="24"/>
        </w:rPr>
        <w:t xml:space="preserve">(A)  The past quality history of the </w:t>
      </w:r>
      <w:proofErr w:type="gramStart"/>
      <w:r w:rsidRPr="00F05414">
        <w:rPr>
          <w:szCs w:val="24"/>
        </w:rPr>
        <w:t>contractor;</w:t>
      </w:r>
      <w:proofErr w:type="gramEnd"/>
    </w:p>
    <w:p w14:paraId="50F5A564" w14:textId="77777777" w:rsidR="001E4B47" w:rsidRDefault="001E4B47" w:rsidP="00427D20">
      <w:pPr>
        <w:pStyle w:val="List4"/>
      </w:pPr>
      <w:r>
        <w:rPr>
          <w:szCs w:val="24"/>
        </w:rPr>
        <w:br/>
      </w:r>
      <w:r w:rsidRPr="00F05414">
        <w:rPr>
          <w:szCs w:val="24"/>
        </w:rPr>
        <w:t>(B)  The criticality of the material procured in relation to its intended use, considering factors such as—</w:t>
      </w:r>
    </w:p>
    <w:p w14:paraId="7AD6DACC" w14:textId="77777777" w:rsidR="001E4B47" w:rsidRDefault="001E4B47" w:rsidP="00427D20">
      <w:pPr>
        <w:pStyle w:val="List6"/>
      </w:pPr>
      <w:r>
        <w:br/>
      </w:r>
      <w:r w:rsidRPr="00F05414">
        <w:rPr>
          <w:i/>
        </w:rPr>
        <w:t>(1)</w:t>
      </w:r>
      <w:r w:rsidRPr="00F05414">
        <w:t xml:space="preserve">  </w:t>
      </w:r>
      <w:proofErr w:type="gramStart"/>
      <w:r w:rsidRPr="00F05414">
        <w:t>Reliability;</w:t>
      </w:r>
      <w:proofErr w:type="gramEnd"/>
    </w:p>
    <w:p w14:paraId="1F94AC69" w14:textId="77777777" w:rsidR="001E4B47" w:rsidRDefault="001E4B47" w:rsidP="00427D20">
      <w:pPr>
        <w:pStyle w:val="List6"/>
      </w:pPr>
      <w:r>
        <w:br/>
      </w:r>
      <w:r w:rsidRPr="00F05414">
        <w:rPr>
          <w:i/>
        </w:rPr>
        <w:t>(2)</w:t>
      </w:r>
      <w:r w:rsidRPr="00F05414">
        <w:t xml:space="preserve">  </w:t>
      </w:r>
      <w:proofErr w:type="gramStart"/>
      <w:r w:rsidRPr="00F05414">
        <w:t>Safety;</w:t>
      </w:r>
      <w:proofErr w:type="gramEnd"/>
      <w:r w:rsidRPr="00F05414">
        <w:t xml:space="preserve"> </w:t>
      </w:r>
    </w:p>
    <w:p w14:paraId="25A70BFE" w14:textId="77777777" w:rsidR="001E4B47" w:rsidRDefault="001E4B47" w:rsidP="00427D20">
      <w:pPr>
        <w:pStyle w:val="List6"/>
      </w:pPr>
      <w:r>
        <w:br/>
      </w:r>
      <w:r w:rsidRPr="00F05414">
        <w:rPr>
          <w:i/>
        </w:rPr>
        <w:t>(3)</w:t>
      </w:r>
      <w:r w:rsidRPr="00F05414">
        <w:t xml:space="preserve">  Interchangeability; and</w:t>
      </w:r>
    </w:p>
    <w:p w14:paraId="1483CC91" w14:textId="77777777" w:rsidR="001E4B47" w:rsidRDefault="001E4B47" w:rsidP="00427D20">
      <w:pPr>
        <w:pStyle w:val="List6"/>
      </w:pPr>
      <w:r>
        <w:br/>
      </w:r>
      <w:r w:rsidRPr="00F05414">
        <w:rPr>
          <w:i/>
        </w:rPr>
        <w:t>(4)</w:t>
      </w:r>
      <w:r w:rsidRPr="00F05414">
        <w:t xml:space="preserve">  </w:t>
      </w:r>
      <w:proofErr w:type="gramStart"/>
      <w:r w:rsidRPr="00F05414">
        <w:t>Maintainability;</w:t>
      </w:r>
      <w:proofErr w:type="gramEnd"/>
    </w:p>
    <w:p w14:paraId="1F4BA07C" w14:textId="77777777" w:rsidR="001E4B47" w:rsidRDefault="001E4B47" w:rsidP="00427D20">
      <w:pPr>
        <w:pStyle w:val="List4"/>
      </w:pPr>
      <w:r>
        <w:rPr>
          <w:szCs w:val="24"/>
        </w:rPr>
        <w:br/>
      </w:r>
      <w:r w:rsidRPr="00F05414">
        <w:rPr>
          <w:szCs w:val="24"/>
        </w:rPr>
        <w:t xml:space="preserve">(C)  Problems encountered in the development of the </w:t>
      </w:r>
      <w:proofErr w:type="gramStart"/>
      <w:r w:rsidRPr="00F05414">
        <w:rPr>
          <w:szCs w:val="24"/>
        </w:rPr>
        <w:t>material;</w:t>
      </w:r>
      <w:proofErr w:type="gramEnd"/>
    </w:p>
    <w:p w14:paraId="3358654D" w14:textId="77777777" w:rsidR="001E4B47" w:rsidRDefault="001E4B47" w:rsidP="00427D20">
      <w:pPr>
        <w:pStyle w:val="List4"/>
      </w:pPr>
      <w:r>
        <w:rPr>
          <w:szCs w:val="24"/>
        </w:rPr>
        <w:br/>
      </w:r>
      <w:r w:rsidRPr="00F05414">
        <w:rPr>
          <w:szCs w:val="24"/>
        </w:rPr>
        <w:t xml:space="preserve">(D)  Problems encountered in other procurements of the same or similar </w:t>
      </w:r>
      <w:proofErr w:type="gramStart"/>
      <w:r w:rsidRPr="00F05414">
        <w:rPr>
          <w:szCs w:val="24"/>
        </w:rPr>
        <w:t>material;</w:t>
      </w:r>
      <w:proofErr w:type="gramEnd"/>
    </w:p>
    <w:p w14:paraId="613313E9" w14:textId="77777777" w:rsidR="001E4B47" w:rsidRDefault="001E4B47" w:rsidP="00427D20">
      <w:pPr>
        <w:pStyle w:val="List4"/>
      </w:pPr>
      <w:r>
        <w:rPr>
          <w:szCs w:val="24"/>
        </w:rPr>
        <w:br/>
      </w:r>
      <w:r w:rsidRPr="00F05414">
        <w:rPr>
          <w:szCs w:val="24"/>
        </w:rPr>
        <w:t>(E)  Available feedback data from contract administration, receiving, testing, or using activities; and</w:t>
      </w:r>
    </w:p>
    <w:p w14:paraId="7F8FC2C8" w14:textId="77777777" w:rsidR="001E4B47" w:rsidRDefault="001E4B47" w:rsidP="00427D20">
      <w:pPr>
        <w:pStyle w:val="List4"/>
      </w:pPr>
      <w:r>
        <w:rPr>
          <w:szCs w:val="24"/>
        </w:rPr>
        <w:br/>
      </w:r>
      <w:r w:rsidRPr="00F05414">
        <w:rPr>
          <w:szCs w:val="24"/>
        </w:rPr>
        <w:t>(F)  The experience of other contractors in overcoming manufacturing problems.</w:t>
      </w:r>
    </w:p>
    <w:p w14:paraId="49307D80" w14:textId="77777777" w:rsidR="001E4B47" w:rsidRDefault="001E4B47" w:rsidP="00427D20">
      <w:pPr>
        <w:pStyle w:val="List3"/>
      </w:pPr>
      <w:r>
        <w:rPr>
          <w:szCs w:val="24"/>
        </w:rPr>
        <w:br/>
      </w:r>
      <w:r w:rsidRPr="00F05414">
        <w:rPr>
          <w:szCs w:val="24"/>
        </w:rPr>
        <w:t>(ii)  The instructions shall—</w:t>
      </w:r>
    </w:p>
    <w:p w14:paraId="644B614D" w14:textId="77777777" w:rsidR="001E4B47" w:rsidRDefault="001E4B47" w:rsidP="00427D20">
      <w:pPr>
        <w:pStyle w:val="List4"/>
      </w:pPr>
      <w:r>
        <w:rPr>
          <w:szCs w:val="24"/>
        </w:rPr>
        <w:br/>
      </w:r>
      <w:r w:rsidRPr="00F05414">
        <w:rPr>
          <w:szCs w:val="24"/>
        </w:rPr>
        <w:t xml:space="preserve">(A)  Be kept to a </w:t>
      </w:r>
      <w:proofErr w:type="gramStart"/>
      <w:r w:rsidRPr="00F05414">
        <w:rPr>
          <w:szCs w:val="24"/>
        </w:rPr>
        <w:t>minimum;</w:t>
      </w:r>
      <w:proofErr w:type="gramEnd"/>
    </w:p>
    <w:p w14:paraId="3AE0C3F4" w14:textId="77777777" w:rsidR="001E4B47" w:rsidRDefault="001E4B47" w:rsidP="00427D20">
      <w:pPr>
        <w:pStyle w:val="List4"/>
      </w:pPr>
      <w:r>
        <w:rPr>
          <w:szCs w:val="24"/>
        </w:rPr>
        <w:lastRenderedPageBreak/>
        <w:br/>
      </w:r>
      <w:r w:rsidRPr="00F05414">
        <w:rPr>
          <w:szCs w:val="24"/>
        </w:rPr>
        <w:t>(B)  Ensure that the activities requested are in direct relation to contract quality requirements to serve as objective evidence of quality conformance; and</w:t>
      </w:r>
    </w:p>
    <w:p w14:paraId="5BCA4094" w14:textId="77777777" w:rsidR="001E4B47" w:rsidRDefault="001E4B47" w:rsidP="00427D20">
      <w:pPr>
        <w:pStyle w:val="List4"/>
      </w:pPr>
      <w:r>
        <w:rPr>
          <w:szCs w:val="24"/>
        </w:rPr>
        <w:br/>
      </w:r>
      <w:r w:rsidRPr="00F05414">
        <w:rPr>
          <w:szCs w:val="24"/>
        </w:rPr>
        <w:t>(C)  Be prepared on a contract-by-contract basis.</w:t>
      </w:r>
    </w:p>
    <w:p w14:paraId="791C5EE7" w14:textId="77777777" w:rsidR="001E4B47" w:rsidRDefault="001E4B47" w:rsidP="00427D20">
      <w:pPr>
        <w:pStyle w:val="List3"/>
      </w:pPr>
      <w:r>
        <w:rPr>
          <w:szCs w:val="24"/>
        </w:rPr>
        <w:br/>
      </w:r>
      <w:r w:rsidRPr="00F05414">
        <w:rPr>
          <w:szCs w:val="24"/>
        </w:rPr>
        <w:t>(iii)  The instructions shall not—</w:t>
      </w:r>
    </w:p>
    <w:p w14:paraId="5071CEC2" w14:textId="77777777" w:rsidR="001E4B47" w:rsidRDefault="001E4B47" w:rsidP="00427D20">
      <w:pPr>
        <w:pStyle w:val="List4"/>
      </w:pPr>
      <w:r>
        <w:rPr>
          <w:szCs w:val="24"/>
        </w:rPr>
        <w:br/>
      </w:r>
      <w:r w:rsidRPr="00F05414">
        <w:rPr>
          <w:szCs w:val="24"/>
        </w:rPr>
        <w:t xml:space="preserve">(A)  Serve as a substitute for incomplete contract quality </w:t>
      </w:r>
      <w:proofErr w:type="gramStart"/>
      <w:r w:rsidRPr="00F05414">
        <w:rPr>
          <w:szCs w:val="24"/>
        </w:rPr>
        <w:t>requirements;</w:t>
      </w:r>
      <w:proofErr w:type="gramEnd"/>
    </w:p>
    <w:p w14:paraId="3915D8A5" w14:textId="77777777" w:rsidR="001E4B47" w:rsidRDefault="001E4B47" w:rsidP="00427D20">
      <w:pPr>
        <w:pStyle w:val="List4"/>
      </w:pPr>
      <w:r>
        <w:rPr>
          <w:szCs w:val="24"/>
        </w:rPr>
        <w:br/>
      </w:r>
      <w:r w:rsidRPr="00F05414">
        <w:rPr>
          <w:szCs w:val="24"/>
        </w:rPr>
        <w:t xml:space="preserve">(B)  Impose greater inspection requirements than are in the </w:t>
      </w:r>
      <w:proofErr w:type="gramStart"/>
      <w:r w:rsidRPr="00F05414">
        <w:rPr>
          <w:szCs w:val="24"/>
        </w:rPr>
        <w:t>contract;</w:t>
      </w:r>
      <w:proofErr w:type="gramEnd"/>
    </w:p>
    <w:p w14:paraId="16250890" w14:textId="77777777" w:rsidR="001E4B47" w:rsidRDefault="001E4B47" w:rsidP="00427D20">
      <w:pPr>
        <w:pStyle w:val="List4"/>
      </w:pPr>
      <w:r>
        <w:rPr>
          <w:szCs w:val="24"/>
        </w:rPr>
        <w:br/>
      </w:r>
      <w:r w:rsidRPr="00F05414">
        <w:rPr>
          <w:szCs w:val="24"/>
        </w:rPr>
        <w:t>(C)  Use broad or general designations such as—</w:t>
      </w:r>
    </w:p>
    <w:p w14:paraId="25C62EE4" w14:textId="77777777" w:rsidR="001E4B47" w:rsidRDefault="001E4B47" w:rsidP="00427D20">
      <w:pPr>
        <w:pStyle w:val="List6"/>
      </w:pPr>
      <w:r>
        <w:br/>
      </w:r>
      <w:r w:rsidRPr="00F05414">
        <w:rPr>
          <w:i/>
        </w:rPr>
        <w:t>(1)</w:t>
      </w:r>
      <w:r w:rsidRPr="00F05414">
        <w:t xml:space="preserve">  All </w:t>
      </w:r>
      <w:proofErr w:type="gramStart"/>
      <w:r w:rsidRPr="00F05414">
        <w:t>requirements;</w:t>
      </w:r>
      <w:proofErr w:type="gramEnd"/>
    </w:p>
    <w:p w14:paraId="3F01AB9B" w14:textId="77777777" w:rsidR="001E4B47" w:rsidRDefault="001E4B47" w:rsidP="00427D20">
      <w:pPr>
        <w:pStyle w:val="List6"/>
      </w:pPr>
      <w:r>
        <w:br/>
      </w:r>
      <w:r w:rsidRPr="00F05414">
        <w:rPr>
          <w:i/>
        </w:rPr>
        <w:t>(2)</w:t>
      </w:r>
      <w:r w:rsidRPr="00F05414">
        <w:t xml:space="preserve">  All characteristics; or</w:t>
      </w:r>
    </w:p>
    <w:p w14:paraId="3E213DCA" w14:textId="77777777" w:rsidR="001E4B47" w:rsidRDefault="001E4B47" w:rsidP="00427D20">
      <w:pPr>
        <w:pStyle w:val="List6"/>
      </w:pPr>
      <w:r>
        <w:br/>
      </w:r>
      <w:r w:rsidRPr="00F05414">
        <w:rPr>
          <w:i/>
        </w:rPr>
        <w:t>(3)</w:t>
      </w:r>
      <w:r w:rsidRPr="00F05414">
        <w:t xml:space="preserve">  All characteristics in the classification of </w:t>
      </w:r>
      <w:proofErr w:type="gramStart"/>
      <w:r w:rsidRPr="00F05414">
        <w:t>defects;</w:t>
      </w:r>
      <w:proofErr w:type="gramEnd"/>
    </w:p>
    <w:p w14:paraId="1C4C381D" w14:textId="77777777" w:rsidR="001E4B47" w:rsidRDefault="001E4B47" w:rsidP="00427D20">
      <w:pPr>
        <w:pStyle w:val="List4"/>
      </w:pPr>
      <w:r>
        <w:rPr>
          <w:szCs w:val="24"/>
        </w:rPr>
        <w:br/>
      </w:r>
      <w:r w:rsidRPr="00F05414">
        <w:rPr>
          <w:szCs w:val="24"/>
        </w:rPr>
        <w:t>(D)  Be used for routine administrative procedures; or</w:t>
      </w:r>
    </w:p>
    <w:p w14:paraId="3311802F" w14:textId="77777777" w:rsidR="001E4B47" w:rsidRDefault="001E4B47" w:rsidP="00427D20">
      <w:pPr>
        <w:pStyle w:val="List4"/>
      </w:pPr>
      <w:r>
        <w:rPr>
          <w:szCs w:val="24"/>
        </w:rPr>
        <w:br/>
      </w:r>
      <w:r w:rsidRPr="00F05414">
        <w:rPr>
          <w:szCs w:val="24"/>
        </w:rPr>
        <w:t>(E)  Specify continued inspection requirements when statistically sound sampling will provide an adequate degree of protection.</w:t>
      </w:r>
    </w:p>
    <w:p w14:paraId="416F6823" w14:textId="77777777" w:rsidR="001E4B47" w:rsidRDefault="001E4B47" w:rsidP="00427D20">
      <w:pPr>
        <w:pStyle w:val="List3"/>
      </w:pPr>
      <w:r>
        <w:rPr>
          <w:szCs w:val="24"/>
        </w:rPr>
        <w:br/>
      </w:r>
      <w:r w:rsidRPr="00F05414">
        <w:rPr>
          <w:szCs w:val="24"/>
        </w:rPr>
        <w:t>(iv)  After issuing the instructions, the technical activity must—</w:t>
      </w:r>
    </w:p>
    <w:p w14:paraId="69FAD11E" w14:textId="77777777" w:rsidR="001E4B47" w:rsidRDefault="001E4B47" w:rsidP="00427D20">
      <w:pPr>
        <w:pStyle w:val="List4"/>
      </w:pPr>
      <w:r>
        <w:rPr>
          <w:szCs w:val="24"/>
        </w:rPr>
        <w:br/>
      </w:r>
      <w:r w:rsidRPr="00F05414">
        <w:rPr>
          <w:szCs w:val="24"/>
        </w:rPr>
        <w:t xml:space="preserve">(A)  Provide the contract administration office with available information regarding those factors that resulted in the requirement for Government </w:t>
      </w:r>
      <w:proofErr w:type="gramStart"/>
      <w:r w:rsidRPr="00F05414">
        <w:rPr>
          <w:szCs w:val="24"/>
        </w:rPr>
        <w:t>inspection;</w:t>
      </w:r>
      <w:proofErr w:type="gramEnd"/>
    </w:p>
    <w:p w14:paraId="563553E6" w14:textId="77777777" w:rsidR="001E4B47" w:rsidRDefault="001E4B47" w:rsidP="00427D20">
      <w:pPr>
        <w:pStyle w:val="List4"/>
      </w:pPr>
      <w:r>
        <w:rPr>
          <w:szCs w:val="24"/>
        </w:rPr>
        <w:br/>
      </w:r>
      <w:r w:rsidRPr="00F05414">
        <w:rPr>
          <w:szCs w:val="24"/>
        </w:rPr>
        <w:t>(B)  Periodically analyze the need to continue, change, or discontinue the instructions; and</w:t>
      </w:r>
    </w:p>
    <w:p w14:paraId="56E07CE3" w14:textId="77777777" w:rsidR="001E4B47" w:rsidRDefault="001E4B47" w:rsidP="00427D20">
      <w:pPr>
        <w:pStyle w:val="List4"/>
      </w:pPr>
      <w:r>
        <w:rPr>
          <w:szCs w:val="24"/>
        </w:rPr>
        <w:br/>
      </w:r>
      <w:r w:rsidRPr="00F05414">
        <w:rPr>
          <w:szCs w:val="24"/>
        </w:rPr>
        <w:t>(C)  Advise the contract administration office of the results of the periodic analyses.</w:t>
      </w:r>
    </w:p>
    <w:p w14:paraId="7D24049A" w14:textId="77777777" w:rsidR="001E4B47" w:rsidRPr="00F05414" w:rsidRDefault="001E4B47" w:rsidP="00427D20">
      <w:r>
        <w:lastRenderedPageBreak/>
        <w:br/>
      </w:r>
    </w:p>
    <w:p w14:paraId="69D1769D" w14:textId="77777777" w:rsidR="001E4B47" w:rsidRDefault="001E4B47">
      <w:pPr>
        <w:sectPr w:rsidR="001E4B47" w:rsidSect="001447D1">
          <w:headerReference w:type="default" r:id="rId6"/>
          <w:footerReference w:type="default" r:id="rId7"/>
          <w:pgSz w:w="12240" w:h="15840"/>
          <w:pgMar w:top="1440" w:right="1440" w:bottom="1440" w:left="1440" w:header="720" w:footer="720" w:gutter="0"/>
          <w:cols w:space="720"/>
          <w:docGrid w:linePitch="360"/>
        </w:sectPr>
      </w:pPr>
    </w:p>
    <w:p w14:paraId="23C049D1" w14:textId="77777777" w:rsidR="001E4B47" w:rsidRDefault="001E4B47" w:rsidP="00F17971">
      <w:pPr>
        <w:jc w:val="center"/>
      </w:pPr>
      <w:r w:rsidRPr="005100E8">
        <w:rPr>
          <w:i/>
          <w:szCs w:val="24"/>
        </w:rPr>
        <w:lastRenderedPageBreak/>
        <w:t>(</w:t>
      </w:r>
      <w:r>
        <w:rPr>
          <w:i/>
          <w:szCs w:val="24"/>
        </w:rPr>
        <w:t>Revised</w:t>
      </w:r>
      <w:r w:rsidRPr="005100E8">
        <w:rPr>
          <w:i/>
          <w:szCs w:val="24"/>
        </w:rPr>
        <w:t xml:space="preserve"> </w:t>
      </w:r>
      <w:r>
        <w:rPr>
          <w:i/>
          <w:szCs w:val="24"/>
        </w:rPr>
        <w:t>December 21, 2018</w:t>
      </w:r>
      <w:r w:rsidRPr="005100E8">
        <w:rPr>
          <w:i/>
          <w:szCs w:val="24"/>
        </w:rPr>
        <w:t>)</w:t>
      </w:r>
    </w:p>
    <w:p w14:paraId="22DC962B" w14:textId="77777777" w:rsidR="001E4B47" w:rsidRDefault="001E4B47" w:rsidP="00F17971">
      <w:pPr>
        <w:pStyle w:val="Heading2"/>
      </w:pPr>
      <w:r>
        <w:rPr>
          <w:i/>
          <w:szCs w:val="24"/>
        </w:rPr>
        <w:br/>
      </w:r>
      <w:bookmarkStart w:id="8" w:name="_Toc37415917"/>
      <w:bookmarkStart w:id="9" w:name="_Toc37677788"/>
      <w:bookmarkStart w:id="10" w:name="BM205_4"/>
      <w:bookmarkStart w:id="11" w:name="_Toc37756688"/>
      <w:r w:rsidRPr="005100E8">
        <w:t>PGI 246.3</w:t>
      </w:r>
      <w:r w:rsidRPr="00E90D9B">
        <w:rPr>
          <w:szCs w:val="24"/>
        </w:rPr>
        <w:t>—</w:t>
      </w:r>
      <w:r w:rsidRPr="005100E8">
        <w:t>CONTRACT CLAUSES</w:t>
      </w:r>
      <w:bookmarkEnd w:id="8"/>
      <w:bookmarkEnd w:id="9"/>
      <w:bookmarkEnd w:id="11"/>
    </w:p>
    <w:p w14:paraId="0379AECA" w14:textId="77777777" w:rsidR="001E4B47" w:rsidRDefault="001E4B47" w:rsidP="00F17971">
      <w:pPr>
        <w:pStyle w:val="Heading3"/>
      </w:pPr>
      <w:r>
        <w:rPr>
          <w:b/>
        </w:rPr>
        <w:br/>
      </w:r>
      <w:bookmarkStart w:id="12" w:name="_Toc37415918"/>
      <w:bookmarkStart w:id="13" w:name="_Toc37677789"/>
      <w:bookmarkStart w:id="14" w:name="_Toc37756689"/>
      <w:r w:rsidRPr="005100E8">
        <w:rPr>
          <w:b/>
        </w:rPr>
        <w:t xml:space="preserve">PGI </w:t>
      </w:r>
      <w:proofErr w:type="gramStart"/>
      <w:r w:rsidRPr="005100E8">
        <w:rPr>
          <w:b/>
        </w:rPr>
        <w:t>246.37</w:t>
      </w:r>
      <w:r>
        <w:rPr>
          <w:b/>
        </w:rPr>
        <w:t>0</w:t>
      </w:r>
      <w:r w:rsidRPr="005100E8">
        <w:rPr>
          <w:b/>
        </w:rPr>
        <w:t xml:space="preserve">  Notification</w:t>
      </w:r>
      <w:proofErr w:type="gramEnd"/>
      <w:r w:rsidRPr="005100E8">
        <w:rPr>
          <w:b/>
        </w:rPr>
        <w:t xml:space="preserve"> of potential safety issues.</w:t>
      </w:r>
      <w:bookmarkEnd w:id="12"/>
      <w:bookmarkEnd w:id="13"/>
      <w:bookmarkEnd w:id="14"/>
    </w:p>
    <w:p w14:paraId="6E333394" w14:textId="77777777" w:rsidR="001E4B47" w:rsidRDefault="001E4B47" w:rsidP="00F17971">
      <w:pPr>
        <w:pStyle w:val="List2"/>
      </w:pPr>
      <w:r>
        <w:rPr>
          <w:b/>
        </w:rPr>
        <w:br/>
      </w:r>
      <w:r w:rsidRPr="005100E8">
        <w:t>(1)  The objective of this requirement is to ensure that the Government receives timely notification of potential safety defects so that—</w:t>
      </w:r>
    </w:p>
    <w:p w14:paraId="3D4E9772" w14:textId="77777777" w:rsidR="001E4B47" w:rsidRDefault="001E4B47" w:rsidP="00A6470A">
      <w:pPr>
        <w:pStyle w:val="List3"/>
      </w:pPr>
      <w:r>
        <w:br/>
      </w:r>
      <w:r w:rsidRPr="005100E8">
        <w:t>(</w:t>
      </w:r>
      <w:proofErr w:type="spellStart"/>
      <w:r w:rsidRPr="005100E8">
        <w:t>i</w:t>
      </w:r>
      <w:proofErr w:type="spellEnd"/>
      <w:r w:rsidRPr="005100E8">
        <w:t>)  Systems and equipment likely affected by the situation can be identified; and</w:t>
      </w:r>
    </w:p>
    <w:p w14:paraId="0B14D2CC" w14:textId="77777777" w:rsidR="001E4B47" w:rsidRDefault="001E4B47" w:rsidP="00F17971">
      <w:pPr>
        <w:pStyle w:val="List3"/>
      </w:pPr>
      <w:r>
        <w:br/>
      </w:r>
      <w:r w:rsidRPr="005100E8">
        <w:t xml:space="preserve">(ii)  An appropriate engineering investigation and follow-on actions can be taken to establish and mitigate risk.  </w:t>
      </w:r>
    </w:p>
    <w:p w14:paraId="38E7A28B" w14:textId="77777777" w:rsidR="001E4B47" w:rsidRDefault="001E4B47" w:rsidP="00F17971">
      <w:pPr>
        <w:pStyle w:val="List2"/>
      </w:pPr>
      <w:r>
        <w:br/>
      </w:r>
      <w:r w:rsidRPr="005100E8">
        <w:t>(2)  The notification is intended to be neither an admission of nor a release from liability.</w:t>
      </w:r>
      <w:bookmarkEnd w:id="10"/>
    </w:p>
    <w:p w14:paraId="29537E72" w14:textId="77777777" w:rsidR="001E4B47" w:rsidRDefault="001E4B47" w:rsidP="00F17971">
      <w:pPr>
        <w:pStyle w:val="List2"/>
      </w:pPr>
      <w:r>
        <w:br/>
      </w:r>
      <w:r w:rsidRPr="005100E8">
        <w:t>(3)  Upon notification of a potential safety nonconformance or deficiency—</w:t>
      </w:r>
    </w:p>
    <w:p w14:paraId="0326ADFD" w14:textId="77777777" w:rsidR="001E4B47" w:rsidRDefault="001E4B47" w:rsidP="00A6470A">
      <w:pPr>
        <w:pStyle w:val="List3"/>
      </w:pPr>
      <w:r>
        <w:br/>
      </w:r>
      <w:r w:rsidRPr="005100E8">
        <w:t>(</w:t>
      </w:r>
      <w:proofErr w:type="spellStart"/>
      <w:r w:rsidRPr="005100E8">
        <w:t>i</w:t>
      </w:r>
      <w:proofErr w:type="spellEnd"/>
      <w:r w:rsidRPr="005100E8">
        <w:t>)  The procuring contracting officer must—</w:t>
      </w:r>
    </w:p>
    <w:p w14:paraId="7DED7CD4" w14:textId="77777777" w:rsidR="001E4B47" w:rsidRDefault="001E4B47" w:rsidP="00F17971">
      <w:pPr>
        <w:pStyle w:val="List4"/>
      </w:pPr>
      <w:r>
        <w:br/>
      </w:r>
      <w:r w:rsidRPr="005100E8">
        <w:t xml:space="preserve">(A)  Advise the affected program office(s) or integrated materiel manager(s); and </w:t>
      </w:r>
    </w:p>
    <w:p w14:paraId="1ADABA85" w14:textId="77777777" w:rsidR="001E4B47" w:rsidRDefault="001E4B47" w:rsidP="00F17971">
      <w:pPr>
        <w:pStyle w:val="List4"/>
      </w:pPr>
      <w:r>
        <w:br/>
      </w:r>
      <w:r w:rsidRPr="005100E8">
        <w:t xml:space="preserve">(B)  Request a point of contact from the affected program office(s) or materiel management organization to assess the impact of the situation, address technical concerns, and provide </w:t>
      </w:r>
      <w:proofErr w:type="gramStart"/>
      <w:r w:rsidRPr="005100E8">
        <w:t>recommendations;</w:t>
      </w:r>
      <w:proofErr w:type="gramEnd"/>
    </w:p>
    <w:p w14:paraId="54324147" w14:textId="77777777" w:rsidR="001E4B47" w:rsidRDefault="001E4B47" w:rsidP="00F17971">
      <w:pPr>
        <w:pStyle w:val="List3"/>
      </w:pPr>
      <w:r>
        <w:br/>
      </w:r>
      <w:r w:rsidRPr="005100E8">
        <w:t>(ii)  The administrative contracting officer must—</w:t>
      </w:r>
    </w:p>
    <w:p w14:paraId="26FF2D24" w14:textId="77777777" w:rsidR="001E4B47" w:rsidRDefault="001E4B47" w:rsidP="00F17971">
      <w:pPr>
        <w:pStyle w:val="List4"/>
      </w:pPr>
      <w:r>
        <w:br/>
      </w:r>
      <w:r w:rsidRPr="005100E8">
        <w:t>(A)  Confirm that potentially affected program offices, integrated materiel managers, and other contract management offices that may be recipients of the suspect items are aware of the situation; and</w:t>
      </w:r>
    </w:p>
    <w:p w14:paraId="26738A95" w14:textId="77777777" w:rsidR="001E4B47" w:rsidRDefault="001E4B47" w:rsidP="00F17971">
      <w:pPr>
        <w:pStyle w:val="List4"/>
      </w:pPr>
      <w:r>
        <w:br/>
      </w:r>
      <w:r w:rsidRPr="005100E8">
        <w:t>(B)  Identify a point of contact to provide support and technical assistance to the investigative team; and</w:t>
      </w:r>
    </w:p>
    <w:p w14:paraId="39983B10" w14:textId="77777777" w:rsidR="001E4B47" w:rsidRDefault="001E4B47" w:rsidP="00F17971">
      <w:pPr>
        <w:pStyle w:val="List3"/>
      </w:pPr>
      <w:r>
        <w:lastRenderedPageBreak/>
        <w:br/>
      </w:r>
      <w:r w:rsidRPr="005100E8">
        <w:t>(iii)  For replenishment parts, the integrated materiel manager must—</w:t>
      </w:r>
    </w:p>
    <w:p w14:paraId="201EB2DA" w14:textId="77777777" w:rsidR="001E4B47" w:rsidRDefault="001E4B47" w:rsidP="00F17971">
      <w:pPr>
        <w:pStyle w:val="List4"/>
      </w:pPr>
      <w:r>
        <w:br/>
      </w:r>
      <w:r w:rsidRPr="005100E8">
        <w:t xml:space="preserve">(A)  Identify any potentially affected programs or equipment; and </w:t>
      </w:r>
    </w:p>
    <w:p w14:paraId="54C00719" w14:textId="77777777" w:rsidR="001E4B47" w:rsidRDefault="001E4B47" w:rsidP="00F17971">
      <w:pPr>
        <w:pStyle w:val="List4"/>
      </w:pPr>
      <w:r>
        <w:br/>
      </w:r>
      <w:r w:rsidRPr="005100E8">
        <w:t>(B)  Request engineering assistance from affected engineering support activities, as prescribed by—</w:t>
      </w:r>
    </w:p>
    <w:p w14:paraId="65DD22DF" w14:textId="77777777" w:rsidR="001E4B47" w:rsidRDefault="001E4B47" w:rsidP="00F17971">
      <w:pPr>
        <w:pStyle w:val="List6"/>
      </w:pPr>
      <w:r>
        <w:br/>
      </w:r>
      <w:r w:rsidRPr="005100E8">
        <w:rPr>
          <w:i/>
        </w:rPr>
        <w:t>(1)</w:t>
      </w:r>
      <w:r w:rsidRPr="005100E8">
        <w:t xml:space="preserve">  DLAI 3200.1/PAM 715.13/NAVSUPINST 4120.30A/AFI 21-408/MCO 4000.18, Engineering Support Instruction for Items Supplied by Defense Logistics </w:t>
      </w:r>
      <w:proofErr w:type="gramStart"/>
      <w:r w:rsidRPr="005100E8">
        <w:t>Agency;</w:t>
      </w:r>
      <w:proofErr w:type="gramEnd"/>
      <w:r w:rsidRPr="005100E8">
        <w:t xml:space="preserve"> </w:t>
      </w:r>
    </w:p>
    <w:p w14:paraId="6F8FA837" w14:textId="77777777" w:rsidR="001E4B47" w:rsidRDefault="001E4B47" w:rsidP="00F17971">
      <w:pPr>
        <w:pStyle w:val="List6"/>
      </w:pPr>
      <w:r>
        <w:br/>
      </w:r>
      <w:r w:rsidRPr="005100E8">
        <w:rPr>
          <w:i/>
        </w:rPr>
        <w:t>(2)</w:t>
      </w:r>
      <w:r w:rsidRPr="005100E8">
        <w:t xml:space="preserve">  SECNAVINST 4140.2/AFI 20-106/DA PAM 95-9/DLAI 3200.4/DCMA INST CSI (AV), Management of Aviation Critical Safety </w:t>
      </w:r>
      <w:proofErr w:type="gramStart"/>
      <w:r w:rsidRPr="005100E8">
        <w:t>Items;</w:t>
      </w:r>
      <w:proofErr w:type="gramEnd"/>
      <w:r w:rsidRPr="005100E8">
        <w:t xml:space="preserve"> </w:t>
      </w:r>
    </w:p>
    <w:p w14:paraId="753532B3" w14:textId="77777777" w:rsidR="001E4B47" w:rsidRDefault="001E4B47" w:rsidP="00F17971">
      <w:pPr>
        <w:pStyle w:val="List6"/>
      </w:pPr>
      <w:r>
        <w:br/>
      </w:r>
      <w:r w:rsidRPr="005100E8">
        <w:rPr>
          <w:i/>
        </w:rPr>
        <w:t>(3)</w:t>
      </w:r>
      <w:r w:rsidRPr="005100E8">
        <w:t xml:space="preserve">  DA PAM 738-751, Functional </w:t>
      </w:r>
      <w:proofErr w:type="spellStart"/>
      <w:r w:rsidRPr="005100E8">
        <w:t>Users Manual</w:t>
      </w:r>
      <w:proofErr w:type="spellEnd"/>
      <w:r w:rsidRPr="005100E8">
        <w:t xml:space="preserve"> for the Army Maintenance Management System—Aviation (TAMMS-A</w:t>
      </w:r>
      <w:proofErr w:type="gramStart"/>
      <w:r w:rsidRPr="005100E8">
        <w:t>);</w:t>
      </w:r>
      <w:proofErr w:type="gramEnd"/>
      <w:r w:rsidRPr="005100E8">
        <w:t xml:space="preserve"> </w:t>
      </w:r>
    </w:p>
    <w:p w14:paraId="14E6EC73" w14:textId="77777777" w:rsidR="001E4B47" w:rsidRDefault="001E4B47" w:rsidP="00F17971">
      <w:pPr>
        <w:pStyle w:val="List6"/>
      </w:pPr>
      <w:r>
        <w:br/>
      </w:r>
      <w:r w:rsidRPr="005100E8">
        <w:rPr>
          <w:i/>
        </w:rPr>
        <w:t>(4)</w:t>
      </w:r>
      <w:r w:rsidRPr="005100E8">
        <w:t xml:space="preserve">  AMCOM REG 702-7, Flight Safety Parts/New Source Testing Program Management; or </w:t>
      </w:r>
    </w:p>
    <w:p w14:paraId="7A09AF25" w14:textId="77777777" w:rsidR="001E4B47" w:rsidRDefault="001E4B47" w:rsidP="00F17971">
      <w:pPr>
        <w:pStyle w:val="List6"/>
      </w:pPr>
      <w:r>
        <w:br/>
      </w:r>
      <w:r w:rsidRPr="005100E8">
        <w:rPr>
          <w:i/>
        </w:rPr>
        <w:t>(5)</w:t>
      </w:r>
      <w:r w:rsidRPr="005100E8">
        <w:t xml:space="preserve">  Internal agency procedures. </w:t>
      </w:r>
    </w:p>
    <w:p w14:paraId="6091278F" w14:textId="77777777" w:rsidR="001E4B47" w:rsidRPr="005100E8" w:rsidRDefault="001E4B47" w:rsidP="00F17971">
      <w:r>
        <w:rPr>
          <w:szCs w:val="24"/>
        </w:rPr>
        <w:br/>
      </w:r>
    </w:p>
    <w:p w14:paraId="3BA78260" w14:textId="77777777" w:rsidR="001E4B47" w:rsidRDefault="001E4B47">
      <w:pPr>
        <w:sectPr w:rsidR="001E4B47" w:rsidSect="002E59E7">
          <w:headerReference w:type="default" r:id="rId8"/>
          <w:footerReference w:type="default" r:id="rId9"/>
          <w:pgSz w:w="12240" w:h="15840"/>
          <w:pgMar w:top="1440" w:right="1440" w:bottom="1440" w:left="1440" w:header="720" w:footer="720" w:gutter="0"/>
          <w:cols w:space="720"/>
          <w:docGrid w:linePitch="360"/>
        </w:sectPr>
      </w:pPr>
    </w:p>
    <w:p w14:paraId="24416628" w14:textId="77777777" w:rsidR="001E4B47" w:rsidRDefault="001E4B47" w:rsidP="00FF01E5">
      <w:pPr>
        <w:jc w:val="center"/>
      </w:pPr>
      <w:r w:rsidRPr="003007D8">
        <w:rPr>
          <w:i/>
          <w:szCs w:val="24"/>
        </w:rPr>
        <w:lastRenderedPageBreak/>
        <w:t xml:space="preserve">(Revised </w:t>
      </w:r>
      <w:r>
        <w:rPr>
          <w:i/>
          <w:szCs w:val="24"/>
        </w:rPr>
        <w:t>September 19, 2014</w:t>
      </w:r>
      <w:r w:rsidRPr="003007D8">
        <w:rPr>
          <w:i/>
          <w:szCs w:val="24"/>
        </w:rPr>
        <w:t>)</w:t>
      </w:r>
    </w:p>
    <w:p w14:paraId="7BF8D8BB" w14:textId="77777777" w:rsidR="001E4B47" w:rsidRDefault="001E4B47" w:rsidP="00FF01E5">
      <w:pPr>
        <w:pStyle w:val="Heading2"/>
      </w:pPr>
      <w:r>
        <w:rPr>
          <w:i/>
          <w:szCs w:val="24"/>
        </w:rPr>
        <w:br/>
      </w:r>
      <w:bookmarkStart w:id="15" w:name="_Toc37415919"/>
      <w:bookmarkStart w:id="16" w:name="_Toc37677790"/>
      <w:bookmarkStart w:id="17" w:name="_Toc37756690"/>
      <w:r w:rsidRPr="003007D8">
        <w:rPr>
          <w:szCs w:val="24"/>
        </w:rPr>
        <w:t>PGI 246.4—GOVERNMENT CONTRACT QUALITY ASSURANCE</w:t>
      </w:r>
      <w:bookmarkEnd w:id="15"/>
      <w:bookmarkEnd w:id="16"/>
      <w:bookmarkEnd w:id="17"/>
      <w:r w:rsidRPr="003007D8">
        <w:rPr>
          <w:szCs w:val="24"/>
        </w:rPr>
        <w:t xml:space="preserve"> </w:t>
      </w:r>
    </w:p>
    <w:p w14:paraId="149F73B9" w14:textId="77777777" w:rsidR="001E4B47" w:rsidRDefault="001E4B47" w:rsidP="00FF01E5">
      <w:pPr>
        <w:pStyle w:val="Heading3"/>
      </w:pPr>
      <w:r>
        <w:rPr>
          <w:b/>
        </w:rPr>
        <w:br/>
      </w:r>
      <w:bookmarkStart w:id="18" w:name="_Toc37415920"/>
      <w:bookmarkStart w:id="19" w:name="_Toc37677791"/>
      <w:bookmarkStart w:id="20" w:name="_Toc37756691"/>
      <w:r w:rsidRPr="003007D8">
        <w:rPr>
          <w:b/>
        </w:rPr>
        <w:t xml:space="preserve">PGI </w:t>
      </w:r>
      <w:proofErr w:type="gramStart"/>
      <w:r w:rsidRPr="003007D8">
        <w:rPr>
          <w:b/>
        </w:rPr>
        <w:t>246.407  Nonconforming</w:t>
      </w:r>
      <w:proofErr w:type="gramEnd"/>
      <w:r w:rsidRPr="003007D8">
        <w:rPr>
          <w:b/>
        </w:rPr>
        <w:t xml:space="preserve"> supplies or services.</w:t>
      </w:r>
      <w:bookmarkEnd w:id="18"/>
      <w:bookmarkEnd w:id="19"/>
      <w:bookmarkEnd w:id="20"/>
    </w:p>
    <w:p w14:paraId="4427485D" w14:textId="77777777" w:rsidR="001E4B47" w:rsidRDefault="001E4B47" w:rsidP="00FF01E5">
      <w:pPr>
        <w:pStyle w:val="Heading2"/>
      </w:pPr>
      <w:r>
        <w:br/>
      </w:r>
      <w:bookmarkStart w:id="21" w:name="_Toc37415921"/>
      <w:bookmarkStart w:id="22" w:name="_Toc37677792"/>
      <w:bookmarkStart w:id="23" w:name="_Toc37756692"/>
      <w:r w:rsidRPr="003007D8">
        <w:t xml:space="preserve">Additional information on delegation of authority for acceptance of minor nonconformances in aviation and ship critical safety items is available at </w:t>
      </w:r>
      <w:hyperlink r:id="rId10" w:tgtFrame="_blank" w:history="1">
        <w:r>
          <w:rPr>
            <w:rStyle w:val="Hyperlink"/>
          </w:rPr>
          <w:t>http://www.aviation.dla.mil/UserWeb/AviationEngineering/EngineeringSupport/Documents/AviationCSIHandbook.pdf</w:t>
        </w:r>
      </w:hyperlink>
      <w:r>
        <w:t>.</w:t>
      </w:r>
      <w:bookmarkEnd w:id="21"/>
      <w:bookmarkEnd w:id="22"/>
      <w:bookmarkEnd w:id="23"/>
    </w:p>
    <w:p w14:paraId="320FEE8E" w14:textId="77777777" w:rsidR="001E4B47" w:rsidRDefault="001E4B47" w:rsidP="00FF01E5">
      <w:pPr>
        <w:pStyle w:val="Heading3"/>
      </w:pPr>
      <w:r>
        <w:rPr>
          <w:b/>
        </w:rPr>
        <w:br/>
      </w:r>
      <w:bookmarkStart w:id="24" w:name="_Toc37415922"/>
      <w:bookmarkStart w:id="25" w:name="_Toc37677793"/>
      <w:bookmarkStart w:id="26" w:name="BM246_4"/>
      <w:bookmarkStart w:id="27" w:name="_Toc37756693"/>
      <w:r w:rsidRPr="003007D8">
        <w:rPr>
          <w:b/>
        </w:rPr>
        <w:t xml:space="preserve">PGI </w:t>
      </w:r>
      <w:proofErr w:type="gramStart"/>
      <w:r w:rsidRPr="003007D8">
        <w:rPr>
          <w:b/>
        </w:rPr>
        <w:t>246.470  Government</w:t>
      </w:r>
      <w:proofErr w:type="gramEnd"/>
      <w:r w:rsidRPr="003007D8">
        <w:rPr>
          <w:b/>
        </w:rPr>
        <w:t xml:space="preserve"> contract quality assurance actions.</w:t>
      </w:r>
      <w:bookmarkEnd w:id="24"/>
      <w:bookmarkEnd w:id="25"/>
      <w:bookmarkEnd w:id="27"/>
    </w:p>
    <w:p w14:paraId="283F7E1A" w14:textId="77777777" w:rsidR="001E4B47" w:rsidRDefault="001E4B47" w:rsidP="00FF01E5">
      <w:pPr>
        <w:pStyle w:val="Heading4"/>
      </w:pPr>
      <w:r>
        <w:rPr>
          <w:b/>
        </w:rPr>
        <w:br/>
      </w:r>
      <w:bookmarkStart w:id="28" w:name="_Toc37677794"/>
      <w:bookmarkStart w:id="29" w:name="_Toc37756694"/>
      <w:r w:rsidRPr="003007D8">
        <w:rPr>
          <w:b/>
        </w:rPr>
        <w:t>PGI 246.470-</w:t>
      </w:r>
      <w:proofErr w:type="gramStart"/>
      <w:r w:rsidRPr="003007D8">
        <w:rPr>
          <w:b/>
        </w:rPr>
        <w:t>2  Quality</w:t>
      </w:r>
      <w:proofErr w:type="gramEnd"/>
      <w:r w:rsidRPr="003007D8">
        <w:rPr>
          <w:b/>
        </w:rPr>
        <w:t xml:space="preserve"> evaluation data.</w:t>
      </w:r>
      <w:bookmarkEnd w:id="28"/>
      <w:bookmarkEnd w:id="29"/>
    </w:p>
    <w:p w14:paraId="26D56DFC" w14:textId="77777777" w:rsidR="001E4B47" w:rsidRDefault="001E4B47" w:rsidP="00FF01E5">
      <w:pPr>
        <w:pStyle w:val="Heading2"/>
      </w:pPr>
      <w:r>
        <w:br/>
      </w:r>
      <w:r w:rsidRPr="003007D8">
        <w:tab/>
      </w:r>
      <w:bookmarkStart w:id="30" w:name="_Toc37415923"/>
      <w:bookmarkStart w:id="31" w:name="_Toc37677795"/>
      <w:bookmarkStart w:id="32" w:name="_Toc37756695"/>
      <w:r w:rsidRPr="003007D8">
        <w:t>Types of quality evaluation data are--</w:t>
      </w:r>
      <w:bookmarkEnd w:id="30"/>
      <w:bookmarkEnd w:id="31"/>
      <w:bookmarkEnd w:id="32"/>
    </w:p>
    <w:p w14:paraId="64E91B69" w14:textId="77777777" w:rsidR="001E4B47" w:rsidRDefault="001E4B47" w:rsidP="00FF01E5">
      <w:pPr>
        <w:pStyle w:val="List2"/>
      </w:pPr>
      <w:r>
        <w:rPr>
          <w:b/>
        </w:rPr>
        <w:br/>
      </w:r>
      <w:r w:rsidRPr="003007D8">
        <w:t xml:space="preserve">(1)  Quality data developed by the contractor during </w:t>
      </w:r>
      <w:proofErr w:type="gramStart"/>
      <w:r w:rsidRPr="003007D8">
        <w:t>performance;</w:t>
      </w:r>
      <w:proofErr w:type="gramEnd"/>
    </w:p>
    <w:p w14:paraId="5DCD7431" w14:textId="77777777" w:rsidR="001E4B47" w:rsidRDefault="001E4B47" w:rsidP="00FF01E5">
      <w:pPr>
        <w:pStyle w:val="List2"/>
      </w:pPr>
      <w:r>
        <w:br/>
      </w:r>
      <w:r w:rsidRPr="003007D8">
        <w:t>(2)  Data developed by the Government through contract quality assurance actions; and</w:t>
      </w:r>
    </w:p>
    <w:p w14:paraId="2DEF6EF8" w14:textId="77777777" w:rsidR="001E4B47" w:rsidRDefault="001E4B47" w:rsidP="00FF01E5">
      <w:pPr>
        <w:pStyle w:val="List2"/>
      </w:pPr>
      <w:r>
        <w:rPr>
          <w:szCs w:val="24"/>
        </w:rPr>
        <w:br/>
      </w:r>
      <w:r w:rsidRPr="003007D8">
        <w:rPr>
          <w:szCs w:val="24"/>
        </w:rPr>
        <w:t>(3)  Reports by users and customers.</w:t>
      </w:r>
    </w:p>
    <w:p w14:paraId="5580DA89" w14:textId="77777777" w:rsidR="001E4B47" w:rsidRDefault="001E4B47" w:rsidP="00FF01E5">
      <w:pPr>
        <w:pStyle w:val="Heading3"/>
      </w:pPr>
      <w:r>
        <w:rPr>
          <w:szCs w:val="24"/>
        </w:rPr>
        <w:br/>
      </w:r>
      <w:bookmarkStart w:id="33" w:name="_Toc37415924"/>
      <w:bookmarkStart w:id="34" w:name="_Toc37677796"/>
      <w:bookmarkStart w:id="35" w:name="_Toc37756696"/>
      <w:r w:rsidRPr="003007D8">
        <w:rPr>
          <w:b/>
          <w:szCs w:val="24"/>
        </w:rPr>
        <w:t xml:space="preserve">PGI </w:t>
      </w:r>
      <w:proofErr w:type="gramStart"/>
      <w:r w:rsidRPr="003007D8">
        <w:rPr>
          <w:b/>
          <w:szCs w:val="24"/>
        </w:rPr>
        <w:t>246.472  Inspection</w:t>
      </w:r>
      <w:proofErr w:type="gramEnd"/>
      <w:r w:rsidRPr="003007D8">
        <w:rPr>
          <w:b/>
          <w:szCs w:val="24"/>
        </w:rPr>
        <w:t xml:space="preserve"> stamping.</w:t>
      </w:r>
      <w:bookmarkEnd w:id="33"/>
      <w:bookmarkEnd w:id="34"/>
      <w:bookmarkEnd w:id="35"/>
    </w:p>
    <w:p w14:paraId="4B4CADAF" w14:textId="77777777" w:rsidR="001E4B47" w:rsidRDefault="001E4B47" w:rsidP="00FF01E5">
      <w:pPr>
        <w:pStyle w:val="List1"/>
      </w:pPr>
      <w:r>
        <w:rPr>
          <w:b/>
          <w:szCs w:val="24"/>
        </w:rPr>
        <w:br/>
      </w:r>
      <w:r w:rsidRPr="003007D8">
        <w:rPr>
          <w:szCs w:val="24"/>
        </w:rPr>
        <w:t>(a)(</w:t>
      </w:r>
      <w:proofErr w:type="spellStart"/>
      <w:r w:rsidRPr="003007D8">
        <w:rPr>
          <w:szCs w:val="24"/>
        </w:rPr>
        <w:t>i</w:t>
      </w:r>
      <w:proofErr w:type="spellEnd"/>
      <w:proofErr w:type="gramStart"/>
      <w:r w:rsidRPr="003007D8">
        <w:rPr>
          <w:szCs w:val="24"/>
        </w:rPr>
        <w:t>)  There</w:t>
      </w:r>
      <w:proofErr w:type="gramEnd"/>
      <w:r w:rsidRPr="003007D8">
        <w:rPr>
          <w:szCs w:val="24"/>
        </w:rPr>
        <w:t xml:space="preserve"> are two DoD quality inspection approval marking designs (stamps).  </w:t>
      </w:r>
    </w:p>
    <w:p w14:paraId="57AFEC56" w14:textId="77777777" w:rsidR="001E4B47" w:rsidRDefault="001E4B47" w:rsidP="00FF01E5">
      <w:pPr>
        <w:pStyle w:val="List4"/>
      </w:pPr>
      <w:r>
        <w:rPr>
          <w:szCs w:val="24"/>
        </w:rPr>
        <w:lastRenderedPageBreak/>
        <w:br/>
      </w:r>
      <w:r w:rsidRPr="003007D8">
        <w:rPr>
          <w:szCs w:val="24"/>
        </w:rPr>
        <w:t>(A)  Both stamps are used—</w:t>
      </w:r>
    </w:p>
    <w:p w14:paraId="130A9050" w14:textId="77777777" w:rsidR="001E4B47" w:rsidRDefault="001E4B47" w:rsidP="00FF01E5">
      <w:pPr>
        <w:pStyle w:val="List6"/>
      </w:pPr>
      <w:r>
        <w:br/>
      </w:r>
      <w:r w:rsidRPr="003007D8">
        <w:rPr>
          <w:i/>
        </w:rPr>
        <w:t>(1)</w:t>
      </w:r>
      <w:r w:rsidRPr="003007D8">
        <w:t xml:space="preserve">  Only by, or under the direct supervision of, the Government representative; and</w:t>
      </w:r>
    </w:p>
    <w:p w14:paraId="174F0436" w14:textId="77777777" w:rsidR="001E4B47" w:rsidRDefault="001E4B47" w:rsidP="00FF01E5">
      <w:pPr>
        <w:pStyle w:val="List6"/>
      </w:pPr>
      <w:r>
        <w:br/>
      </w:r>
      <w:r w:rsidRPr="003007D8">
        <w:rPr>
          <w:i/>
        </w:rPr>
        <w:t>(2)</w:t>
      </w:r>
      <w:r w:rsidRPr="003007D8">
        <w:t xml:space="preserve">  For both prime and subcontracts.</w:t>
      </w:r>
    </w:p>
    <w:p w14:paraId="4D615978" w14:textId="77777777" w:rsidR="001E4B47" w:rsidRDefault="001E4B47" w:rsidP="00FF01E5">
      <w:pPr>
        <w:pStyle w:val="List4"/>
      </w:pPr>
      <w:r>
        <w:rPr>
          <w:szCs w:val="24"/>
        </w:rPr>
        <w:br/>
      </w:r>
      <w:r w:rsidRPr="003007D8">
        <w:rPr>
          <w:szCs w:val="24"/>
        </w:rPr>
        <w:t>(B)  The designs of the two stamps and the differences in their uses are—</w:t>
      </w:r>
    </w:p>
    <w:p w14:paraId="2AB21FDF" w14:textId="77777777" w:rsidR="001E4B47" w:rsidRDefault="001E4B47" w:rsidP="00FF01E5">
      <w:pPr>
        <w:pStyle w:val="List6"/>
      </w:pPr>
      <w:r>
        <w:br/>
      </w:r>
      <w:r w:rsidRPr="003007D8">
        <w:rPr>
          <w:i/>
        </w:rPr>
        <w:t>(1)</w:t>
      </w:r>
      <w:r w:rsidRPr="003007D8">
        <w:t xml:space="preserve">  </w:t>
      </w:r>
      <w:r w:rsidRPr="003007D8">
        <w:rPr>
          <w:i/>
        </w:rPr>
        <w:t>Partial (Circle) Inspection Approval Stamp</w:t>
      </w:r>
      <w:r w:rsidRPr="003007D8">
        <w:t>.</w:t>
      </w:r>
    </w:p>
    <w:p w14:paraId="0E7D683C" w14:textId="77777777" w:rsidR="001E4B47" w:rsidRDefault="001E4B47" w:rsidP="00FF01E5">
      <w:pPr>
        <w:pStyle w:val="List5"/>
      </w:pPr>
      <w:r>
        <w:rPr>
          <w:szCs w:val="24"/>
        </w:rPr>
        <w:br/>
      </w:r>
      <w:r w:rsidRPr="003007D8">
        <w:rPr>
          <w:i/>
          <w:szCs w:val="24"/>
        </w:rPr>
        <w:t>(</w:t>
      </w:r>
      <w:proofErr w:type="spellStart"/>
      <w:r w:rsidRPr="003007D8">
        <w:rPr>
          <w:i/>
          <w:szCs w:val="24"/>
        </w:rPr>
        <w:t>i</w:t>
      </w:r>
      <w:proofErr w:type="spellEnd"/>
      <w:r w:rsidRPr="003007D8">
        <w:rPr>
          <w:i/>
          <w:szCs w:val="24"/>
        </w:rPr>
        <w:t>)</w:t>
      </w:r>
      <w:r w:rsidRPr="003007D8">
        <w:rPr>
          <w:szCs w:val="24"/>
        </w:rPr>
        <w:t xml:space="preserve">  This circular stamp is used to identify material inspected for conformance to only a portion of the contract quality requirements.</w:t>
      </w:r>
    </w:p>
    <w:p w14:paraId="7C147E70" w14:textId="77777777" w:rsidR="001E4B47" w:rsidRDefault="001E4B47" w:rsidP="00FF01E5">
      <w:pPr>
        <w:pStyle w:val="List5"/>
      </w:pPr>
      <w:r>
        <w:rPr>
          <w:szCs w:val="24"/>
        </w:rPr>
        <w:br/>
      </w:r>
      <w:r w:rsidRPr="003007D8">
        <w:rPr>
          <w:i/>
          <w:szCs w:val="24"/>
        </w:rPr>
        <w:t>(ii)</w:t>
      </w:r>
      <w:r w:rsidRPr="003007D8">
        <w:rPr>
          <w:szCs w:val="24"/>
        </w:rPr>
        <w:t xml:space="preserve">  Further inspection is to be performed at another time and/or place.</w:t>
      </w:r>
    </w:p>
    <w:p w14:paraId="39439B2E" w14:textId="77777777" w:rsidR="001E4B47" w:rsidRDefault="001E4B47" w:rsidP="00FF01E5">
      <w:pPr>
        <w:pStyle w:val="List7"/>
      </w:pPr>
      <w:r>
        <w:br/>
      </w:r>
      <w:r w:rsidRPr="003007D8">
        <w:rPr>
          <w:i/>
        </w:rPr>
        <w:t>(iii)</w:t>
      </w:r>
      <w:r w:rsidRPr="003007D8">
        <w:t xml:space="preserve">  Material not inspected is so listed on the associated DD Form 250 (Material Inspection and Receiving Report), packing list, or comparable document.</w:t>
      </w:r>
    </w:p>
    <w:p w14:paraId="71A4FD5D" w14:textId="77777777" w:rsidR="001E4B47" w:rsidRDefault="001E4B47" w:rsidP="00FF01E5">
      <w:pPr>
        <w:pStyle w:val="List6"/>
      </w:pPr>
      <w:r>
        <w:br/>
      </w:r>
      <w:r w:rsidRPr="003007D8">
        <w:rPr>
          <w:i/>
        </w:rPr>
        <w:t>(2)</w:t>
      </w:r>
      <w:r w:rsidRPr="003007D8">
        <w:t xml:space="preserve">  </w:t>
      </w:r>
      <w:r w:rsidRPr="003007D8">
        <w:rPr>
          <w:i/>
        </w:rPr>
        <w:t>Complete (Square) Inspection Approval Stamp</w:t>
      </w:r>
      <w:r w:rsidRPr="003007D8">
        <w:t>.</w:t>
      </w:r>
    </w:p>
    <w:p w14:paraId="6198C7D4" w14:textId="77777777" w:rsidR="001E4B47" w:rsidRDefault="001E4B47" w:rsidP="00FF01E5">
      <w:pPr>
        <w:pStyle w:val="List5"/>
      </w:pPr>
      <w:r>
        <w:rPr>
          <w:szCs w:val="24"/>
        </w:rPr>
        <w:br/>
      </w:r>
      <w:r w:rsidRPr="003007D8">
        <w:rPr>
          <w:i/>
          <w:szCs w:val="24"/>
        </w:rPr>
        <w:t>(</w:t>
      </w:r>
      <w:proofErr w:type="spellStart"/>
      <w:r w:rsidRPr="003007D8">
        <w:rPr>
          <w:i/>
          <w:szCs w:val="24"/>
        </w:rPr>
        <w:t>i</w:t>
      </w:r>
      <w:proofErr w:type="spellEnd"/>
      <w:r w:rsidRPr="003007D8">
        <w:rPr>
          <w:i/>
          <w:szCs w:val="24"/>
        </w:rPr>
        <w:t>)</w:t>
      </w:r>
      <w:r w:rsidRPr="003007D8">
        <w:rPr>
          <w:szCs w:val="24"/>
        </w:rPr>
        <w:t xml:space="preserve">  This square stamp is used to identify material completely inspected for all contract quality requirements at source.</w:t>
      </w:r>
    </w:p>
    <w:p w14:paraId="3D36F159" w14:textId="77777777" w:rsidR="001E4B47" w:rsidRDefault="001E4B47" w:rsidP="00FF01E5">
      <w:pPr>
        <w:pStyle w:val="List5"/>
      </w:pPr>
      <w:r>
        <w:rPr>
          <w:szCs w:val="24"/>
        </w:rPr>
        <w:br/>
      </w:r>
      <w:r w:rsidRPr="003007D8">
        <w:rPr>
          <w:i/>
          <w:szCs w:val="24"/>
        </w:rPr>
        <w:t>(ii)</w:t>
      </w:r>
      <w:r w:rsidRPr="003007D8">
        <w:rPr>
          <w:szCs w:val="24"/>
        </w:rPr>
        <w:t xml:space="preserve">  The material satisfies all contract quality requirements and is in complete conformance with all contract quality requirements applicable at the time and place of inspection.</w:t>
      </w:r>
    </w:p>
    <w:p w14:paraId="7FD5BB4B" w14:textId="77777777" w:rsidR="001E4B47" w:rsidRDefault="001E4B47" w:rsidP="00FF01E5">
      <w:pPr>
        <w:pStyle w:val="List7"/>
      </w:pPr>
      <w:r>
        <w:br/>
      </w:r>
      <w:r w:rsidRPr="003007D8">
        <w:rPr>
          <w:i/>
        </w:rPr>
        <w:t>(iii)</w:t>
      </w:r>
      <w:r w:rsidRPr="003007D8">
        <w:t xml:space="preserve">  Complete inspection approval establishes that material that </w:t>
      </w:r>
      <w:r w:rsidRPr="003007D8">
        <w:lastRenderedPageBreak/>
        <w:t>once was partially approved has subsequently been completely approved.</w:t>
      </w:r>
    </w:p>
    <w:p w14:paraId="457F35E4" w14:textId="77777777" w:rsidR="001E4B47" w:rsidRDefault="001E4B47" w:rsidP="00FF01E5">
      <w:pPr>
        <w:pStyle w:val="List5"/>
      </w:pPr>
      <w:r>
        <w:rPr>
          <w:szCs w:val="24"/>
        </w:rPr>
        <w:br/>
      </w:r>
      <w:r w:rsidRPr="003007D8">
        <w:rPr>
          <w:i/>
          <w:szCs w:val="24"/>
        </w:rPr>
        <w:t>(iv)</w:t>
      </w:r>
      <w:r w:rsidRPr="003007D8">
        <w:rPr>
          <w:szCs w:val="24"/>
        </w:rPr>
        <w:t xml:space="preserve">  One imprint of the square stamp voids multiple imprints of the circle stamp.</w:t>
      </w:r>
    </w:p>
    <w:p w14:paraId="3C43393B" w14:textId="77777777" w:rsidR="001E4B47" w:rsidRDefault="001E4B47" w:rsidP="00FF01E5">
      <w:pPr>
        <w:pStyle w:val="List3"/>
      </w:pPr>
      <w:r>
        <w:rPr>
          <w:szCs w:val="24"/>
        </w:rPr>
        <w:br/>
      </w:r>
      <w:r w:rsidRPr="003007D8">
        <w:rPr>
          <w:szCs w:val="24"/>
        </w:rPr>
        <w:t>(ii)  The marking of each item is neither required nor prohibited.  Ordinarily, the stamping of shipping containers, packing lists, or routing tickets serves to adequately indicate the status of the material and to control or facilitate its movement.</w:t>
      </w:r>
    </w:p>
    <w:p w14:paraId="79F75842" w14:textId="77777777" w:rsidR="001E4B47" w:rsidRDefault="001E4B47" w:rsidP="00FF01E5">
      <w:pPr>
        <w:pStyle w:val="List3"/>
      </w:pPr>
      <w:r>
        <w:rPr>
          <w:szCs w:val="24"/>
        </w:rPr>
        <w:br/>
      </w:r>
      <w:r w:rsidRPr="003007D8">
        <w:rPr>
          <w:szCs w:val="24"/>
        </w:rPr>
        <w:t>(iii)  Stamping material does not mean that it has been accepted by the Government.  Evidence of acceptance is ordinarily a signed acceptance certificate on the DD Form 250, Material Inspection and Receiving Report.</w:t>
      </w:r>
      <w:bookmarkEnd w:id="26"/>
    </w:p>
    <w:p w14:paraId="2101D54A" w14:textId="77777777" w:rsidR="001E4B47" w:rsidRDefault="001E4B47" w:rsidP="00FF01E5">
      <w:pPr>
        <w:pStyle w:val="List2"/>
      </w:pPr>
      <w:proofErr w:type="gramStart"/>
      <w:r w:rsidRPr="009C7ED6">
        <w:rPr>
          <w:szCs w:val="24"/>
        </w:rPr>
        <w:t>246.408  Single</w:t>
      </w:r>
      <w:proofErr w:type="gramEnd"/>
      <w:r w:rsidRPr="009C7ED6">
        <w:rPr>
          <w:szCs w:val="24"/>
        </w:rPr>
        <w:t>-agency assignments of Government contract quality assurance.</w:t>
      </w:r>
    </w:p>
    <w:p w14:paraId="5E602E5B" w14:textId="77777777" w:rsidR="001E4B47" w:rsidRDefault="001E4B47" w:rsidP="00FF01E5">
      <w:pPr>
        <w:pStyle w:val="List2"/>
      </w:pPr>
      <w:r w:rsidRPr="009C7ED6">
        <w:rPr>
          <w:spacing w:val="-5"/>
          <w:kern w:val="20"/>
          <w:szCs w:val="24"/>
        </w:rPr>
        <w:t>246.408-</w:t>
      </w:r>
      <w:proofErr w:type="gramStart"/>
      <w:r w:rsidRPr="009C7ED6">
        <w:rPr>
          <w:spacing w:val="-5"/>
          <w:kern w:val="20"/>
          <w:szCs w:val="24"/>
        </w:rPr>
        <w:t>71  Aircraft</w:t>
      </w:r>
      <w:proofErr w:type="gramEnd"/>
      <w:r w:rsidRPr="009C7ED6">
        <w:rPr>
          <w:spacing w:val="-5"/>
          <w:kern w:val="20"/>
          <w:szCs w:val="24"/>
        </w:rPr>
        <w:t>.</w:t>
      </w:r>
    </w:p>
    <w:p w14:paraId="2ADF34EC" w14:textId="77777777" w:rsidR="001E4B47" w:rsidRDefault="001E4B47" w:rsidP="00FF01E5">
      <w:pPr>
        <w:pStyle w:val="List1"/>
      </w:pPr>
      <w:r>
        <w:rPr>
          <w:spacing w:val="-5"/>
          <w:kern w:val="20"/>
          <w:szCs w:val="24"/>
        </w:rPr>
        <w:br/>
      </w:r>
      <w:r w:rsidRPr="00581FC1">
        <w:rPr>
          <w:spacing w:val="-5"/>
          <w:kern w:val="20"/>
          <w:szCs w:val="24"/>
        </w:rPr>
        <w:t>(c)  The CAO shall ensure that—</w:t>
      </w:r>
    </w:p>
    <w:p w14:paraId="4FFE0FBC" w14:textId="77777777" w:rsidR="001E4B47" w:rsidRDefault="001E4B47" w:rsidP="007867AA">
      <w:pPr>
        <w:pStyle w:val="List3"/>
      </w:pPr>
      <w:r>
        <w:rPr>
          <w:b/>
          <w:spacing w:val="-5"/>
          <w:kern w:val="20"/>
          <w:szCs w:val="24"/>
        </w:rPr>
        <w:br/>
      </w:r>
      <w:r w:rsidRPr="00581FC1">
        <w:rPr>
          <w:spacing w:val="-5"/>
          <w:kern w:val="20"/>
          <w:szCs w:val="24"/>
        </w:rPr>
        <w:t>(</w:t>
      </w:r>
      <w:proofErr w:type="spellStart"/>
      <w:r w:rsidRPr="00581FC1">
        <w:rPr>
          <w:spacing w:val="-5"/>
          <w:kern w:val="20"/>
          <w:szCs w:val="24"/>
        </w:rPr>
        <w:t>i</w:t>
      </w:r>
      <w:proofErr w:type="spellEnd"/>
      <w:r w:rsidRPr="00581FC1">
        <w:rPr>
          <w:spacing w:val="-5"/>
          <w:kern w:val="20"/>
          <w:szCs w:val="24"/>
        </w:rPr>
        <w:t xml:space="preserve">)  A detailed consultation with the FAA Military Certification Office (MCO) (contact the MCO here:  </w:t>
      </w:r>
      <w:hyperlink r:id="rId11" w:history="1">
        <w:r w:rsidRPr="00183506">
          <w:rPr>
            <w:rStyle w:val="Hyperlink"/>
            <w:spacing w:val="-5"/>
            <w:kern w:val="20"/>
            <w:szCs w:val="24"/>
          </w:rPr>
          <w:t>http://www.faa.gov/about/office_org/headquarters_offices/avs/offices/air/directorates_field/small_airplanes/mco</w:t>
        </w:r>
      </w:hyperlink>
      <w:r>
        <w:rPr>
          <w:spacing w:val="-5"/>
          <w:kern w:val="20"/>
          <w:szCs w:val="24"/>
        </w:rPr>
        <w:t xml:space="preserve"> </w:t>
      </w:r>
      <w:r w:rsidRPr="00581FC1">
        <w:rPr>
          <w:spacing w:val="-5"/>
          <w:kern w:val="20"/>
          <w:szCs w:val="24"/>
        </w:rPr>
        <w:t>) is documented regarding the scope of the acquisition or modification project;</w:t>
      </w:r>
    </w:p>
    <w:p w14:paraId="60AE7C82" w14:textId="77777777" w:rsidR="001E4B47" w:rsidRDefault="001E4B47" w:rsidP="00FF01E5">
      <w:pPr>
        <w:pStyle w:val="List3"/>
      </w:pPr>
      <w:r>
        <w:rPr>
          <w:b/>
          <w:spacing w:val="-5"/>
          <w:kern w:val="20"/>
          <w:szCs w:val="24"/>
        </w:rPr>
        <w:br/>
      </w:r>
      <w:r w:rsidRPr="00581FC1">
        <w:rPr>
          <w:spacing w:val="-5"/>
          <w:kern w:val="20"/>
          <w:sz w:val="24"/>
          <w:szCs w:val="24"/>
        </w:rPr>
        <w:t xml:space="preserve">(ii)  Supporting contractual documents (meeting minutes, an email record of consultations, memoranda, etc.) demonstrate that the scope of work is feasible and compatible with FAA regulations and </w:t>
      </w:r>
      <w:proofErr w:type="gramStart"/>
      <w:r w:rsidRPr="00581FC1">
        <w:rPr>
          <w:spacing w:val="-5"/>
          <w:kern w:val="20"/>
          <w:sz w:val="24"/>
          <w:szCs w:val="24"/>
        </w:rPr>
        <w:t>policy;</w:t>
      </w:r>
      <w:proofErr w:type="gramEnd"/>
    </w:p>
    <w:p w14:paraId="20EB5F92" w14:textId="77777777" w:rsidR="001E4B47" w:rsidRDefault="001E4B47" w:rsidP="00FF01E5">
      <w:pPr>
        <w:pStyle w:val="List3"/>
      </w:pPr>
      <w:r>
        <w:rPr>
          <w:spacing w:val="-5"/>
          <w:kern w:val="20"/>
          <w:sz w:val="24"/>
          <w:szCs w:val="24"/>
        </w:rPr>
        <w:br/>
      </w:r>
      <w:r w:rsidRPr="00581FC1">
        <w:rPr>
          <w:spacing w:val="-5"/>
          <w:kern w:val="20"/>
          <w:sz w:val="24"/>
          <w:szCs w:val="24"/>
        </w:rPr>
        <w:t>(iii)  The period of performance and contract deliverable dates are consistent with FAA capabilities; and</w:t>
      </w:r>
    </w:p>
    <w:p w14:paraId="00BE1D70" w14:textId="77777777" w:rsidR="001E4B47" w:rsidRPr="00581FC1" w:rsidRDefault="001E4B47" w:rsidP="00FF01E5">
      <w:pPr>
        <w:pStyle w:val="List3"/>
      </w:pPr>
      <w:r>
        <w:rPr>
          <w:spacing w:val="-5"/>
          <w:kern w:val="20"/>
          <w:sz w:val="24"/>
          <w:szCs w:val="24"/>
        </w:rPr>
        <w:br/>
      </w:r>
      <w:r w:rsidRPr="00581FC1">
        <w:rPr>
          <w:spacing w:val="-5"/>
          <w:kern w:val="20"/>
          <w:sz w:val="24"/>
          <w:szCs w:val="24"/>
        </w:rPr>
        <w:t>(iv)  Contract provisions requiring FAA approval or processes are coordinated with the MCO prior to a solicitation.</w:t>
      </w:r>
    </w:p>
    <w:p w14:paraId="187C0A69" w14:textId="77777777" w:rsidR="001E4B47" w:rsidRDefault="001E4B47">
      <w:pPr>
        <w:sectPr w:rsidR="001E4B47" w:rsidSect="00B152FF">
          <w:headerReference w:type="default" r:id="rId12"/>
          <w:footerReference w:type="default" r:id="rId13"/>
          <w:pgSz w:w="12240" w:h="15840"/>
          <w:pgMar w:top="1440" w:right="1440" w:bottom="1440" w:left="1440" w:header="720" w:footer="720" w:gutter="0"/>
          <w:cols w:space="720"/>
          <w:docGrid w:linePitch="360"/>
        </w:sectPr>
      </w:pPr>
    </w:p>
    <w:p w14:paraId="69A824E0" w14:textId="77777777" w:rsidR="001E4B47" w:rsidRDefault="001E4B47" w:rsidP="00B34C19">
      <w:pPr>
        <w:jc w:val="center"/>
      </w:pPr>
      <w:r w:rsidRPr="003007D8">
        <w:rPr>
          <w:i/>
          <w:szCs w:val="24"/>
        </w:rPr>
        <w:lastRenderedPageBreak/>
        <w:t>(</w:t>
      </w:r>
      <w:r>
        <w:rPr>
          <w:i/>
          <w:szCs w:val="24"/>
        </w:rPr>
        <w:t>Revised</w:t>
      </w:r>
      <w:r w:rsidRPr="003007D8">
        <w:rPr>
          <w:i/>
          <w:szCs w:val="24"/>
        </w:rPr>
        <w:t xml:space="preserve"> </w:t>
      </w:r>
      <w:r>
        <w:rPr>
          <w:i/>
          <w:szCs w:val="24"/>
        </w:rPr>
        <w:t>September 13, 2019</w:t>
      </w:r>
      <w:r w:rsidRPr="003007D8">
        <w:rPr>
          <w:i/>
          <w:szCs w:val="24"/>
        </w:rPr>
        <w:t>)</w:t>
      </w:r>
    </w:p>
    <w:p w14:paraId="729B9CB2" w14:textId="77777777" w:rsidR="001E4B47" w:rsidRDefault="001E4B47" w:rsidP="00B34C19">
      <w:pPr>
        <w:pStyle w:val="Heading2"/>
      </w:pPr>
      <w:r>
        <w:rPr>
          <w:i/>
          <w:szCs w:val="24"/>
        </w:rPr>
        <w:br/>
      </w:r>
      <w:bookmarkStart w:id="36" w:name="_Toc37415925"/>
      <w:bookmarkStart w:id="37" w:name="_Toc37677797"/>
      <w:bookmarkStart w:id="38" w:name="_Toc37756697"/>
      <w:r w:rsidRPr="00E00DC5">
        <w:rPr>
          <w:szCs w:val="24"/>
        </w:rPr>
        <w:t>PGI 246.7—</w:t>
      </w:r>
      <w:r w:rsidRPr="00E00DC5">
        <w:t>WARRANTIES</w:t>
      </w:r>
      <w:bookmarkEnd w:id="36"/>
      <w:bookmarkEnd w:id="37"/>
      <w:bookmarkEnd w:id="38"/>
    </w:p>
    <w:p w14:paraId="56D74FCD" w14:textId="77777777" w:rsidR="001E4B47" w:rsidRDefault="001E4B47" w:rsidP="00B34C19">
      <w:pPr>
        <w:pStyle w:val="Heading3"/>
      </w:pPr>
      <w:r>
        <w:rPr>
          <w:b/>
        </w:rPr>
        <w:br/>
      </w:r>
      <w:bookmarkStart w:id="39" w:name="_Toc37415926"/>
      <w:bookmarkStart w:id="40" w:name="_Toc37677798"/>
      <w:bookmarkStart w:id="41" w:name="_Toc37756698"/>
      <w:r>
        <w:rPr>
          <w:spacing w:val="-5"/>
          <w:kern w:val="20"/>
        </w:rPr>
        <w:t xml:space="preserve">PGI </w:t>
      </w:r>
      <w:proofErr w:type="gramStart"/>
      <w:r>
        <w:rPr>
          <w:spacing w:val="-5"/>
          <w:kern w:val="20"/>
        </w:rPr>
        <w:t>246.701  Definitions</w:t>
      </w:r>
      <w:proofErr w:type="gramEnd"/>
      <w:r>
        <w:rPr>
          <w:spacing w:val="-5"/>
          <w:kern w:val="20"/>
        </w:rPr>
        <w:t>.</w:t>
      </w:r>
      <w:bookmarkEnd w:id="39"/>
      <w:bookmarkEnd w:id="40"/>
      <w:bookmarkEnd w:id="41"/>
    </w:p>
    <w:p w14:paraId="1D1D3E1F" w14:textId="77777777" w:rsidR="001E4B47" w:rsidRDefault="001E4B47" w:rsidP="00B34C19">
      <w:pPr>
        <w:rPr>
          <w:b/>
        </w:rPr>
      </w:pPr>
      <w:r>
        <w:br/>
      </w:r>
      <w:r w:rsidRPr="00E00DC5">
        <w:t xml:space="preserve">“Duration,” “fixed expiration,” “starting event,” “usage,” and “warranty repair source” are defined in the clause at </w:t>
      </w:r>
      <w:hyperlink r:id="rId14" w:anchor="252.246-7006" w:history="1">
        <w:r w:rsidRPr="004F3C11">
          <w:rPr>
            <w:rStyle w:val="Hyperlink"/>
            <w:spacing w:val="-5"/>
            <w:kern w:val="20"/>
          </w:rPr>
          <w:t>252.246-7006</w:t>
        </w:r>
      </w:hyperlink>
      <w:r w:rsidRPr="00E00DC5">
        <w:t>, Warranty Tracking of Serialized Items.</w:t>
      </w:r>
    </w:p>
    <w:p w14:paraId="05E4EC27" w14:textId="77777777" w:rsidR="001E4B47" w:rsidRDefault="001E4B47" w:rsidP="00B34C19">
      <w:pPr>
        <w:pStyle w:val="Heading4"/>
      </w:pPr>
      <w:r>
        <w:rPr>
          <w:b/>
        </w:rPr>
        <w:br/>
      </w:r>
      <w:bookmarkStart w:id="42" w:name="_Toc37677799"/>
      <w:bookmarkStart w:id="43" w:name="_Toc37756699"/>
      <w:r w:rsidRPr="00E00DC5">
        <w:t>PGI 246.710-</w:t>
      </w:r>
      <w:proofErr w:type="gramStart"/>
      <w:r w:rsidRPr="00E00DC5">
        <w:t>70  Warranty</w:t>
      </w:r>
      <w:proofErr w:type="gramEnd"/>
      <w:r w:rsidRPr="00E00DC5">
        <w:t xml:space="preserve"> attachments.</w:t>
      </w:r>
      <w:bookmarkEnd w:id="42"/>
      <w:bookmarkEnd w:id="43"/>
    </w:p>
    <w:p w14:paraId="3A44532F" w14:textId="77777777" w:rsidR="001E4B47" w:rsidRDefault="001E4B47" w:rsidP="00B34C19">
      <w:pPr>
        <w:pStyle w:val="List2"/>
        <w:rPr>
          <w:b/>
        </w:rPr>
      </w:pPr>
      <w:r>
        <w:rPr>
          <w:spacing w:val="-5"/>
          <w:kern w:val="20"/>
        </w:rPr>
        <w:br/>
      </w:r>
      <w:r w:rsidRPr="00E00DC5">
        <w:rPr>
          <w:spacing w:val="-5"/>
          <w:kern w:val="20"/>
        </w:rPr>
        <w:t>(1)  The following attachments shall be included in solicitations and awards to specify the required data elements for warranties of serialized items:</w:t>
      </w:r>
    </w:p>
    <w:p w14:paraId="6A3802B2" w14:textId="77777777" w:rsidR="001E4B47" w:rsidRDefault="001E4B47" w:rsidP="00B80D42">
      <w:pPr>
        <w:pStyle w:val="List3"/>
      </w:pPr>
      <w:r>
        <w:rPr>
          <w:b/>
          <w:kern w:val="20"/>
        </w:rPr>
        <w:br/>
      </w:r>
      <w:r w:rsidRPr="00E00DC5">
        <w:rPr>
          <w:kern w:val="20"/>
        </w:rPr>
        <w:t>(</w:t>
      </w:r>
      <w:proofErr w:type="spellStart"/>
      <w:r w:rsidRPr="00E00DC5">
        <w:rPr>
          <w:kern w:val="20"/>
        </w:rPr>
        <w:t>i</w:t>
      </w:r>
      <w:proofErr w:type="spellEnd"/>
      <w:r w:rsidRPr="00E00DC5">
        <w:rPr>
          <w:kern w:val="20"/>
        </w:rPr>
        <w:t xml:space="preserve">)  </w:t>
      </w:r>
      <w:r w:rsidRPr="00E00DC5">
        <w:rPr>
          <w:i/>
          <w:kern w:val="20"/>
        </w:rPr>
        <w:t>Warranty Tracking Information</w:t>
      </w:r>
      <w:r w:rsidRPr="00E00DC5">
        <w:rPr>
          <w:kern w:val="20"/>
        </w:rP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w14:paraId="01CC5197" w14:textId="77777777" w:rsidR="001E4B47" w:rsidRDefault="001E4B47" w:rsidP="00B34C19">
      <w:pPr>
        <w:pStyle w:val="List3"/>
        <w:rPr>
          <w:b/>
        </w:rPr>
      </w:pPr>
      <w:r>
        <w:rPr>
          <w:b/>
          <w:spacing w:val="-5"/>
          <w:kern w:val="20"/>
        </w:rPr>
        <w:br/>
      </w:r>
      <w:r w:rsidRPr="00E00DC5">
        <w:rPr>
          <w:spacing w:val="-5"/>
          <w:kern w:val="20"/>
        </w:rPr>
        <w:t xml:space="preserve">(ii)  </w:t>
      </w:r>
      <w:r w:rsidRPr="00E00DC5">
        <w:rPr>
          <w:i/>
          <w:spacing w:val="-5"/>
          <w:kern w:val="20"/>
        </w:rPr>
        <w:t>Source of Repair Instructions</w:t>
      </w:r>
      <w:r w:rsidRPr="00E00DC5">
        <w:rPr>
          <w:spacing w:val="-5"/>
          <w:kern w:val="20"/>
        </w:rPr>
        <w:t xml:space="preserve">.  This format is used to specify the required warranty source of repair data elements and accomplish the electronic transmission of the source of repair data for each warranty item.  This attachment shall be completed </w:t>
      </w:r>
      <w:r w:rsidRPr="00E00DC5">
        <w:rPr>
          <w:spacing w:val="-5"/>
          <w:kern w:val="20"/>
          <w:szCs w:val="24"/>
        </w:rPr>
        <w:t>no later than when the warranted items are presented for receipt and/or acceptance</w:t>
      </w:r>
      <w:r w:rsidRPr="00E00DC5">
        <w:rPr>
          <w:spacing w:val="-5"/>
          <w:kern w:val="20"/>
        </w:rPr>
        <w:t>.</w:t>
      </w:r>
    </w:p>
    <w:p w14:paraId="1662C90D" w14:textId="77777777" w:rsidR="001E4B47" w:rsidRDefault="001E4B47" w:rsidP="00B34C19">
      <w:pPr>
        <w:pStyle w:val="List2"/>
        <w:rPr>
          <w:b/>
        </w:rPr>
      </w:pPr>
      <w:r>
        <w:rPr>
          <w:b/>
          <w:spacing w:val="-5"/>
          <w:kern w:val="20"/>
        </w:rPr>
        <w:br/>
      </w:r>
      <w:r w:rsidRPr="00E00DC5">
        <w:rPr>
          <w:spacing w:val="-5"/>
          <w:kern w:val="20"/>
        </w:rPr>
        <w:t>(2)  Warranty attachments shall be—</w:t>
      </w:r>
    </w:p>
    <w:p w14:paraId="66C7BE3B" w14:textId="77777777" w:rsidR="001E4B47" w:rsidRDefault="001E4B47" w:rsidP="00B80D42">
      <w:pPr>
        <w:pStyle w:val="List3"/>
      </w:pPr>
      <w:r>
        <w:rPr>
          <w:b/>
          <w:kern w:val="20"/>
        </w:rPr>
        <w:br/>
      </w:r>
      <w:r w:rsidRPr="00FF7404">
        <w:rPr>
          <w:kern w:val="20"/>
        </w:rPr>
        <w:t>(</w:t>
      </w:r>
      <w:proofErr w:type="spellStart"/>
      <w:r w:rsidRPr="00FF7404">
        <w:rPr>
          <w:kern w:val="20"/>
        </w:rPr>
        <w:t>i</w:t>
      </w:r>
      <w:proofErr w:type="spellEnd"/>
      <w:r w:rsidRPr="00FF7404">
        <w:rPr>
          <w:kern w:val="20"/>
        </w:rPr>
        <w:t>)</w:t>
      </w:r>
      <w:r w:rsidRPr="00E00DC5">
        <w:rPr>
          <w:kern w:val="20"/>
        </w:rPr>
        <w:t xml:space="preserve">  Completed electronically using the fillable PDF format or downloadable Excel format available on the Product Data Reporting and Evaluation Program (PDREP) website at </w:t>
      </w:r>
      <w:hyperlink r:id="rId15" w:history="1">
        <w:r w:rsidRPr="00CD3868">
          <w:rPr>
            <w:rStyle w:val="Hyperlink"/>
            <w:kern w:val="20"/>
          </w:rPr>
          <w:t>https://www.pdrep.csd.disa.mil/pdrep_files/other/wsr.htm</w:t>
        </w:r>
      </w:hyperlink>
      <w:r w:rsidRPr="00E00DC5">
        <w:rPr>
          <w:kern w:val="20"/>
        </w:rPr>
        <w:t>; and</w:t>
      </w:r>
    </w:p>
    <w:p w14:paraId="17D9CB5B" w14:textId="77777777" w:rsidR="001E4B47" w:rsidRDefault="001E4B47" w:rsidP="00B34C19">
      <w:pPr>
        <w:pStyle w:val="List3"/>
        <w:rPr>
          <w:b/>
        </w:rPr>
      </w:pPr>
      <w:r>
        <w:rPr>
          <w:b/>
          <w:spacing w:val="-5"/>
          <w:kern w:val="20"/>
        </w:rPr>
        <w:lastRenderedPageBreak/>
        <w:br/>
      </w:r>
      <w:r w:rsidRPr="00FF7404">
        <w:rPr>
          <w:spacing w:val="-5"/>
          <w:kern w:val="20"/>
        </w:rPr>
        <w:t>(ii)</w:t>
      </w:r>
      <w:r w:rsidRPr="00E00DC5">
        <w:rPr>
          <w:spacing w:val="-5"/>
          <w:kern w:val="20"/>
        </w:rPr>
        <w:t xml:space="preserve">  Numbered in accordance with </w:t>
      </w:r>
      <w:hyperlink r:id="rId16" w:anchor="204.7105" w:history="1">
        <w:r w:rsidRPr="00186FCE">
          <w:rPr>
            <w:rStyle w:val="Hyperlink"/>
            <w:spacing w:val="-5"/>
            <w:kern w:val="20"/>
          </w:rPr>
          <w:t>PGI 204.7105</w:t>
        </w:r>
      </w:hyperlink>
      <w:r w:rsidRPr="00E00DC5">
        <w:rPr>
          <w:spacing w:val="-5"/>
          <w:kern w:val="20"/>
        </w:rPr>
        <w:t>(b)(5).</w:t>
      </w:r>
    </w:p>
    <w:p w14:paraId="195B2772" w14:textId="77777777" w:rsidR="001E4B47" w:rsidRDefault="001E4B47" w:rsidP="00B34C19">
      <w:pPr>
        <w:pStyle w:val="List2"/>
        <w:rPr>
          <w:b/>
        </w:rPr>
      </w:pPr>
      <w:r>
        <w:rPr>
          <w:b/>
          <w:spacing w:val="-5"/>
          <w:kern w:val="20"/>
        </w:rPr>
        <w:br/>
      </w:r>
      <w:r w:rsidRPr="00E00DC5">
        <w:rPr>
          <w:spacing w:val="-5"/>
          <w:kern w:val="20"/>
        </w:rP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w14:paraId="5904FB88" w14:textId="77777777" w:rsidR="001E4B47" w:rsidRDefault="001E4B47" w:rsidP="00B34C19">
      <w:pPr>
        <w:pStyle w:val="List2"/>
        <w:rPr>
          <w:b/>
        </w:rPr>
      </w:pPr>
      <w:r>
        <w:rPr>
          <w:b/>
          <w:spacing w:val="-5"/>
          <w:kern w:val="20"/>
        </w:rPr>
        <w:br/>
      </w:r>
      <w:r w:rsidRPr="00E00DC5">
        <w:rPr>
          <w:spacing w:val="-5"/>
          <w:kern w:val="20"/>
        </w:rP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hyperlink r:id="rId17" w:anchor="252.246-7005" w:history="1">
        <w:r w:rsidRPr="004F3C11">
          <w:rPr>
            <w:rStyle w:val="Hyperlink"/>
            <w:spacing w:val="-5"/>
            <w:kern w:val="20"/>
          </w:rPr>
          <w:t>252.246-7005</w:t>
        </w:r>
      </w:hyperlink>
      <w:r w:rsidRPr="00E00DC5">
        <w:rPr>
          <w:spacing w:val="-5"/>
          <w:kern w:val="20"/>
        </w:rPr>
        <w:t>, Notice of Warranty Tracking of Serialized Items.</w:t>
      </w:r>
    </w:p>
    <w:p w14:paraId="2F32764F" w14:textId="77777777" w:rsidR="001E4B47" w:rsidRDefault="001E4B47" w:rsidP="00B34C19">
      <w:pPr>
        <w:pStyle w:val="List2"/>
        <w:rPr>
          <w:b/>
        </w:rPr>
      </w:pPr>
      <w:r>
        <w:rPr>
          <w:b/>
          <w:spacing w:val="-5"/>
          <w:kern w:val="20"/>
        </w:rPr>
        <w:br/>
      </w:r>
      <w:r w:rsidRPr="00E00DC5">
        <w:rPr>
          <w:spacing w:val="-5"/>
          <w:kern w:val="20"/>
        </w:rPr>
        <w:t xml:space="preserve">(5)  As required in the clause at </w:t>
      </w:r>
      <w:hyperlink r:id="rId18" w:anchor="252.246-7006" w:history="1">
        <w:r w:rsidRPr="004F3C11">
          <w:rPr>
            <w:rStyle w:val="Hyperlink"/>
            <w:spacing w:val="-5"/>
            <w:kern w:val="20"/>
          </w:rPr>
          <w:t>252.246-7006</w:t>
        </w:r>
      </w:hyperlink>
      <w:r w:rsidRPr="00E00DC5">
        <w:rPr>
          <w:spacing w:val="-5"/>
          <w:kern w:val="20"/>
        </w:rPr>
        <w:t>, Warranty Tracking of Serialized Items, the contractor is required to provide the following information no later than the time of receipt and/or acceptance of warranted items:</w:t>
      </w:r>
    </w:p>
    <w:p w14:paraId="3DF18FBD" w14:textId="77777777" w:rsidR="001E4B47" w:rsidRDefault="001E4B47" w:rsidP="00B80D42">
      <w:pPr>
        <w:pStyle w:val="List3"/>
      </w:pPr>
      <w:r>
        <w:rPr>
          <w:b/>
          <w:kern w:val="20"/>
        </w:rPr>
        <w:br/>
      </w:r>
      <w:r w:rsidRPr="00FF7404">
        <w:rPr>
          <w:kern w:val="20"/>
        </w:rPr>
        <w:t>(</w:t>
      </w:r>
      <w:proofErr w:type="spellStart"/>
      <w:r w:rsidRPr="00FF7404">
        <w:rPr>
          <w:kern w:val="20"/>
        </w:rPr>
        <w:t>i</w:t>
      </w:r>
      <w:proofErr w:type="spellEnd"/>
      <w:r w:rsidRPr="00FF7404">
        <w:rPr>
          <w:kern w:val="20"/>
        </w:rPr>
        <w:t>)</w:t>
      </w:r>
      <w:r w:rsidRPr="00E00DC5">
        <w:rPr>
          <w:kern w:val="20"/>
        </w:rPr>
        <w:t xml:space="preserve">  The unique item identifier for each warranted item on the “Warranty Tracking Information” attachment.</w:t>
      </w:r>
    </w:p>
    <w:p w14:paraId="772413BB" w14:textId="77777777" w:rsidR="001E4B47" w:rsidRDefault="001E4B47" w:rsidP="00B34C19">
      <w:pPr>
        <w:pStyle w:val="List3"/>
        <w:rPr>
          <w:b/>
        </w:rPr>
      </w:pPr>
      <w:r>
        <w:rPr>
          <w:b/>
          <w:spacing w:val="-5"/>
          <w:kern w:val="20"/>
        </w:rPr>
        <w:br/>
      </w:r>
      <w:r w:rsidRPr="00FF7404">
        <w:rPr>
          <w:spacing w:val="-5"/>
          <w:kern w:val="20"/>
        </w:rPr>
        <w:t>(ii)</w:t>
      </w:r>
      <w:r w:rsidRPr="00E00DC5">
        <w:rPr>
          <w:spacing w:val="-5"/>
          <w:kern w:val="20"/>
        </w:rPr>
        <w:t xml:space="preserve">  The warranty repair source information and instructions required by the “Source of Repair Instructions” attachment.</w:t>
      </w:r>
    </w:p>
    <w:p w14:paraId="3E15F77A" w14:textId="77777777" w:rsidR="001E4B47" w:rsidRDefault="001E4B47" w:rsidP="00B34C19">
      <w:pPr>
        <w:pStyle w:val="List2"/>
        <w:rPr>
          <w:b/>
        </w:rPr>
      </w:pPr>
      <w:r>
        <w:rPr>
          <w:b/>
          <w:spacing w:val="-5"/>
          <w:kern w:val="20"/>
        </w:rPr>
        <w:br/>
      </w:r>
      <w:r w:rsidRPr="00E00DC5">
        <w:rPr>
          <w:spacing w:val="-5"/>
          <w:kern w:val="20"/>
        </w:rPr>
        <w:t xml:space="preserve">(6)  The contracting officer shall ensure the completed warranty attachments are uploaded to the </w:t>
      </w:r>
      <w:r w:rsidRPr="00E00DC5">
        <w:rPr>
          <w:rFonts w:eastAsia="Calibri"/>
          <w:bCs/>
          <w:szCs w:val="24"/>
        </w:rPr>
        <w:t>Electronic D</w:t>
      </w:r>
      <w:r>
        <w:rPr>
          <w:rFonts w:eastAsia="Calibri"/>
          <w:bCs/>
          <w:szCs w:val="24"/>
        </w:rPr>
        <w:t>ata</w:t>
      </w:r>
      <w:r w:rsidRPr="00E00DC5">
        <w:rPr>
          <w:rFonts w:eastAsia="Calibri"/>
          <w:bCs/>
          <w:szCs w:val="24"/>
        </w:rPr>
        <w:t xml:space="preserve"> Access (EDA) system</w:t>
      </w:r>
      <w:r w:rsidRPr="00E00DC5">
        <w:rPr>
          <w:spacing w:val="-5"/>
          <w:kern w:val="20"/>
        </w:rPr>
        <w:t xml:space="preserve"> (see DFARS </w:t>
      </w:r>
      <w:hyperlink r:id="rId19" w:anchor="204.270" w:history="1">
        <w:r w:rsidRPr="007D2BA3">
          <w:rPr>
            <w:rStyle w:val="Hyperlink"/>
            <w:spacing w:val="-5"/>
            <w:kern w:val="20"/>
          </w:rPr>
          <w:t>204.270</w:t>
        </w:r>
      </w:hyperlink>
      <w:r w:rsidRPr="00E00DC5">
        <w:rPr>
          <w:spacing w:val="-5"/>
          <w:kern w:val="20"/>
        </w:rPr>
        <w:t xml:space="preserve"> for information on obtaining an EDA account).</w:t>
      </w:r>
    </w:p>
    <w:p w14:paraId="6BC3D79D" w14:textId="77777777" w:rsidR="001E4B47" w:rsidRDefault="001E4B47" w:rsidP="00B34C19">
      <w:pPr>
        <w:pStyle w:val="List2"/>
        <w:rPr>
          <w:b/>
        </w:rPr>
      </w:pPr>
      <w:r>
        <w:rPr>
          <w:b/>
          <w:spacing w:val="-5"/>
          <w:kern w:val="20"/>
        </w:rPr>
        <w:br/>
      </w:r>
      <w:r w:rsidRPr="00E00DC5">
        <w:rPr>
          <w:spacing w:val="-5"/>
          <w:kern w:val="20"/>
        </w:rPr>
        <w:t xml:space="preserve">(7)  For additional information on the warranty attachments, see the “Warranty and Source of Repair” training and “Warranty and Source of Repair Tracking User Guide” accessible on the PDREP site at </w:t>
      </w:r>
      <w:hyperlink r:id="rId20" w:history="1">
        <w:r w:rsidRPr="00CD3868">
          <w:rPr>
            <w:rStyle w:val="Hyperlink"/>
            <w:spacing w:val="-5"/>
            <w:kern w:val="20"/>
          </w:rPr>
          <w:t>https://www.pdrep.csd.disa.mil/pdrep_files/other/wsr.htm</w:t>
        </w:r>
      </w:hyperlink>
      <w:r w:rsidRPr="00E00DC5">
        <w:rPr>
          <w:spacing w:val="-5"/>
          <w:kern w:val="20"/>
        </w:rPr>
        <w:t>.</w:t>
      </w:r>
    </w:p>
    <w:p w14:paraId="53338923" w14:textId="77777777" w:rsidR="001E4B47" w:rsidRPr="00E00DC5" w:rsidRDefault="001E4B47" w:rsidP="00B34C19">
      <w:r>
        <w:rPr>
          <w:b/>
          <w:spacing w:val="-5"/>
          <w:kern w:val="20"/>
        </w:rPr>
        <w:br/>
      </w:r>
    </w:p>
    <w:p w14:paraId="7B20DB27" w14:textId="77777777" w:rsidR="00850595" w:rsidRDefault="00850595"/>
    <w:sectPr w:rsidR="00850595" w:rsidSect="00B03CC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CFC77" w14:textId="77777777" w:rsidR="00E71580" w:rsidRDefault="00E71580">
      <w:pPr>
        <w:spacing w:after="0" w:line="240" w:lineRule="auto"/>
      </w:pPr>
      <w:r>
        <w:separator/>
      </w:r>
    </w:p>
  </w:endnote>
  <w:endnote w:type="continuationSeparator" w:id="0">
    <w:p w14:paraId="3E7842EF" w14:textId="77777777" w:rsidR="00E71580" w:rsidRDefault="00E71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swiss"/>
    <w:pitch w:val="variable"/>
    <w:sig w:usb0="E00002FF" w:usb1="5200205F" w:usb2="00A0C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E2D8C" w14:textId="77777777" w:rsidR="00B173B9" w:rsidRDefault="00E71580">
    <w:pPr>
      <w:pStyle w:val="Footer"/>
      <w:rPr>
        <w:rFonts w:ascii="Century Schoolbook" w:hAnsi="Century Schoolbook"/>
        <w:sz w:val="20"/>
      </w:rPr>
    </w:pPr>
  </w:p>
  <w:p w14:paraId="2A06017E" w14:textId="77777777" w:rsidR="00B173B9" w:rsidRDefault="00E71580">
    <w:pPr>
      <w:pStyle w:val="Footer"/>
      <w:tabs>
        <w:tab w:val="clear" w:pos="8640"/>
      </w:tabs>
      <w:rPr>
        <w:rFonts w:ascii="Century Schoolbook" w:hAnsi="Century Schoolbook"/>
        <w:b/>
        <w:sz w:val="20"/>
      </w:rPr>
    </w:pPr>
  </w:p>
  <w:p w14:paraId="43740A00" w14:textId="77777777" w:rsidR="00B173B9" w:rsidRPr="00BC71C0" w:rsidRDefault="001E4B4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46</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13B30" w14:textId="77777777" w:rsidR="00B173B9" w:rsidRDefault="00E71580">
    <w:pPr>
      <w:pStyle w:val="Footer"/>
      <w:rPr>
        <w:rFonts w:ascii="Century Schoolbook" w:hAnsi="Century Schoolbook"/>
        <w:sz w:val="20"/>
      </w:rPr>
    </w:pPr>
  </w:p>
  <w:p w14:paraId="00D85857" w14:textId="77777777" w:rsidR="00B173B9" w:rsidRDefault="00E71580">
    <w:pPr>
      <w:pStyle w:val="Footer"/>
      <w:tabs>
        <w:tab w:val="clear" w:pos="8640"/>
      </w:tabs>
      <w:rPr>
        <w:rFonts w:ascii="Century Schoolbook" w:hAnsi="Century Schoolbook"/>
        <w:b/>
        <w:sz w:val="20"/>
      </w:rPr>
    </w:pPr>
  </w:p>
  <w:p w14:paraId="06C1A20E" w14:textId="77777777" w:rsidR="00B173B9" w:rsidRPr="00BC71C0" w:rsidRDefault="001E4B4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46</w:t>
    </w:r>
    <w:r w:rsidRPr="00BC71C0">
      <w:rPr>
        <w:szCs w:val="22"/>
      </w:rPr>
      <w:t>.</w:t>
    </w:r>
    <w:r>
      <w:rPr>
        <w:szCs w:val="22"/>
      </w:rPr>
      <w:t>3</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E6F3" w14:textId="77777777" w:rsidR="00B173B9" w:rsidRDefault="00E71580">
    <w:pPr>
      <w:pStyle w:val="Footer"/>
      <w:rPr>
        <w:rFonts w:ascii="Century Schoolbook" w:hAnsi="Century Schoolbook"/>
        <w:sz w:val="20"/>
      </w:rPr>
    </w:pPr>
  </w:p>
  <w:p w14:paraId="24BAD052" w14:textId="77777777" w:rsidR="00B173B9" w:rsidRDefault="00E71580">
    <w:pPr>
      <w:pStyle w:val="Footer"/>
      <w:tabs>
        <w:tab w:val="clear" w:pos="8640"/>
      </w:tabs>
      <w:rPr>
        <w:rFonts w:ascii="Century Schoolbook" w:hAnsi="Century Schoolbook"/>
        <w:b/>
        <w:sz w:val="20"/>
      </w:rPr>
    </w:pPr>
  </w:p>
  <w:p w14:paraId="2DD69DAD" w14:textId="77777777" w:rsidR="00B173B9" w:rsidRPr="00BC71C0" w:rsidRDefault="001E4B4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46</w:t>
    </w:r>
    <w:r w:rsidRPr="00BC71C0">
      <w:rPr>
        <w:szCs w:val="22"/>
      </w:rPr>
      <w:t>.</w:t>
    </w:r>
    <w:r>
      <w:rPr>
        <w:szCs w:val="22"/>
      </w:rPr>
      <w:t>4</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59AFE" w14:textId="77777777" w:rsidR="00B173B9" w:rsidRDefault="00E71580">
    <w:pPr>
      <w:pStyle w:val="Footer"/>
      <w:rPr>
        <w:rFonts w:ascii="Century Schoolbook" w:hAnsi="Century Schoolbook"/>
        <w:sz w:val="20"/>
      </w:rPr>
    </w:pPr>
  </w:p>
  <w:p w14:paraId="5707EC25" w14:textId="77777777" w:rsidR="00B173B9" w:rsidRDefault="00E71580">
    <w:pPr>
      <w:pStyle w:val="Footer"/>
      <w:tabs>
        <w:tab w:val="clear" w:pos="8640"/>
      </w:tabs>
      <w:rPr>
        <w:rFonts w:ascii="Century Schoolbook" w:hAnsi="Century Schoolbook"/>
        <w:b/>
        <w:sz w:val="20"/>
      </w:rPr>
    </w:pPr>
  </w:p>
  <w:p w14:paraId="65FB3A87" w14:textId="77777777" w:rsidR="00B173B9" w:rsidRPr="00BC71C0" w:rsidRDefault="001E4B4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46</w:t>
    </w:r>
    <w:r w:rsidRPr="00BC71C0">
      <w:rPr>
        <w:szCs w:val="22"/>
      </w:rPr>
      <w:t>.</w:t>
    </w:r>
    <w:r>
      <w:rPr>
        <w:szCs w:val="22"/>
      </w:rPr>
      <w:t>7</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7EA2A" w14:textId="77777777" w:rsidR="00E71580" w:rsidRDefault="00E71580">
      <w:pPr>
        <w:spacing w:after="0" w:line="240" w:lineRule="auto"/>
      </w:pPr>
      <w:r>
        <w:separator/>
      </w:r>
    </w:p>
  </w:footnote>
  <w:footnote w:type="continuationSeparator" w:id="0">
    <w:p w14:paraId="6C85CFAA" w14:textId="77777777" w:rsidR="00E71580" w:rsidRDefault="00E71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69DA5" w14:textId="77777777" w:rsidR="00B173B9" w:rsidRDefault="001E4B47" w:rsidP="003E6AA4">
    <w:pPr>
      <w:pStyle w:val="Header"/>
      <w:tabs>
        <w:tab w:val="clear" w:pos="8640"/>
        <w:tab w:val="left" w:pos="4590"/>
      </w:tabs>
      <w:jc w:val="center"/>
      <w:rPr>
        <w:sz w:val="28"/>
        <w:szCs w:val="28"/>
      </w:rPr>
    </w:pPr>
    <w:r w:rsidRPr="002B1BC7">
      <w:rPr>
        <w:sz w:val="28"/>
        <w:szCs w:val="28"/>
      </w:rPr>
      <w:t>DFARS Procedures, Guidance, and Information</w:t>
    </w:r>
  </w:p>
  <w:p w14:paraId="680A9F7A" w14:textId="77777777" w:rsidR="00B173B9" w:rsidRPr="002B1BC7" w:rsidRDefault="00E71580" w:rsidP="003E6AA4">
    <w:pPr>
      <w:pStyle w:val="Header"/>
      <w:tabs>
        <w:tab w:val="clear" w:pos="8640"/>
        <w:tab w:val="left" w:pos="4590"/>
      </w:tabs>
      <w:jc w:val="center"/>
      <w:rPr>
        <w:sz w:val="28"/>
        <w:szCs w:val="28"/>
      </w:rPr>
    </w:pPr>
  </w:p>
  <w:p w14:paraId="7A94F1AB" w14:textId="77777777" w:rsidR="00B173B9" w:rsidRPr="00BC71C0" w:rsidRDefault="001E4B4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46</w:t>
    </w:r>
    <w:r w:rsidRPr="00BC71C0">
      <w:rPr>
        <w:szCs w:val="24"/>
      </w:rPr>
      <w:t>—</w:t>
    </w:r>
    <w:r>
      <w:rPr>
        <w:szCs w:val="24"/>
      </w:rPr>
      <w:t>Quality Assurance</w:t>
    </w:r>
  </w:p>
  <w:p w14:paraId="3F0831F8" w14:textId="77777777" w:rsidR="00B173B9" w:rsidRDefault="00E71580">
    <w:pPr>
      <w:pStyle w:val="Header"/>
      <w:tabs>
        <w:tab w:val="clear" w:pos="8640"/>
        <w:tab w:val="right" w:pos="9260"/>
      </w:tabs>
      <w:spacing w:before="20" w:line="20" w:lineRule="exact"/>
      <w:rPr>
        <w:rFonts w:ascii="Geneva" w:hAnsi="Geneva"/>
        <w:b/>
        <w:position w:val="6"/>
        <w:sz w:val="18"/>
      </w:rPr>
    </w:pPr>
  </w:p>
  <w:p w14:paraId="3871D2E2" w14:textId="77777777" w:rsidR="00B173B9" w:rsidRDefault="00E71580">
    <w:pPr>
      <w:pStyle w:val="Header"/>
      <w:tabs>
        <w:tab w:val="clear" w:pos="8640"/>
        <w:tab w:val="right" w:pos="9260"/>
      </w:tabs>
      <w:rPr>
        <w:rFonts w:ascii="Century Schoolbook" w:hAnsi="Century Schoolbook"/>
        <w:b/>
        <w:sz w:val="20"/>
      </w:rPr>
    </w:pPr>
  </w:p>
  <w:p w14:paraId="01B3EF23" w14:textId="77777777" w:rsidR="00B173B9" w:rsidRDefault="00E71580">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82076" w14:textId="77777777" w:rsidR="00B173B9" w:rsidRDefault="001E4B47" w:rsidP="003E6AA4">
    <w:pPr>
      <w:pStyle w:val="Header"/>
      <w:tabs>
        <w:tab w:val="clear" w:pos="8640"/>
        <w:tab w:val="left" w:pos="4590"/>
      </w:tabs>
      <w:jc w:val="center"/>
      <w:rPr>
        <w:sz w:val="28"/>
        <w:szCs w:val="28"/>
      </w:rPr>
    </w:pPr>
    <w:r w:rsidRPr="002B1BC7">
      <w:rPr>
        <w:sz w:val="28"/>
        <w:szCs w:val="28"/>
      </w:rPr>
      <w:t>DFARS Procedures, Guidance, and Information</w:t>
    </w:r>
  </w:p>
  <w:p w14:paraId="7CF24720" w14:textId="77777777" w:rsidR="00B173B9" w:rsidRPr="002B1BC7" w:rsidRDefault="00E71580" w:rsidP="003E6AA4">
    <w:pPr>
      <w:pStyle w:val="Header"/>
      <w:tabs>
        <w:tab w:val="clear" w:pos="8640"/>
        <w:tab w:val="left" w:pos="4590"/>
      </w:tabs>
      <w:jc w:val="center"/>
      <w:rPr>
        <w:sz w:val="28"/>
        <w:szCs w:val="28"/>
      </w:rPr>
    </w:pPr>
  </w:p>
  <w:p w14:paraId="759F84FE" w14:textId="77777777" w:rsidR="00B173B9" w:rsidRPr="00BC71C0" w:rsidRDefault="001E4B4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46</w:t>
    </w:r>
    <w:r w:rsidRPr="00BC71C0">
      <w:rPr>
        <w:szCs w:val="24"/>
      </w:rPr>
      <w:t>—</w:t>
    </w:r>
    <w:r>
      <w:rPr>
        <w:szCs w:val="24"/>
      </w:rPr>
      <w:t>Quality Assurance</w:t>
    </w:r>
  </w:p>
  <w:p w14:paraId="03BDF38C" w14:textId="77777777" w:rsidR="00B173B9" w:rsidRDefault="00E71580">
    <w:pPr>
      <w:pStyle w:val="Header"/>
      <w:tabs>
        <w:tab w:val="clear" w:pos="8640"/>
        <w:tab w:val="right" w:pos="9260"/>
      </w:tabs>
      <w:spacing w:before="20" w:line="20" w:lineRule="exact"/>
      <w:rPr>
        <w:rFonts w:ascii="Geneva" w:hAnsi="Geneva"/>
        <w:b/>
        <w:position w:val="6"/>
        <w:sz w:val="18"/>
      </w:rPr>
    </w:pPr>
  </w:p>
  <w:p w14:paraId="2934EB4C" w14:textId="77777777" w:rsidR="00B173B9" w:rsidRDefault="00E71580">
    <w:pPr>
      <w:pStyle w:val="Header"/>
      <w:tabs>
        <w:tab w:val="clear" w:pos="8640"/>
        <w:tab w:val="right" w:pos="9260"/>
      </w:tabs>
      <w:rPr>
        <w:rFonts w:ascii="Century Schoolbook" w:hAnsi="Century Schoolbook"/>
        <w:b/>
        <w:sz w:val="20"/>
      </w:rPr>
    </w:pPr>
  </w:p>
  <w:p w14:paraId="6E33873E" w14:textId="77777777" w:rsidR="00B173B9" w:rsidRDefault="00E71580">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A36A3" w14:textId="77777777" w:rsidR="00B173B9" w:rsidRDefault="001E4B47" w:rsidP="003E6AA4">
    <w:pPr>
      <w:pStyle w:val="Header"/>
      <w:tabs>
        <w:tab w:val="clear" w:pos="8640"/>
        <w:tab w:val="left" w:pos="4590"/>
      </w:tabs>
      <w:jc w:val="center"/>
      <w:rPr>
        <w:sz w:val="28"/>
        <w:szCs w:val="28"/>
      </w:rPr>
    </w:pPr>
    <w:r w:rsidRPr="002B1BC7">
      <w:rPr>
        <w:sz w:val="28"/>
        <w:szCs w:val="28"/>
      </w:rPr>
      <w:t>DFARS Procedures, Guidance, and Information</w:t>
    </w:r>
  </w:p>
  <w:p w14:paraId="45BED5B2" w14:textId="77777777" w:rsidR="00B173B9" w:rsidRPr="002B1BC7" w:rsidRDefault="00E71580" w:rsidP="003E6AA4">
    <w:pPr>
      <w:pStyle w:val="Header"/>
      <w:tabs>
        <w:tab w:val="clear" w:pos="8640"/>
        <w:tab w:val="left" w:pos="4590"/>
      </w:tabs>
      <w:jc w:val="center"/>
      <w:rPr>
        <w:sz w:val="28"/>
        <w:szCs w:val="28"/>
      </w:rPr>
    </w:pPr>
  </w:p>
  <w:p w14:paraId="4518D645" w14:textId="77777777" w:rsidR="00B173B9" w:rsidRPr="00BC71C0" w:rsidRDefault="001E4B4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46</w:t>
    </w:r>
    <w:r w:rsidRPr="00BC71C0">
      <w:rPr>
        <w:szCs w:val="24"/>
      </w:rPr>
      <w:t>—</w:t>
    </w:r>
    <w:r>
      <w:rPr>
        <w:szCs w:val="24"/>
      </w:rPr>
      <w:t>Quality Assurance</w:t>
    </w:r>
  </w:p>
  <w:p w14:paraId="64E0EF47" w14:textId="77777777" w:rsidR="00B173B9" w:rsidRDefault="00E71580">
    <w:pPr>
      <w:pStyle w:val="Header"/>
      <w:tabs>
        <w:tab w:val="clear" w:pos="8640"/>
        <w:tab w:val="right" w:pos="9260"/>
      </w:tabs>
      <w:spacing w:before="20" w:line="20" w:lineRule="exact"/>
      <w:rPr>
        <w:rFonts w:ascii="Geneva" w:hAnsi="Geneva"/>
        <w:b/>
        <w:position w:val="6"/>
        <w:sz w:val="18"/>
      </w:rPr>
    </w:pPr>
  </w:p>
  <w:p w14:paraId="24486B4F" w14:textId="77777777" w:rsidR="00B173B9" w:rsidRDefault="00E71580">
    <w:pPr>
      <w:pStyle w:val="Header"/>
      <w:tabs>
        <w:tab w:val="clear" w:pos="8640"/>
        <w:tab w:val="right" w:pos="9260"/>
      </w:tabs>
      <w:rPr>
        <w:rFonts w:ascii="Century Schoolbook" w:hAnsi="Century Schoolbook"/>
        <w:b/>
        <w:sz w:val="20"/>
      </w:rPr>
    </w:pPr>
  </w:p>
  <w:p w14:paraId="09497A7D" w14:textId="77777777" w:rsidR="00B173B9" w:rsidRDefault="00E71580">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D4152" w14:textId="77777777" w:rsidR="00B173B9" w:rsidRDefault="001E4B47" w:rsidP="003E6AA4">
    <w:pPr>
      <w:pStyle w:val="Header"/>
      <w:tabs>
        <w:tab w:val="clear" w:pos="8640"/>
        <w:tab w:val="left" w:pos="4590"/>
      </w:tabs>
      <w:jc w:val="center"/>
      <w:rPr>
        <w:sz w:val="28"/>
        <w:szCs w:val="28"/>
      </w:rPr>
    </w:pPr>
    <w:r w:rsidRPr="002B1BC7">
      <w:rPr>
        <w:sz w:val="28"/>
        <w:szCs w:val="28"/>
      </w:rPr>
      <w:t>DFARS Procedures, Guidance, and Information</w:t>
    </w:r>
  </w:p>
  <w:p w14:paraId="4B0FBA55" w14:textId="77777777" w:rsidR="00B173B9" w:rsidRPr="002B1BC7" w:rsidRDefault="00E71580" w:rsidP="003E6AA4">
    <w:pPr>
      <w:pStyle w:val="Header"/>
      <w:tabs>
        <w:tab w:val="clear" w:pos="8640"/>
        <w:tab w:val="left" w:pos="4590"/>
      </w:tabs>
      <w:jc w:val="center"/>
      <w:rPr>
        <w:sz w:val="28"/>
        <w:szCs w:val="28"/>
      </w:rPr>
    </w:pPr>
  </w:p>
  <w:p w14:paraId="356C3D06" w14:textId="77777777" w:rsidR="00B173B9" w:rsidRPr="00BC71C0" w:rsidRDefault="001E4B4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46</w:t>
    </w:r>
    <w:r w:rsidRPr="00BC71C0">
      <w:rPr>
        <w:szCs w:val="24"/>
      </w:rPr>
      <w:t>—</w:t>
    </w:r>
    <w:r>
      <w:rPr>
        <w:szCs w:val="24"/>
      </w:rPr>
      <w:t>Quality Assurance</w:t>
    </w:r>
  </w:p>
  <w:p w14:paraId="146DE979" w14:textId="77777777" w:rsidR="00B173B9" w:rsidRDefault="00E71580">
    <w:pPr>
      <w:pStyle w:val="Header"/>
      <w:tabs>
        <w:tab w:val="clear" w:pos="8640"/>
        <w:tab w:val="right" w:pos="9260"/>
      </w:tabs>
      <w:spacing w:before="20" w:line="20" w:lineRule="exact"/>
      <w:rPr>
        <w:rFonts w:ascii="Geneva" w:hAnsi="Geneva"/>
        <w:b/>
        <w:position w:val="6"/>
        <w:sz w:val="18"/>
      </w:rPr>
    </w:pPr>
  </w:p>
  <w:p w14:paraId="57A275B6" w14:textId="77777777" w:rsidR="00B173B9" w:rsidRDefault="00E71580">
    <w:pPr>
      <w:pStyle w:val="Header"/>
      <w:tabs>
        <w:tab w:val="clear" w:pos="8640"/>
        <w:tab w:val="right" w:pos="9260"/>
      </w:tabs>
      <w:rPr>
        <w:rFonts w:ascii="Century Schoolbook" w:hAnsi="Century Schoolbook"/>
        <w:b/>
        <w:sz w:val="20"/>
      </w:rPr>
    </w:pPr>
  </w:p>
  <w:p w14:paraId="0E8AAE26" w14:textId="77777777" w:rsidR="00B173B9" w:rsidRDefault="00E71580">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47"/>
    <w:rsid w:val="001517DD"/>
    <w:rsid w:val="001E4B47"/>
    <w:rsid w:val="00505901"/>
    <w:rsid w:val="005303F2"/>
    <w:rsid w:val="006D4192"/>
    <w:rsid w:val="007D6208"/>
    <w:rsid w:val="00850595"/>
    <w:rsid w:val="00B8095C"/>
    <w:rsid w:val="00BF48DE"/>
    <w:rsid w:val="00E56417"/>
    <w:rsid w:val="00E71580"/>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B593"/>
  <w15:chartTrackingRefBased/>
  <w15:docId w15:val="{2A62BB01-3FAE-4527-AE77-81B5936D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1E4B47"/>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1E4B47"/>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1E4B47"/>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1E4B47"/>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47"/>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semiHidden/>
    <w:rsid w:val="001E4B47"/>
    <w:rPr>
      <w:rFonts w:ascii="Arial" w:eastAsiaTheme="majorEastAsia" w:hAnsi="Arial" w:cs="Arial"/>
      <w:b/>
      <w:bCs/>
      <w:iCs/>
      <w:sz w:val="28"/>
      <w:szCs w:val="28"/>
    </w:rPr>
  </w:style>
  <w:style w:type="character" w:customStyle="1" w:styleId="Heading3Char">
    <w:name w:val="Heading 3 Char"/>
    <w:basedOn w:val="DefaultParagraphFont"/>
    <w:link w:val="Heading3"/>
    <w:rsid w:val="001E4B47"/>
    <w:rPr>
      <w:rFonts w:ascii="Arial" w:eastAsia="Times New Roman" w:hAnsi="Arial" w:cs="Arial"/>
      <w:szCs w:val="20"/>
    </w:rPr>
  </w:style>
  <w:style w:type="paragraph" w:styleId="Footer">
    <w:name w:val="footer"/>
    <w:basedOn w:val="Normal"/>
    <w:link w:val="FooterChar"/>
    <w:rsid w:val="001E4B47"/>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1E4B47"/>
    <w:rPr>
      <w:rFonts w:ascii="Arial" w:eastAsia="Times New Roman" w:hAnsi="Arial" w:cs="Arial"/>
      <w:szCs w:val="20"/>
    </w:rPr>
  </w:style>
  <w:style w:type="paragraph" w:styleId="Header">
    <w:name w:val="header"/>
    <w:basedOn w:val="Normal"/>
    <w:link w:val="HeaderChar"/>
    <w:rsid w:val="001E4B47"/>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1E4B47"/>
    <w:rPr>
      <w:rFonts w:ascii="Arial" w:eastAsia="Times New Roman" w:hAnsi="Arial" w:cs="Arial"/>
      <w:szCs w:val="20"/>
    </w:rPr>
  </w:style>
  <w:style w:type="paragraph" w:styleId="List2">
    <w:name w:val="List 2"/>
    <w:unhideWhenUsed/>
    <w:rsid w:val="001E4B47"/>
    <w:pPr>
      <w:spacing w:after="0" w:line="240" w:lineRule="auto"/>
      <w:ind w:left="720" w:hanging="360"/>
      <w:contextualSpacing/>
    </w:pPr>
    <w:rPr>
      <w:rFonts w:ascii="Arial" w:eastAsia="Times New Roman" w:hAnsi="Arial" w:cs="Arial"/>
      <w:szCs w:val="20"/>
    </w:rPr>
  </w:style>
  <w:style w:type="paragraph" w:styleId="List3">
    <w:name w:val="List 3"/>
    <w:link w:val="List3Char"/>
    <w:unhideWhenUsed/>
    <w:rsid w:val="001E4B47"/>
    <w:pPr>
      <w:spacing w:after="0" w:line="240" w:lineRule="auto"/>
      <w:ind w:left="1080" w:hanging="360"/>
      <w:contextualSpacing/>
    </w:pPr>
    <w:rPr>
      <w:rFonts w:ascii="Arial" w:eastAsia="Times New Roman" w:hAnsi="Arial" w:cs="Arial"/>
      <w:szCs w:val="20"/>
    </w:rPr>
  </w:style>
  <w:style w:type="paragraph" w:styleId="List4">
    <w:name w:val="List 4"/>
    <w:link w:val="List4Char"/>
    <w:unhideWhenUsed/>
    <w:rsid w:val="001E4B47"/>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1E4B47"/>
    <w:pPr>
      <w:spacing w:after="160" w:line="259" w:lineRule="auto"/>
      <w:ind w:left="1800" w:firstLine="0"/>
    </w:pPr>
    <w:rPr>
      <w:szCs w:val="24"/>
    </w:rPr>
  </w:style>
  <w:style w:type="character" w:customStyle="1" w:styleId="List4Char">
    <w:name w:val="List 4 Char"/>
    <w:basedOn w:val="DefaultParagraphFont"/>
    <w:link w:val="List4"/>
    <w:uiPriority w:val="99"/>
    <w:semiHidden/>
    <w:rsid w:val="001E4B47"/>
    <w:rPr>
      <w:rFonts w:ascii="Arial" w:eastAsia="Times New Roman" w:hAnsi="Arial" w:cs="Arial"/>
      <w:szCs w:val="20"/>
    </w:rPr>
  </w:style>
  <w:style w:type="character" w:customStyle="1" w:styleId="List6Char">
    <w:name w:val="List 6 Char"/>
    <w:basedOn w:val="List4Char"/>
    <w:link w:val="List6"/>
    <w:rsid w:val="001E4B47"/>
    <w:rPr>
      <w:rFonts w:ascii="Arial" w:eastAsia="Times New Roman" w:hAnsi="Arial" w:cs="Arial"/>
      <w:szCs w:val="24"/>
    </w:rPr>
  </w:style>
  <w:style w:type="character" w:customStyle="1" w:styleId="Heading4Char">
    <w:name w:val="Heading 4 Char"/>
    <w:basedOn w:val="DefaultParagraphFont"/>
    <w:link w:val="Heading4"/>
    <w:rsid w:val="001E4B47"/>
    <w:rPr>
      <w:rFonts w:ascii="Arial" w:eastAsia="Times New Roman" w:hAnsi="Arial" w:cs="Arial"/>
      <w:szCs w:val="20"/>
    </w:rPr>
  </w:style>
  <w:style w:type="character" w:styleId="Hyperlink">
    <w:name w:val="Hyperlink"/>
    <w:uiPriority w:val="99"/>
    <w:rsid w:val="001E4B47"/>
    <w:rPr>
      <w:color w:val="0000FF"/>
      <w:u w:val="single"/>
    </w:rPr>
  </w:style>
  <w:style w:type="paragraph" w:customStyle="1" w:styleId="List1">
    <w:name w:val="List 1"/>
    <w:link w:val="List1Char"/>
    <w:rsid w:val="001E4B47"/>
    <w:pPr>
      <w:spacing w:after="0" w:line="240" w:lineRule="auto"/>
      <w:ind w:hanging="360"/>
      <w:contextualSpacing/>
    </w:pPr>
    <w:rPr>
      <w:rFonts w:ascii="Arial" w:eastAsia="Times New Roman" w:hAnsi="Arial" w:cs="Arial"/>
      <w:szCs w:val="20"/>
    </w:rPr>
  </w:style>
  <w:style w:type="character" w:customStyle="1" w:styleId="List1Char">
    <w:name w:val="List 1 Char"/>
    <w:basedOn w:val="Heading4Char"/>
    <w:link w:val="List1"/>
    <w:rsid w:val="001E4B47"/>
    <w:rPr>
      <w:rFonts w:ascii="Arial" w:eastAsia="Times New Roman" w:hAnsi="Arial" w:cs="Arial"/>
      <w:szCs w:val="20"/>
    </w:rPr>
  </w:style>
  <w:style w:type="paragraph" w:styleId="List5">
    <w:name w:val="List 5"/>
    <w:basedOn w:val="Normal"/>
    <w:link w:val="List5Char"/>
    <w:rsid w:val="001E4B47"/>
    <w:pPr>
      <w:tabs>
        <w:tab w:val="left" w:pos="1000"/>
      </w:tabs>
      <w:spacing w:before="120" w:after="100" w:afterAutospacing="1" w:line="240" w:lineRule="auto"/>
      <w:ind w:left="1800" w:hanging="360"/>
      <w:contextualSpacing/>
    </w:pPr>
    <w:rPr>
      <w:rFonts w:eastAsia="Times New Roman"/>
      <w:szCs w:val="20"/>
    </w:rPr>
  </w:style>
  <w:style w:type="character" w:customStyle="1" w:styleId="List5Char">
    <w:name w:val="List 5 Char"/>
    <w:basedOn w:val="DefaultParagraphFont"/>
    <w:link w:val="List5"/>
    <w:rsid w:val="001E4B47"/>
    <w:rPr>
      <w:rFonts w:ascii="Arial" w:eastAsia="Times New Roman" w:hAnsi="Arial" w:cs="Arial"/>
      <w:szCs w:val="20"/>
    </w:rPr>
  </w:style>
  <w:style w:type="paragraph" w:customStyle="1" w:styleId="List7">
    <w:name w:val="List 7"/>
    <w:basedOn w:val="List2"/>
    <w:link w:val="List7Char"/>
    <w:rsid w:val="001E4B47"/>
    <w:pPr>
      <w:ind w:left="2880" w:firstLine="0"/>
    </w:pPr>
    <w:rPr>
      <w:szCs w:val="24"/>
    </w:rPr>
  </w:style>
  <w:style w:type="character" w:customStyle="1" w:styleId="List7Char">
    <w:name w:val="List 7 Char"/>
    <w:basedOn w:val="List6Char"/>
    <w:link w:val="List7"/>
    <w:rsid w:val="001E4B47"/>
    <w:rPr>
      <w:rFonts w:ascii="Arial" w:eastAsia="Times New Roman" w:hAnsi="Arial" w:cs="Arial"/>
      <w:szCs w:val="24"/>
    </w:rPr>
  </w:style>
  <w:style w:type="character" w:customStyle="1" w:styleId="List3Char">
    <w:name w:val="List 3 Char"/>
    <w:basedOn w:val="DefaultParagraphFont"/>
    <w:link w:val="List3"/>
    <w:rsid w:val="001E4B47"/>
    <w:rPr>
      <w:rFonts w:ascii="Arial" w:eastAsia="Times New Roman" w:hAnsi="Arial" w:cs="Arial"/>
      <w:szCs w:val="20"/>
    </w:rPr>
  </w:style>
  <w:style w:type="paragraph" w:styleId="TOC1">
    <w:name w:val="toc 1"/>
    <w:basedOn w:val="Normal"/>
    <w:next w:val="Normal"/>
    <w:autoRedefine/>
    <w:uiPriority w:val="39"/>
    <w:unhideWhenUsed/>
    <w:rsid w:val="001E4B47"/>
    <w:pPr>
      <w:spacing w:after="100"/>
    </w:pPr>
  </w:style>
  <w:style w:type="paragraph" w:styleId="TOC2">
    <w:name w:val="toc 2"/>
    <w:basedOn w:val="Normal"/>
    <w:next w:val="Normal"/>
    <w:autoRedefine/>
    <w:uiPriority w:val="39"/>
    <w:unhideWhenUsed/>
    <w:rsid w:val="001E4B47"/>
    <w:pPr>
      <w:spacing w:after="100"/>
      <w:ind w:left="220"/>
    </w:pPr>
  </w:style>
  <w:style w:type="paragraph" w:styleId="TOC3">
    <w:name w:val="toc 3"/>
    <w:basedOn w:val="Normal"/>
    <w:next w:val="Normal"/>
    <w:autoRedefine/>
    <w:uiPriority w:val="39"/>
    <w:unhideWhenUsed/>
    <w:rsid w:val="001E4B47"/>
    <w:pPr>
      <w:spacing w:after="100"/>
      <w:ind w:left="440"/>
    </w:pPr>
  </w:style>
  <w:style w:type="paragraph" w:styleId="TOC4">
    <w:name w:val="toc 4"/>
    <w:basedOn w:val="Normal"/>
    <w:next w:val="Normal"/>
    <w:autoRedefine/>
    <w:uiPriority w:val="39"/>
    <w:unhideWhenUsed/>
    <w:rsid w:val="001E4B47"/>
    <w:pPr>
      <w:spacing w:after="100"/>
      <w:ind w:left="660"/>
    </w:pPr>
  </w:style>
  <w:style w:type="paragraph" w:styleId="TOC5">
    <w:name w:val="toc 5"/>
    <w:basedOn w:val="Normal"/>
    <w:next w:val="Normal"/>
    <w:autoRedefine/>
    <w:uiPriority w:val="39"/>
    <w:semiHidden/>
    <w:unhideWhenUsed/>
    <w:rsid w:val="001E4B47"/>
    <w:pPr>
      <w:spacing w:after="100"/>
      <w:ind w:left="880"/>
    </w:pPr>
  </w:style>
  <w:style w:type="paragraph" w:styleId="TOC6">
    <w:name w:val="toc 6"/>
    <w:basedOn w:val="Normal"/>
    <w:next w:val="Normal"/>
    <w:autoRedefine/>
    <w:uiPriority w:val="39"/>
    <w:semiHidden/>
    <w:unhideWhenUsed/>
    <w:rsid w:val="001E4B47"/>
    <w:pPr>
      <w:spacing w:after="100"/>
      <w:ind w:left="1100"/>
    </w:pPr>
  </w:style>
  <w:style w:type="paragraph" w:styleId="TOC7">
    <w:name w:val="toc 7"/>
    <w:basedOn w:val="Normal"/>
    <w:next w:val="Normal"/>
    <w:autoRedefine/>
    <w:uiPriority w:val="39"/>
    <w:semiHidden/>
    <w:unhideWhenUsed/>
    <w:rsid w:val="001E4B47"/>
    <w:pPr>
      <w:spacing w:after="100"/>
      <w:ind w:left="1320"/>
    </w:pPr>
  </w:style>
  <w:style w:type="paragraph" w:styleId="TOC8">
    <w:name w:val="toc 8"/>
    <w:basedOn w:val="Normal"/>
    <w:next w:val="Normal"/>
    <w:autoRedefine/>
    <w:uiPriority w:val="39"/>
    <w:semiHidden/>
    <w:unhideWhenUsed/>
    <w:rsid w:val="001E4B47"/>
    <w:pPr>
      <w:spacing w:after="100"/>
      <w:ind w:left="1540"/>
    </w:pPr>
  </w:style>
  <w:style w:type="paragraph" w:styleId="TOC9">
    <w:name w:val="toc 9"/>
    <w:basedOn w:val="Normal"/>
    <w:next w:val="Normal"/>
    <w:autoRedefine/>
    <w:uiPriority w:val="39"/>
    <w:semiHidden/>
    <w:unhideWhenUsed/>
    <w:rsid w:val="001E4B4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s://www.acq.osd.mil/dpap/dars/dfars/html/current/252246.htm" TargetMode="External"/><Relationship Id="rId3" Type="http://schemas.openxmlformats.org/officeDocument/2006/relationships/webSettings" Target="webSettings.xml"/><Relationship Id="rId21" Type="http://schemas.openxmlformats.org/officeDocument/2006/relationships/header" Target="header4.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hyperlink" Target="https://www.acq.osd.mil/dpap/dars/dfars/html/current/252246.htm" TargetMode="External"/><Relationship Id="rId2" Type="http://schemas.openxmlformats.org/officeDocument/2006/relationships/settings" Target="settings.xml"/><Relationship Id="rId16" Type="http://schemas.openxmlformats.org/officeDocument/2006/relationships/hyperlink" Target="http://www.acq.osd.mil/dpap/dars/pgi/pgi_htm/current/PGI204_71.htm" TargetMode="External"/><Relationship Id="rId20" Type="http://schemas.openxmlformats.org/officeDocument/2006/relationships/hyperlink" Target="https://www.pdrep.csd.disa.mil/pdrep_files/other/wsr.htm"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faa.gov/about/office_org/headquarters_offices/avs/offices/air/directorates_field/small_airplanes/mco"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pdrep.csd.disa.mil/pdrep_files/other/wsr.htm" TargetMode="External"/><Relationship Id="rId23" Type="http://schemas.openxmlformats.org/officeDocument/2006/relationships/fontTable" Target="fontTable.xml"/><Relationship Id="rId10" Type="http://schemas.openxmlformats.org/officeDocument/2006/relationships/hyperlink" Target="http://www.aviation.dla.mil/UserWeb/AviationEngineering/EngineeringSupport/Documents/AviationCSIHandbook.pdf" TargetMode="External"/><Relationship Id="rId19" Type="http://schemas.openxmlformats.org/officeDocument/2006/relationships/hyperlink" Target="https://www.acq.osd.mil/dpap/dars/dfars/html/current/204_2.htm"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www.acq.osd.mil/dpap/dars/dfars/html/current/252246.htm"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1947</Words>
  <Characters>11100</Characters>
  <Application>Microsoft Office Word</Application>
  <DocSecurity>0</DocSecurity>
  <Lines>92</Lines>
  <Paragraphs>26</Paragraphs>
  <ScaleCrop>false</ScaleCrop>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2020-04-10T16:56:00Z</dcterms:created>
  <dcterms:modified xsi:type="dcterms:W3CDTF">2020-04-14T15:37:00Z</dcterms:modified>
</cp:coreProperties>
</file>