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E8" w:rsidRPr="00095E47" w:rsidRDefault="00ED55E8" w:rsidP="002410EC">
      <w:pPr>
        <w:pStyle w:val="Heading1"/>
        <w:rPr>
          <w:szCs w:val="24"/>
        </w:rPr>
      </w:pPr>
      <w:r w:rsidRPr="00095E47">
        <w:rPr>
          <w:szCs w:val="24"/>
        </w:rPr>
        <w:t>PART 2 – DEFINITIONS OF WORDS AND TERMS</w:t>
      </w:r>
    </w:p>
    <w:p w:rsidR="00ED55E8" w:rsidRPr="00095E47" w:rsidRDefault="00ED55E8" w:rsidP="002F7F8B">
      <w:pPr>
        <w:spacing w:after="240"/>
        <w:jc w:val="center"/>
        <w:rPr>
          <w:i/>
          <w:sz w:val="24"/>
          <w:szCs w:val="24"/>
        </w:rPr>
      </w:pPr>
      <w:r w:rsidRPr="00095E47">
        <w:rPr>
          <w:i/>
          <w:sz w:val="24"/>
          <w:szCs w:val="24"/>
        </w:rPr>
        <w:t>(Revised March 23, 2020 through PROCLTR 2020-04)</w:t>
      </w:r>
    </w:p>
    <w:p w:rsidR="00ED55E8" w:rsidRPr="00095E47" w:rsidRDefault="00ED55E8" w:rsidP="00E72D89">
      <w:pPr>
        <w:jc w:val="center"/>
        <w:rPr>
          <w:b/>
          <w:sz w:val="24"/>
          <w:szCs w:val="24"/>
        </w:rPr>
      </w:pPr>
      <w:r w:rsidRPr="00095E47">
        <w:rPr>
          <w:b/>
          <w:sz w:val="24"/>
          <w:szCs w:val="24"/>
        </w:rPr>
        <w:t>TABLE OF CONTENTS</w:t>
      </w:r>
    </w:p>
    <w:p w:rsidR="00ED55E8" w:rsidRPr="00095E47" w:rsidRDefault="00ED55E8" w:rsidP="00424269">
      <w:pPr>
        <w:rPr>
          <w:b/>
          <w:sz w:val="24"/>
          <w:szCs w:val="24"/>
        </w:rPr>
      </w:pPr>
      <w:r w:rsidRPr="00095E47">
        <w:rPr>
          <w:b/>
          <w:sz w:val="24"/>
          <w:szCs w:val="24"/>
        </w:rPr>
        <w:t>SUBPART 2.1 – DEFINITIONS</w:t>
      </w:r>
    </w:p>
    <w:p w:rsidR="00ED55E8" w:rsidRPr="00095E47" w:rsidRDefault="00ED55E8" w:rsidP="002F7F8B">
      <w:pPr>
        <w:spacing w:after="240"/>
        <w:rPr>
          <w:sz w:val="24"/>
          <w:szCs w:val="24"/>
        </w:rPr>
      </w:pPr>
      <w:hyperlink w:anchor="P2_101" w:history="1">
        <w:r w:rsidRPr="00095E47">
          <w:rPr>
            <w:sz w:val="24"/>
            <w:szCs w:val="24"/>
          </w:rPr>
          <w:t>2.101</w:t>
        </w:r>
      </w:hyperlink>
      <w:r w:rsidRPr="00095E47">
        <w:rPr>
          <w:sz w:val="24"/>
          <w:szCs w:val="24"/>
        </w:rPr>
        <w:tab/>
        <w:t xml:space="preserve"> Definitions.</w:t>
      </w:r>
    </w:p>
    <w:p w:rsidR="00ED55E8" w:rsidRPr="00095E47" w:rsidRDefault="00ED55E8" w:rsidP="00025804">
      <w:pPr>
        <w:pStyle w:val="Heading2"/>
      </w:pPr>
      <w:r w:rsidRPr="00095E47">
        <w:t>SUBPART 2.1 – DEFINITIONS</w:t>
      </w:r>
    </w:p>
    <w:p w:rsidR="00ED55E8" w:rsidRPr="00095E47" w:rsidRDefault="00ED55E8" w:rsidP="002F7F8B">
      <w:pPr>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rsidR="00ED55E8" w:rsidRPr="00095E47" w:rsidRDefault="00ED55E8" w:rsidP="00084496">
      <w:pPr>
        <w:spacing w:after="240"/>
        <w:jc w:val="center"/>
        <w:rPr>
          <w:b/>
          <w:sz w:val="24"/>
          <w:szCs w:val="24"/>
        </w:rPr>
      </w:pPr>
      <w:r w:rsidRPr="00095E47">
        <w:rPr>
          <w:b/>
          <w:sz w:val="24"/>
          <w:szCs w:val="24"/>
        </w:rPr>
        <w:t>SUBPART 2.1 – DEFINITIONS</w:t>
      </w:r>
    </w:p>
    <w:p w:rsidR="00ED55E8" w:rsidRPr="00095E47" w:rsidRDefault="00ED55E8" w:rsidP="000247AC">
      <w:pPr>
        <w:pStyle w:val="Heading3"/>
        <w:rPr>
          <w:sz w:val="24"/>
          <w:szCs w:val="24"/>
        </w:rPr>
      </w:pPr>
      <w:bookmarkStart w:id="0" w:name="P2_101_"/>
      <w:bookmarkStart w:id="1" w:name="P2_101"/>
      <w:r w:rsidRPr="00095E47">
        <w:rPr>
          <w:sz w:val="24"/>
          <w:szCs w:val="24"/>
        </w:rPr>
        <w:t>2.101</w:t>
      </w:r>
      <w:bookmarkEnd w:id="0"/>
      <w:r w:rsidRPr="00095E47">
        <w:rPr>
          <w:sz w:val="24"/>
          <w:szCs w:val="24"/>
        </w:rPr>
        <w:t xml:space="preserve"> </w:t>
      </w:r>
      <w:bookmarkEnd w:id="1"/>
      <w:r w:rsidRPr="00095E47">
        <w:rPr>
          <w:sz w:val="24"/>
          <w:szCs w:val="24"/>
        </w:rPr>
        <w:t>Definitions.</w:t>
      </w:r>
    </w:p>
    <w:p w:rsidR="00ED55E8" w:rsidRPr="00095E47" w:rsidRDefault="00ED55E8" w:rsidP="003E1895">
      <w:pPr>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rsidR="00ED55E8" w:rsidRDefault="00ED55E8" w:rsidP="003E1895">
      <w:pPr>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rsidR="00ED55E8" w:rsidRDefault="00ED55E8" w:rsidP="003E1895">
      <w:pPr>
        <w:adjustRightInd w:val="0"/>
        <w:rPr>
          <w:sz w:val="23"/>
          <w:szCs w:val="23"/>
        </w:rPr>
      </w:pPr>
      <w:hyperlink r:id="rId5" w:history="1">
        <w:r>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Pr>
          <w:sz w:val="23"/>
          <w:szCs w:val="23"/>
        </w:rPr>
        <w:t xml:space="preserve"> </w:t>
      </w:r>
    </w:p>
    <w:p w:rsidR="00ED55E8" w:rsidRDefault="00ED55E8" w:rsidP="003E1895">
      <w:pPr>
        <w:adjustRightInd w:val="0"/>
        <w:rPr>
          <w:sz w:val="23"/>
          <w:szCs w:val="23"/>
        </w:rPr>
      </w:pPr>
      <w:r>
        <w:rPr>
          <w:sz w:val="23"/>
          <w:szCs w:val="23"/>
        </w:rPr>
        <w:t>(</w:t>
      </w:r>
      <w:hyperlink r:id="rId6"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rsidR="00ED55E8" w:rsidRPr="00424269" w:rsidRDefault="00ED55E8"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ED55E8" w:rsidRPr="00424269"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rsidR="00ED55E8" w:rsidRPr="00424269" w:rsidRDefault="00ED55E8" w:rsidP="001E7A8D">
            <w:pPr>
              <w:spacing w:before="100" w:beforeAutospacing="1" w:after="100" w:afterAutospacing="1"/>
              <w:rPr>
                <w:b/>
                <w:sz w:val="18"/>
                <w:szCs w:val="18"/>
              </w:rPr>
            </w:pPr>
            <w:r w:rsidRPr="00424269">
              <w:rPr>
                <w:b/>
                <w:sz w:val="18"/>
                <w:szCs w:val="18"/>
              </w:rPr>
              <w:t>Contracting</w:t>
            </w:r>
            <w:bookmarkStart w:id="2" w:name="ColumnTitle_Chiefs_of_Contracting_Office"/>
            <w:bookmarkEnd w:id="2"/>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b/>
                <w:sz w:val="18"/>
                <w:szCs w:val="18"/>
              </w:rPr>
            </w:pPr>
            <w:r w:rsidRPr="00424269">
              <w:rPr>
                <w:b/>
                <w:sz w:val="18"/>
                <w:szCs w:val="18"/>
              </w:rPr>
              <w:t>CCO</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and Deputy Director, Strategic Acquisition</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1E7A8D">
            <w:pPr>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DLA Contracting Services Office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Acquisition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Chief, Contracting Division</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of Contracting</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Director, Contracting</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r w:rsidRPr="00424269">
              <w:rPr>
                <w:sz w:val="18"/>
                <w:szCs w:val="18"/>
              </w:rPr>
              <w:t xml:space="preserve">Chief, Contingency Contracting Office </w:t>
            </w:r>
          </w:p>
        </w:tc>
      </w:tr>
    </w:tbl>
    <w:p w:rsidR="00ED55E8" w:rsidRPr="00F97851" w:rsidRDefault="00ED55E8" w:rsidP="00D83F2D">
      <w:pPr>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rsidR="00ED55E8" w:rsidRPr="00F97851" w:rsidRDefault="00ED55E8"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rsidR="00ED55E8" w:rsidRDefault="00ED55E8"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rsidR="00ED55E8" w:rsidRPr="00F97851" w:rsidRDefault="00ED55E8"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rsidR="00ED55E8" w:rsidRPr="00F97851" w:rsidRDefault="00ED55E8" w:rsidP="003963F4">
      <w:pPr>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rsidR="00ED55E8" w:rsidRPr="00F97851" w:rsidRDefault="00ED55E8" w:rsidP="003963F4">
      <w:pPr>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rsidR="00ED55E8" w:rsidRPr="00F97851" w:rsidRDefault="00ED55E8" w:rsidP="003E1895">
      <w:pPr>
        <w:tabs>
          <w:tab w:val="left" w:pos="3060"/>
        </w:tabs>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rsidR="00ED55E8" w:rsidRPr="00F97851" w:rsidRDefault="00ED55E8" w:rsidP="003E1895">
      <w:pPr>
        <w:tabs>
          <w:tab w:val="left" w:pos="3060"/>
        </w:tabs>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rsidR="00ED55E8" w:rsidRPr="00F97851" w:rsidRDefault="00ED55E8" w:rsidP="003E1895">
      <w:pPr>
        <w:tabs>
          <w:tab w:val="left" w:pos="3060"/>
        </w:tabs>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rsidR="00ED55E8" w:rsidRPr="00F97851" w:rsidRDefault="00ED55E8"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rsidR="00ED55E8" w:rsidRPr="00F97851" w:rsidRDefault="00ED55E8" w:rsidP="00930101">
      <w:pPr>
        <w:pStyle w:val="List2"/>
      </w:pPr>
      <w:r w:rsidRPr="00F97851">
        <w:rPr>
          <w:sz w:val="24"/>
          <w:szCs w:val="24"/>
        </w:rPr>
        <w:t>(1) Acquisitions subject to DoD Peer Review thresholds;</w:t>
      </w:r>
    </w:p>
    <w:p w:rsidR="00ED55E8" w:rsidRPr="00F97851" w:rsidRDefault="00ED55E8" w:rsidP="00930101">
      <w:pPr>
        <w:pStyle w:val="List2"/>
      </w:pPr>
      <w:r w:rsidRPr="00F97851">
        <w:rPr>
          <w:sz w:val="24"/>
          <w:szCs w:val="24"/>
        </w:rPr>
        <w:t>(2) Prime Vendor/Tailored Logistics Support;</w:t>
      </w:r>
    </w:p>
    <w:p w:rsidR="00ED55E8" w:rsidRPr="00F97851" w:rsidRDefault="00ED55E8" w:rsidP="00930101">
      <w:pPr>
        <w:pStyle w:val="List2"/>
      </w:pPr>
      <w:r w:rsidRPr="00F97851">
        <w:rPr>
          <w:sz w:val="24"/>
          <w:szCs w:val="24"/>
        </w:rPr>
        <w:t>(3) Performance-Based Logistics;</w:t>
      </w:r>
    </w:p>
    <w:p w:rsidR="00ED55E8" w:rsidRPr="00F97851" w:rsidRDefault="00ED55E8" w:rsidP="00930101">
      <w:pPr>
        <w:pStyle w:val="List2"/>
      </w:pPr>
      <w:r w:rsidRPr="00F97851">
        <w:rPr>
          <w:sz w:val="24"/>
          <w:szCs w:val="24"/>
        </w:rPr>
        <w:t>(4) Implementation of Captains of Industry recommendations and/or initiatives;</w:t>
      </w:r>
    </w:p>
    <w:p w:rsidR="00ED55E8" w:rsidRPr="00F97851" w:rsidRDefault="00ED55E8" w:rsidP="00930101">
      <w:pPr>
        <w:pStyle w:val="List2"/>
      </w:pPr>
      <w:r w:rsidRPr="00F97851">
        <w:rPr>
          <w:sz w:val="24"/>
          <w:szCs w:val="24"/>
        </w:rPr>
        <w:t>(5) Bridge contracts for existing Strategic Contracts;</w:t>
      </w:r>
    </w:p>
    <w:p w:rsidR="00ED55E8" w:rsidRPr="00F97851" w:rsidRDefault="00ED55E8" w:rsidP="00930101">
      <w:pPr>
        <w:pStyle w:val="List2"/>
      </w:pPr>
      <w:r w:rsidRPr="00F97851">
        <w:rPr>
          <w:sz w:val="24"/>
          <w:szCs w:val="24"/>
        </w:rPr>
        <w:t>(6) OCONUS acquisitions critical to current contingencies or major military operations;</w:t>
      </w:r>
    </w:p>
    <w:p w:rsidR="00ED55E8" w:rsidRPr="00F97851" w:rsidRDefault="00ED55E8" w:rsidP="00930101">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rsidR="00ED55E8" w:rsidRPr="00F97851" w:rsidRDefault="00ED55E8" w:rsidP="00930101">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rsidR="00ED55E8" w:rsidRPr="00F97851" w:rsidRDefault="00ED55E8" w:rsidP="00424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rsidR="00ED55E8" w:rsidRDefault="00ED55E8" w:rsidP="00AC64E0">
      <w:pPr>
        <w:sectPr w:rsidR="00ED55E8" w:rsidSect="00184D37">
          <w:type w:val="continuous"/>
          <w:pgSz w:w="12240" w:h="15840"/>
          <w:pgMar w:top="1440" w:right="1440" w:bottom="1440" w:left="1440" w:header="720" w:footer="720" w:gutter="0"/>
          <w:cols w:space="720"/>
          <w:docGrid w:linePitch="299"/>
        </w:sectPr>
      </w:pPr>
    </w:p>
    <w:p w:rsidR="00B927E1" w:rsidRDefault="00B927E1"/>
    <w:sectPr w:rsidR="00B9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E8"/>
    <w:rsid w:val="00B927E1"/>
    <w:rsid w:val="00ED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D55E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D55E8"/>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D55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D55E8"/>
    <w:rPr>
      <w:rFonts w:ascii="Times New Roman" w:eastAsia="Times New Roman" w:hAnsi="Times New Roman" w:cs="Times New Roman"/>
      <w:b/>
      <w:sz w:val="24"/>
    </w:rPr>
  </w:style>
  <w:style w:type="character" w:customStyle="1" w:styleId="Heading2Char">
    <w:name w:val="Heading 2 Char"/>
    <w:link w:val="Heading2"/>
    <w:rsid w:val="00ED55E8"/>
    <w:rPr>
      <w:rFonts w:ascii="Times New Roman" w:eastAsia="Times New Roman" w:hAnsi="Times New Roman" w:cs="Times New Roman"/>
      <w:b/>
      <w:sz w:val="24"/>
      <w:szCs w:val="24"/>
    </w:rPr>
  </w:style>
  <w:style w:type="character" w:customStyle="1" w:styleId="Heading3Char">
    <w:name w:val="Heading 3 Char"/>
    <w:link w:val="Heading3"/>
    <w:rsid w:val="00ED55E8"/>
    <w:rPr>
      <w:rFonts w:ascii="Times New Roman" w:eastAsia="Times New Roman" w:hAnsi="Times New Roman" w:cs="Times New Roman"/>
      <w:b/>
    </w:rPr>
  </w:style>
  <w:style w:type="character" w:styleId="Hyperlink">
    <w:name w:val="Hyperlink"/>
    <w:uiPriority w:val="99"/>
    <w:rsid w:val="00ED55E8"/>
    <w:rPr>
      <w:color w:val="0000FF"/>
      <w:u w:val="single"/>
    </w:rPr>
  </w:style>
  <w:style w:type="paragraph" w:styleId="List2">
    <w:name w:val="List 2"/>
    <w:basedOn w:val="Normal"/>
    <w:uiPriority w:val="99"/>
    <w:unhideWhenUsed/>
    <w:rsid w:val="00ED55E8"/>
    <w:pPr>
      <w:tabs>
        <w:tab w:val="left" w:pos="1080"/>
      </w:tabs>
      <w:spacing w:after="0" w:line="240" w:lineRule="auto"/>
      <w:ind w:left="360"/>
      <w:contextualSpacing/>
    </w:pPr>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D55E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D55E8"/>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D55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D55E8"/>
    <w:rPr>
      <w:rFonts w:ascii="Times New Roman" w:eastAsia="Times New Roman" w:hAnsi="Times New Roman" w:cs="Times New Roman"/>
      <w:b/>
      <w:sz w:val="24"/>
    </w:rPr>
  </w:style>
  <w:style w:type="character" w:customStyle="1" w:styleId="Heading2Char">
    <w:name w:val="Heading 2 Char"/>
    <w:link w:val="Heading2"/>
    <w:rsid w:val="00ED55E8"/>
    <w:rPr>
      <w:rFonts w:ascii="Times New Roman" w:eastAsia="Times New Roman" w:hAnsi="Times New Roman" w:cs="Times New Roman"/>
      <w:b/>
      <w:sz w:val="24"/>
      <w:szCs w:val="24"/>
    </w:rPr>
  </w:style>
  <w:style w:type="character" w:customStyle="1" w:styleId="Heading3Char">
    <w:name w:val="Heading 3 Char"/>
    <w:link w:val="Heading3"/>
    <w:rsid w:val="00ED55E8"/>
    <w:rPr>
      <w:rFonts w:ascii="Times New Roman" w:eastAsia="Times New Roman" w:hAnsi="Times New Roman" w:cs="Times New Roman"/>
      <w:b/>
    </w:rPr>
  </w:style>
  <w:style w:type="character" w:styleId="Hyperlink">
    <w:name w:val="Hyperlink"/>
    <w:uiPriority w:val="99"/>
    <w:rsid w:val="00ED55E8"/>
    <w:rPr>
      <w:color w:val="0000FF"/>
      <w:u w:val="single"/>
    </w:rPr>
  </w:style>
  <w:style w:type="paragraph" w:styleId="List2">
    <w:name w:val="List 2"/>
    <w:basedOn w:val="Normal"/>
    <w:uiPriority w:val="99"/>
    <w:unhideWhenUsed/>
    <w:rsid w:val="00ED55E8"/>
    <w:pPr>
      <w:tabs>
        <w:tab w:val="left" w:pos="1080"/>
      </w:tabs>
      <w:spacing w:after="0" w:line="240" w:lineRule="auto"/>
      <w:ind w:left="360"/>
      <w:contextualSpacing/>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1637</Words>
  <Characters>9331</Characters>
  <Application>Microsoft Office Word</Application>
  <DocSecurity>0</DocSecurity>
  <Lines>77</Lines>
  <Paragraphs>21</Paragraphs>
  <ScaleCrop>false</ScaleCrop>
  <Company>General Services Administration</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