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11" w:rsidRPr="00475AD9" w:rsidRDefault="005D0211" w:rsidP="004B1CDB">
      <w:pPr>
        <w:pStyle w:val="Heading1"/>
        <w:rPr>
          <w:szCs w:val="24"/>
        </w:rPr>
      </w:pPr>
      <w:r w:rsidRPr="00475AD9">
        <w:rPr>
          <w:szCs w:val="24"/>
        </w:rPr>
        <w:t>PART 6 – COMPETITION REQUIREMENTS</w:t>
      </w:r>
    </w:p>
    <w:p w:rsidR="005D0211" w:rsidRPr="00F035EB" w:rsidRDefault="005D0211" w:rsidP="0067783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5D0211" w:rsidRPr="00F035EB" w:rsidRDefault="005D0211" w:rsidP="005A2AD2">
      <w:pPr>
        <w:jc w:val="center"/>
        <w:rPr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5D0211" w:rsidRPr="00F035EB" w:rsidRDefault="005D0211" w:rsidP="001976F4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6.2 – FULL AND OPEN COMPETITION AFTER EXCLUSION OF SOURCES</w:t>
      </w:r>
    </w:p>
    <w:p w:rsidR="005D0211" w:rsidRPr="00F035EB" w:rsidRDefault="005D0211" w:rsidP="001976F4">
      <w:pPr>
        <w:rPr>
          <w:sz w:val="24"/>
          <w:szCs w:val="24"/>
        </w:rPr>
      </w:pPr>
      <w:hyperlink w:anchor="P6_202" w:history="1">
        <w:r w:rsidRPr="00F035EB">
          <w:rPr>
            <w:sz w:val="24"/>
            <w:szCs w:val="24"/>
          </w:rPr>
          <w:t>6.202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Establishing or maintaining alternative sources.</w:t>
      </w:r>
    </w:p>
    <w:p w:rsidR="005D0211" w:rsidRPr="00F035EB" w:rsidRDefault="005D0211" w:rsidP="001976F4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6.3 – OTHER THAN FULL AND OPEN COMPETITION</w:t>
      </w:r>
    </w:p>
    <w:p w:rsidR="005D0211" w:rsidRPr="00F035EB" w:rsidRDefault="005D0211" w:rsidP="001976F4">
      <w:pPr>
        <w:rPr>
          <w:sz w:val="24"/>
          <w:szCs w:val="24"/>
        </w:rPr>
      </w:pPr>
      <w:hyperlink w:anchor="P6_303" w:history="1">
        <w:r w:rsidRPr="00F035EB">
          <w:rPr>
            <w:sz w:val="24"/>
            <w:szCs w:val="24"/>
          </w:rPr>
          <w:t>6.303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Justifications.</w:t>
      </w:r>
    </w:p>
    <w:p w:rsidR="005D0211" w:rsidRPr="00F035EB" w:rsidRDefault="005D0211" w:rsidP="001976F4">
      <w:pPr>
        <w:tabs>
          <w:tab w:val="left" w:pos="900"/>
        </w:tabs>
        <w:rPr>
          <w:sz w:val="24"/>
          <w:szCs w:val="24"/>
        </w:rPr>
      </w:pPr>
      <w:hyperlink w:anchor="P6_303_2" w:history="1">
        <w:r w:rsidRPr="00F035EB">
          <w:rPr>
            <w:sz w:val="24"/>
            <w:szCs w:val="24"/>
          </w:rPr>
          <w:t>6.303</w:t>
        </w:r>
        <w:r w:rsidRPr="00F035EB">
          <w:rPr>
            <w:sz w:val="24"/>
            <w:szCs w:val="24"/>
          </w:rPr>
          <w:noBreakHyphen/>
          <w:t>2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  <w:t>Content.</w:t>
      </w:r>
    </w:p>
    <w:p w:rsidR="005D0211" w:rsidRPr="00F035EB" w:rsidRDefault="005D0211" w:rsidP="001976F4">
      <w:pPr>
        <w:rPr>
          <w:sz w:val="24"/>
          <w:szCs w:val="24"/>
        </w:rPr>
      </w:pPr>
      <w:hyperlink w:anchor="P6_305" w:history="1">
        <w:r w:rsidRPr="00F035EB">
          <w:rPr>
            <w:sz w:val="24"/>
            <w:szCs w:val="24"/>
          </w:rPr>
          <w:t>6.305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Availability of the justification.</w:t>
      </w:r>
    </w:p>
    <w:p w:rsidR="005D0211" w:rsidRPr="00F035EB" w:rsidRDefault="005D0211" w:rsidP="001976F4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hyperlink w:anchor="P6_305_90" w:history="1">
        <w:r w:rsidRPr="00F035EB">
          <w:rPr>
            <w:rStyle w:val="Hyperlink"/>
            <w:rFonts w:ascii="Times New Roman" w:hAnsi="Times New Roman"/>
            <w:snapToGrid w:val="0"/>
            <w:sz w:val="24"/>
            <w:szCs w:val="24"/>
          </w:rPr>
          <w:t>6.305-90</w:t>
        </w:r>
      </w:hyperlink>
      <w:r w:rsidRPr="00F035EB">
        <w:rPr>
          <w:rFonts w:ascii="Times New Roman" w:hAnsi="Times New Roman"/>
          <w:snapToGrid w:val="0"/>
          <w:sz w:val="24"/>
          <w:szCs w:val="24"/>
        </w:rPr>
        <w:tab/>
        <w:t>Oversight program.</w:t>
      </w:r>
    </w:p>
    <w:p w:rsidR="005D0211" w:rsidRPr="00F035EB" w:rsidRDefault="005D0211" w:rsidP="001976F4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6.5 –ADVOCATES for COMPETITION</w:t>
      </w:r>
    </w:p>
    <w:p w:rsidR="005D0211" w:rsidRPr="00F035EB" w:rsidRDefault="005D0211" w:rsidP="001976F4">
      <w:pPr>
        <w:rPr>
          <w:sz w:val="24"/>
          <w:szCs w:val="24"/>
        </w:rPr>
      </w:pPr>
      <w:hyperlink w:anchor="P6_501" w:history="1">
        <w:r w:rsidRPr="00F035EB">
          <w:rPr>
            <w:sz w:val="24"/>
            <w:szCs w:val="24"/>
          </w:rPr>
          <w:t>6.501</w:t>
        </w:r>
      </w:hyperlink>
      <w:r w:rsidRPr="00F035EB">
        <w:rPr>
          <w:sz w:val="24"/>
          <w:szCs w:val="24"/>
        </w:rPr>
        <w:tab/>
      </w:r>
      <w:r w:rsidRPr="00F035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35EB">
        <w:rPr>
          <w:sz w:val="24"/>
          <w:szCs w:val="24"/>
        </w:rPr>
        <w:t>Requirement.</w:t>
      </w:r>
    </w:p>
    <w:p w:rsidR="005D0211" w:rsidRPr="00F035EB" w:rsidRDefault="005D0211" w:rsidP="00F035EB">
      <w:pPr>
        <w:spacing w:after="240"/>
        <w:rPr>
          <w:rFonts w:eastAsia="Calibri"/>
          <w:sz w:val="24"/>
          <w:szCs w:val="24"/>
        </w:rPr>
      </w:pPr>
      <w:hyperlink w:anchor="P6_503" w:history="1">
        <w:r w:rsidRPr="00853CEC">
          <w:rPr>
            <w:rStyle w:val="Hyperlink"/>
            <w:rFonts w:eastAsia="Calibri"/>
            <w:sz w:val="24"/>
            <w:szCs w:val="24"/>
          </w:rPr>
          <w:t>6.503</w:t>
        </w:r>
      </w:hyperlink>
      <w:r w:rsidRPr="00F035EB">
        <w:rPr>
          <w:rFonts w:eastAsia="Calibri"/>
          <w:sz w:val="24"/>
          <w:szCs w:val="24"/>
        </w:rPr>
        <w:tab/>
      </w:r>
      <w:r w:rsidRPr="00F035EB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Pr="00F035EB">
        <w:rPr>
          <w:rFonts w:eastAsia="Calibri"/>
          <w:sz w:val="24"/>
          <w:szCs w:val="24"/>
        </w:rPr>
        <w:t>Annual reporting requirements.</w:t>
      </w:r>
    </w:p>
    <w:p w:rsidR="005D0211" w:rsidRPr="00F035EB" w:rsidRDefault="005D0211" w:rsidP="004B1CDB">
      <w:pPr>
        <w:pStyle w:val="Heading2"/>
      </w:pPr>
      <w:r w:rsidRPr="00F035EB">
        <w:t>SUBPART 6.2 – FULL AND OPEN COMPETITION AFTER EXCLUSION OF SOURCES</w:t>
      </w:r>
    </w:p>
    <w:p w:rsidR="005D0211" w:rsidRPr="00F035EB" w:rsidRDefault="005D0211" w:rsidP="00F035EB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5D0211" w:rsidRPr="00775E78" w:rsidRDefault="005D0211" w:rsidP="00775E78">
      <w:pPr>
        <w:pStyle w:val="Heading3"/>
        <w:rPr>
          <w:strike/>
          <w:sz w:val="24"/>
          <w:szCs w:val="24"/>
        </w:rPr>
      </w:pPr>
      <w:bookmarkStart w:id="0" w:name="P6_202"/>
      <w:r w:rsidRPr="00775E78">
        <w:rPr>
          <w:sz w:val="24"/>
          <w:szCs w:val="24"/>
        </w:rPr>
        <w:t xml:space="preserve">6.202 </w:t>
      </w:r>
      <w:bookmarkEnd w:id="0"/>
      <w:r w:rsidRPr="00775E78">
        <w:rPr>
          <w:sz w:val="24"/>
          <w:szCs w:val="24"/>
        </w:rPr>
        <w:t>Establishing or maintaining alternative sources.</w:t>
      </w:r>
    </w:p>
    <w:p w:rsidR="005D0211" w:rsidRPr="00F035EB" w:rsidRDefault="005D0211" w:rsidP="00930101">
      <w:pPr>
        <w:pStyle w:val="List1"/>
        <w:rPr>
          <w:lang w:val="en"/>
        </w:rPr>
      </w:pPr>
      <w:r w:rsidRPr="00F035EB">
        <w:rPr>
          <w:snapToGrid w:val="0"/>
          <w:szCs w:val="24"/>
        </w:rPr>
        <w:t>(b)(1)</w:t>
      </w:r>
      <w:r w:rsidRPr="00F035EB">
        <w:rPr>
          <w:szCs w:val="24"/>
          <w:lang w:val="en"/>
        </w:rPr>
        <w:t xml:space="preserve"> By memorandum dated July 30, 2015, the DLA Acquisition Director has delegated approval and signature authority to the HCAs for the determination and findings required to exclude a source under FAR 6.202(b)(1) for procurements within their contracting activity. This authority may not be further delegated.</w:t>
      </w:r>
    </w:p>
    <w:p w:rsidR="005D0211" w:rsidRPr="00F035EB" w:rsidRDefault="005D0211" w:rsidP="004B1CDB">
      <w:pPr>
        <w:pStyle w:val="Heading2"/>
      </w:pPr>
      <w:r w:rsidRPr="00F035EB">
        <w:t>SUBPART 6.3 – OTHER THAN FULL AND OPEN COMPETITION</w:t>
      </w:r>
    </w:p>
    <w:p w:rsidR="005D0211" w:rsidRPr="00F035EB" w:rsidRDefault="005D0211" w:rsidP="00F035EB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5D0211" w:rsidRPr="00775E78" w:rsidRDefault="005D0211" w:rsidP="00775E78">
      <w:pPr>
        <w:pStyle w:val="Heading3"/>
        <w:spacing w:after="240"/>
        <w:rPr>
          <w:sz w:val="24"/>
          <w:szCs w:val="24"/>
        </w:rPr>
      </w:pPr>
      <w:bookmarkStart w:id="1" w:name="P6_303"/>
      <w:r w:rsidRPr="00775E78">
        <w:rPr>
          <w:sz w:val="24"/>
          <w:szCs w:val="24"/>
        </w:rPr>
        <w:t>6.303</w:t>
      </w:r>
      <w:bookmarkEnd w:id="1"/>
      <w:r w:rsidRPr="00775E78">
        <w:rPr>
          <w:sz w:val="24"/>
          <w:szCs w:val="24"/>
        </w:rPr>
        <w:t xml:space="preserve"> Justifications.</w:t>
      </w:r>
    </w:p>
    <w:p w:rsidR="005D0211" w:rsidRPr="004610D7" w:rsidRDefault="005D0211" w:rsidP="004610D7">
      <w:pPr>
        <w:pStyle w:val="Heading3"/>
      </w:pPr>
      <w:bookmarkStart w:id="2" w:name="P6_303_2"/>
      <w:r>
        <w:t>6.303-2 Content</w:t>
      </w:r>
      <w:bookmarkEnd w:id="2"/>
      <w:r w:rsidRPr="004610D7">
        <w:t>.</w:t>
      </w:r>
    </w:p>
    <w:p w:rsidR="005D0211" w:rsidRPr="00F035EB" w:rsidRDefault="005D0211" w:rsidP="00F035EB">
      <w:pPr>
        <w:pStyle w:val="Default"/>
        <w:spacing w:after="240"/>
        <w:rPr>
          <w:rFonts w:ascii="Times New Roman" w:hAnsi="Times New Roman" w:cs="Times New Roman"/>
          <w:highlight w:val="yellow"/>
        </w:rPr>
      </w:pPr>
      <w:r w:rsidRPr="00F035EB">
        <w:rPr>
          <w:rFonts w:ascii="Times New Roman" w:hAnsi="Times New Roman" w:cs="Times New Roman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w:p w:rsidR="005D0211" w:rsidRPr="00775E78" w:rsidRDefault="005D0211" w:rsidP="00775E78">
      <w:pPr>
        <w:pStyle w:val="Heading3"/>
        <w:spacing w:after="240"/>
        <w:rPr>
          <w:sz w:val="24"/>
          <w:szCs w:val="24"/>
        </w:rPr>
      </w:pPr>
      <w:bookmarkStart w:id="3" w:name="P6_305"/>
      <w:r w:rsidRPr="00775E78">
        <w:rPr>
          <w:sz w:val="24"/>
          <w:szCs w:val="24"/>
        </w:rPr>
        <w:t xml:space="preserve">6.305 </w:t>
      </w:r>
      <w:bookmarkEnd w:id="3"/>
      <w:r w:rsidRPr="00775E78">
        <w:rPr>
          <w:sz w:val="24"/>
          <w:szCs w:val="24"/>
        </w:rPr>
        <w:t>Availability of the justification.</w:t>
      </w:r>
    </w:p>
    <w:p w:rsidR="005D0211" w:rsidRPr="002B627D" w:rsidRDefault="005D0211" w:rsidP="002B627D">
      <w:pPr>
        <w:pStyle w:val="Heading3"/>
        <w:rPr>
          <w:snapToGrid w:val="0"/>
          <w:sz w:val="24"/>
          <w:szCs w:val="24"/>
        </w:rPr>
      </w:pPr>
      <w:bookmarkStart w:id="4" w:name="P6_305_90"/>
      <w:r w:rsidRPr="002B627D">
        <w:rPr>
          <w:snapToGrid w:val="0"/>
          <w:sz w:val="24"/>
          <w:szCs w:val="24"/>
        </w:rPr>
        <w:t xml:space="preserve">6.305-90 </w:t>
      </w:r>
      <w:bookmarkEnd w:id="4"/>
      <w:r w:rsidRPr="002B627D">
        <w:rPr>
          <w:snapToGrid w:val="0"/>
          <w:sz w:val="24"/>
          <w:szCs w:val="24"/>
        </w:rPr>
        <w:t>Oversight program.</w:t>
      </w:r>
    </w:p>
    <w:p w:rsidR="005D0211" w:rsidRPr="00F035EB" w:rsidRDefault="005D0211" w:rsidP="001976F4">
      <w:pPr>
        <w:pStyle w:val="NoSpacing"/>
        <w:rPr>
          <w:rFonts w:ascii="Times New Roman" w:hAnsi="Times New Roman"/>
          <w:snapToGrid w:val="0"/>
          <w:sz w:val="24"/>
          <w:szCs w:val="24"/>
        </w:rPr>
      </w:pPr>
      <w:r w:rsidRPr="00F035EB">
        <w:rPr>
          <w:rFonts w:ascii="Times New Roman" w:hAnsi="Times New Roman"/>
          <w:snapToGrid w:val="0"/>
          <w:sz w:val="24"/>
          <w:szCs w:val="24"/>
        </w:rPr>
        <w:t xml:space="preserve">The oversight required by </w:t>
      </w:r>
      <w:r w:rsidRPr="00F035EB">
        <w:rPr>
          <w:rFonts w:ascii="Times New Roman" w:hAnsi="Times New Roman"/>
          <w:sz w:val="24"/>
          <w:szCs w:val="24"/>
        </w:rPr>
        <w:t xml:space="preserve">Defense Pricing and Contracting (DPC) </w:t>
      </w:r>
      <w:r w:rsidRPr="00F035EB">
        <w:rPr>
          <w:rFonts w:ascii="Times New Roman" w:hAnsi="Times New Roman"/>
          <w:snapToGrid w:val="0"/>
          <w:sz w:val="24"/>
          <w:szCs w:val="24"/>
        </w:rPr>
        <w:t>in response to GAO report GAO-14-304, “Federal Contracting: Noncompetitive Contracts Based on Urgency Need Additional Oversight” dated March 26, 2014, is:</w:t>
      </w:r>
    </w:p>
    <w:p w:rsidR="005D0211" w:rsidRPr="00F035EB" w:rsidRDefault="005D0211" w:rsidP="00930101">
      <w:pPr>
        <w:pStyle w:val="List1"/>
      </w:pPr>
      <w:r w:rsidRPr="00F035EB">
        <w:rPr>
          <w:snapToGrid w:val="0"/>
          <w:szCs w:val="24"/>
        </w:rPr>
        <w:t>(a) HCAs shall m</w:t>
      </w:r>
      <w:r w:rsidRPr="00F035EB">
        <w:rPr>
          <w:szCs w:val="24"/>
        </w:rPr>
        <w:t>onitor FPDS-NG data monthly for compliance with justification and approval (J&amp;A) signature requirements and posting timelines for awards using the unusual and compelling urgency exception. The FPDS-NG data elements Extent Competed and Reason Not Competed and the FPDS code URG will be used in reporting.</w:t>
      </w:r>
    </w:p>
    <w:p w:rsidR="005D0211" w:rsidRPr="003E7F23" w:rsidRDefault="005D0211" w:rsidP="00930101">
      <w:pPr>
        <w:pStyle w:val="List1"/>
      </w:pPr>
      <w:r w:rsidRPr="003E7F23">
        <w:rPr>
          <w:szCs w:val="24"/>
        </w:rPr>
        <w:t xml:space="preserve">(b) HCAs shall compile a quarterly report of the results of the monthly data collected as required in 6.305-90(a). Reports shall be submitted to the DLA Acquisition </w:t>
      </w:r>
      <w:r w:rsidRPr="003E7F23">
        <w:rPr>
          <w:bCs/>
          <w:szCs w:val="24"/>
        </w:rPr>
        <w:t>Operations</w:t>
      </w:r>
    </w:p>
    <w:p w:rsidR="005D0211" w:rsidRPr="003E7F23" w:rsidRDefault="005D0211" w:rsidP="00677838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3E7F23">
        <w:rPr>
          <w:rFonts w:ascii="Times New Roman" w:hAnsi="Times New Roman"/>
          <w:sz w:val="24"/>
          <w:szCs w:val="24"/>
        </w:rPr>
        <w:t>Division by the 5</w:t>
      </w:r>
      <w:r w:rsidRPr="003E7F23">
        <w:rPr>
          <w:rFonts w:ascii="Times New Roman" w:hAnsi="Times New Roman"/>
          <w:sz w:val="24"/>
          <w:szCs w:val="24"/>
          <w:vertAlign w:val="superscript"/>
        </w:rPr>
        <w:t>th</w:t>
      </w:r>
      <w:r w:rsidRPr="003E7F23">
        <w:rPr>
          <w:rFonts w:ascii="Times New Roman" w:hAnsi="Times New Roman"/>
          <w:sz w:val="24"/>
          <w:szCs w:val="24"/>
        </w:rPr>
        <w:t xml:space="preserve"> working day after the end of the quarter. The </w:t>
      </w:r>
      <w:r w:rsidRPr="003E7F23">
        <w:rPr>
          <w:rFonts w:ascii="Times New Roman" w:eastAsia="Times New Roman" w:hAnsi="Times New Roman"/>
          <w:sz w:val="24"/>
          <w:szCs w:val="24"/>
        </w:rPr>
        <w:t>report must include the following information:</w:t>
      </w:r>
    </w:p>
    <w:p w:rsidR="005D0211" w:rsidRPr="00F035EB" w:rsidRDefault="005D0211" w:rsidP="00930101">
      <w:pPr>
        <w:pStyle w:val="List2"/>
      </w:pPr>
      <w:r w:rsidRPr="00F035EB">
        <w:rPr>
          <w:rFonts w:eastAsia="Times New Roman"/>
          <w:sz w:val="24"/>
          <w:szCs w:val="24"/>
        </w:rPr>
        <w:t>(1) FPDS-NG data elements: Solicitation number, contract number, original contract award dollarvalue (excluding options), award date, modification number, modification’s dollar value increase, and award date;</w:t>
      </w:r>
    </w:p>
    <w:p w:rsidR="005D0211" w:rsidRPr="00F035EB" w:rsidRDefault="005D0211" w:rsidP="00930101">
      <w:pPr>
        <w:pStyle w:val="List2"/>
      </w:pPr>
      <w:r w:rsidRPr="00F035EB">
        <w:rPr>
          <w:rFonts w:eastAsia="Times New Roman"/>
          <w:sz w:val="24"/>
          <w:szCs w:val="24"/>
        </w:rPr>
        <w:t>(2) Period of performance/estimated completion date; J&amp;A approval authority’s name, title, and signature date; and J&amp;A posting date.</w:t>
      </w:r>
    </w:p>
    <w:p w:rsidR="005D0211" w:rsidRPr="00F035EB" w:rsidRDefault="005D0211" w:rsidP="00930101">
      <w:pPr>
        <w:pStyle w:val="List2"/>
      </w:pPr>
      <w:r w:rsidRPr="00F035EB">
        <w:rPr>
          <w:rFonts w:eastAsia="Times New Roman"/>
          <w:sz w:val="24"/>
          <w:szCs w:val="24"/>
        </w:rPr>
        <w:t>(3) Identification of all contract actions not in compliance with required J&amp;A approval levels and posting timeframes and corrective action.</w:t>
      </w:r>
    </w:p>
    <w:p w:rsidR="005D0211" w:rsidRPr="00F035EB" w:rsidRDefault="005D0211" w:rsidP="00930101">
      <w:pPr>
        <w:pStyle w:val="List1"/>
      </w:pPr>
      <w:r w:rsidRPr="00F035EB">
        <w:rPr>
          <w:rFonts w:eastAsia="Times New Roman"/>
          <w:szCs w:val="24"/>
        </w:rPr>
        <w:t xml:space="preserve">(c) The </w:t>
      </w:r>
      <w:r w:rsidRPr="00F035EB">
        <w:rPr>
          <w:szCs w:val="24"/>
        </w:rPr>
        <w:t xml:space="preserve">DLA Acquisition </w:t>
      </w:r>
      <w:r>
        <w:rPr>
          <w:szCs w:val="24"/>
        </w:rPr>
        <w:t>Operations</w:t>
      </w:r>
      <w:r w:rsidRPr="00F035EB">
        <w:rPr>
          <w:szCs w:val="24"/>
        </w:rPr>
        <w:t xml:space="preserve"> Division</w:t>
      </w:r>
      <w:r w:rsidRPr="00F035EB">
        <w:rPr>
          <w:rFonts w:eastAsia="Times New Roman"/>
          <w:szCs w:val="24"/>
        </w:rPr>
        <w:t xml:space="preserve"> will prepare an enterprise summary for the DLA Acquisition Director by the 10</w:t>
      </w:r>
      <w:r w:rsidRPr="00F035EB">
        <w:rPr>
          <w:rFonts w:eastAsia="Times New Roman"/>
          <w:szCs w:val="24"/>
          <w:vertAlign w:val="superscript"/>
        </w:rPr>
        <w:t>th</w:t>
      </w:r>
      <w:r w:rsidRPr="00F035EB">
        <w:rPr>
          <w:rFonts w:eastAsia="Times New Roman"/>
          <w:szCs w:val="24"/>
        </w:rPr>
        <w:t xml:space="preserve"> working day after the end of the quarter.</w:t>
      </w:r>
    </w:p>
    <w:p w:rsidR="005D0211" w:rsidRPr="00F035EB" w:rsidRDefault="005D0211" w:rsidP="004B1CDB">
      <w:pPr>
        <w:pStyle w:val="Heading2"/>
      </w:pPr>
      <w:r w:rsidRPr="00F035EB">
        <w:t>SUBPART 6.5 –ADVOCATES FOR COMPETITION</w:t>
      </w:r>
    </w:p>
    <w:p w:rsidR="005D0211" w:rsidRPr="00F035EB" w:rsidRDefault="005D0211" w:rsidP="00F035EB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October 24, 2016 through PROCLTR 2016-10)</w:t>
      </w:r>
    </w:p>
    <w:p w:rsidR="005D0211" w:rsidRPr="002B627D" w:rsidRDefault="005D0211" w:rsidP="002B627D">
      <w:pPr>
        <w:pStyle w:val="Heading3"/>
        <w:rPr>
          <w:sz w:val="24"/>
          <w:szCs w:val="24"/>
        </w:rPr>
      </w:pPr>
      <w:bookmarkStart w:id="5" w:name="P6_501"/>
      <w:bookmarkStart w:id="6" w:name="P6_502"/>
      <w:r w:rsidRPr="002B627D">
        <w:rPr>
          <w:sz w:val="24"/>
          <w:szCs w:val="24"/>
        </w:rPr>
        <w:t>6.501 Requirement.</w:t>
      </w:r>
    </w:p>
    <w:p w:rsidR="005D0211" w:rsidRPr="00F035EB" w:rsidRDefault="005D0211" w:rsidP="00930101">
      <w:pPr>
        <w:pStyle w:val="List2"/>
        <w:rPr>
          <w:snapToGrid w:val="0"/>
        </w:rPr>
      </w:pPr>
      <w:r w:rsidRPr="00F035EB">
        <w:rPr>
          <w:snapToGrid w:val="0"/>
          <w:sz w:val="24"/>
          <w:szCs w:val="24"/>
        </w:rPr>
        <w:t>(1)</w:t>
      </w:r>
      <w:r w:rsidRPr="00F035EB">
        <w:rPr>
          <w:b/>
          <w:snapToGrid w:val="0"/>
          <w:sz w:val="24"/>
          <w:szCs w:val="24"/>
        </w:rPr>
        <w:t xml:space="preserve"> </w:t>
      </w:r>
      <w:r w:rsidRPr="00F035EB">
        <w:rPr>
          <w:snapToGrid w:val="0"/>
          <w:sz w:val="24"/>
          <w:szCs w:val="24"/>
        </w:rPr>
        <w:t>The DLA Acquisition Deputy Director is the Agency Competition Advocate.</w:t>
      </w:r>
    </w:p>
    <w:p w:rsidR="005D0211" w:rsidRPr="00F035EB" w:rsidRDefault="005D0211" w:rsidP="00930101">
      <w:pPr>
        <w:pStyle w:val="List2"/>
        <w:rPr>
          <w:snapToGrid w:val="0"/>
          <w:lang w:val="en"/>
        </w:rPr>
      </w:pPr>
      <w:r w:rsidRPr="00F035EB">
        <w:rPr>
          <w:bCs/>
          <w:snapToGrid w:val="0"/>
          <w:sz w:val="24"/>
          <w:szCs w:val="24"/>
          <w:lang w:val="en"/>
        </w:rPr>
        <w:t>(2) The HCAs shall appoint competition advocates and alternates.</w:t>
      </w:r>
    </w:p>
    <w:p w:rsidR="005D0211" w:rsidRPr="002B627D" w:rsidRDefault="005D0211" w:rsidP="002B627D">
      <w:pPr>
        <w:pStyle w:val="Heading3"/>
        <w:rPr>
          <w:rFonts w:eastAsia="Calibri"/>
          <w:sz w:val="24"/>
          <w:szCs w:val="24"/>
        </w:rPr>
      </w:pPr>
      <w:bookmarkStart w:id="7" w:name="P6_503"/>
      <w:bookmarkEnd w:id="5"/>
      <w:bookmarkEnd w:id="6"/>
      <w:r w:rsidRPr="002B627D">
        <w:rPr>
          <w:rFonts w:eastAsia="Calibri"/>
          <w:sz w:val="24"/>
          <w:szCs w:val="24"/>
        </w:rPr>
        <w:t xml:space="preserve">6.503 </w:t>
      </w:r>
      <w:bookmarkEnd w:id="7"/>
      <w:r w:rsidRPr="002B627D">
        <w:rPr>
          <w:rFonts w:eastAsia="Calibri"/>
          <w:sz w:val="24"/>
          <w:szCs w:val="24"/>
        </w:rPr>
        <w:t>Annual reporting requirements.</w:t>
      </w:r>
    </w:p>
    <w:p w:rsidR="005D0211" w:rsidRPr="00F035EB" w:rsidRDefault="005D0211" w:rsidP="00930101">
      <w:pPr>
        <w:pStyle w:val="List1"/>
      </w:pPr>
      <w:r w:rsidRPr="00F035EB">
        <w:rPr>
          <w:szCs w:val="24"/>
        </w:rPr>
        <w:t xml:space="preserve">(b)(2) Procuring organization competition advocates shall submit their annual competition report to the DLA Acquisition </w:t>
      </w:r>
      <w:r>
        <w:rPr>
          <w:szCs w:val="24"/>
        </w:rPr>
        <w:t xml:space="preserve">Operations Division </w:t>
      </w:r>
      <w:r w:rsidRPr="00F035EB">
        <w:rPr>
          <w:szCs w:val="24"/>
        </w:rPr>
        <w:t>by 15 November each year.</w:t>
      </w:r>
    </w:p>
    <w:p w:rsidR="005D0211" w:rsidRPr="00151B03" w:rsidRDefault="005D0211" w:rsidP="00624733"/>
    <w:p w:rsidR="005D0211" w:rsidRDefault="005D0211">
      <w:pPr>
        <w:rPr>
          <w:b/>
        </w:rPr>
        <w:sectPr w:rsidR="005D0211" w:rsidSect="00184D37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16284E" w:rsidRDefault="0016284E"/>
    <w:sectPr w:rsidR="0016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11"/>
    <w:rsid w:val="0016284E"/>
    <w:rsid w:val="005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D0211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5D0211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D021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D0211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5D021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5D0211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5D0211"/>
    <w:rPr>
      <w:color w:val="0000FF"/>
      <w:u w:val="single"/>
    </w:rPr>
  </w:style>
  <w:style w:type="paragraph" w:customStyle="1" w:styleId="Default">
    <w:name w:val="Default"/>
    <w:rsid w:val="005D021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5D0211"/>
    <w:pPr>
      <w:spacing w:after="0" w:line="240" w:lineRule="auto"/>
    </w:pPr>
    <w:rPr>
      <w:rFonts w:ascii="Calibri" w:eastAsia="Calibri" w:hAnsi="Calibri" w:cs="Times New Roman"/>
    </w:rPr>
  </w:style>
  <w:style w:type="paragraph" w:styleId="List2">
    <w:name w:val="List 2"/>
    <w:basedOn w:val="Normal"/>
    <w:uiPriority w:val="99"/>
    <w:unhideWhenUsed/>
    <w:rsid w:val="005D0211"/>
    <w:pPr>
      <w:tabs>
        <w:tab w:val="left" w:pos="1080"/>
      </w:tabs>
      <w:spacing w:after="0" w:line="240" w:lineRule="auto"/>
      <w:ind w:left="360"/>
      <w:contextualSpacing/>
    </w:pPr>
    <w:rPr>
      <w:rFonts w:ascii="Times New Roman" w:eastAsia="Calibri" w:hAnsi="Times New Roman" w:cs="Times New Roman"/>
    </w:rPr>
  </w:style>
  <w:style w:type="paragraph" w:customStyle="1" w:styleId="List1">
    <w:name w:val="List 1"/>
    <w:basedOn w:val="List"/>
    <w:link w:val="List1Char"/>
    <w:rsid w:val="005D0211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5D0211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5D0211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D0211"/>
    <w:pPr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</w:rPr>
  </w:style>
  <w:style w:type="paragraph" w:styleId="Heading2">
    <w:name w:val="heading 2"/>
    <w:basedOn w:val="Normal"/>
    <w:next w:val="Heading1"/>
    <w:link w:val="Heading2Char"/>
    <w:qFormat/>
    <w:rsid w:val="005D0211"/>
    <w:pPr>
      <w:autoSpaceDE w:val="0"/>
      <w:autoSpaceDN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D021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5D0211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link w:val="Heading2"/>
    <w:rsid w:val="005D021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link w:val="Heading3"/>
    <w:rsid w:val="005D0211"/>
    <w:rPr>
      <w:rFonts w:ascii="Times New Roman" w:eastAsia="Times New Roman" w:hAnsi="Times New Roman" w:cs="Times New Roman"/>
      <w:b/>
    </w:rPr>
  </w:style>
  <w:style w:type="character" w:styleId="Hyperlink">
    <w:name w:val="Hyperlink"/>
    <w:uiPriority w:val="99"/>
    <w:rsid w:val="005D0211"/>
    <w:rPr>
      <w:color w:val="0000FF"/>
      <w:u w:val="single"/>
    </w:rPr>
  </w:style>
  <w:style w:type="paragraph" w:customStyle="1" w:styleId="Default">
    <w:name w:val="Default"/>
    <w:rsid w:val="005D021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5D0211"/>
    <w:pPr>
      <w:spacing w:after="0" w:line="240" w:lineRule="auto"/>
    </w:pPr>
    <w:rPr>
      <w:rFonts w:ascii="Calibri" w:eastAsia="Calibri" w:hAnsi="Calibri" w:cs="Times New Roman"/>
    </w:rPr>
  </w:style>
  <w:style w:type="paragraph" w:styleId="List2">
    <w:name w:val="List 2"/>
    <w:basedOn w:val="Normal"/>
    <w:uiPriority w:val="99"/>
    <w:unhideWhenUsed/>
    <w:rsid w:val="005D0211"/>
    <w:pPr>
      <w:tabs>
        <w:tab w:val="left" w:pos="1080"/>
      </w:tabs>
      <w:spacing w:after="0" w:line="240" w:lineRule="auto"/>
      <w:ind w:left="360"/>
      <w:contextualSpacing/>
    </w:pPr>
    <w:rPr>
      <w:rFonts w:ascii="Times New Roman" w:eastAsia="Calibri" w:hAnsi="Times New Roman" w:cs="Times New Roman"/>
    </w:rPr>
  </w:style>
  <w:style w:type="paragraph" w:customStyle="1" w:styleId="List1">
    <w:name w:val="List 1"/>
    <w:basedOn w:val="List"/>
    <w:link w:val="List1Char"/>
    <w:rsid w:val="005D0211"/>
    <w:pPr>
      <w:tabs>
        <w:tab w:val="left" w:pos="1080"/>
      </w:tabs>
      <w:spacing w:after="0" w:line="240" w:lineRule="auto"/>
      <w:ind w:left="0" w:firstLine="0"/>
    </w:pPr>
    <w:rPr>
      <w:rFonts w:ascii="Times New Roman" w:eastAsia="Calibri" w:hAnsi="Times New Roman" w:cs="Times New Roman"/>
      <w:sz w:val="24"/>
    </w:rPr>
  </w:style>
  <w:style w:type="character" w:customStyle="1" w:styleId="List1Char">
    <w:name w:val="List 1 Char"/>
    <w:basedOn w:val="DefaultParagraphFont"/>
    <w:link w:val="List1"/>
    <w:rsid w:val="005D0211"/>
    <w:rPr>
      <w:rFonts w:ascii="Times New Roman" w:eastAsia="Calibri" w:hAnsi="Times New Roman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5D021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3128</Characters>
  <Application>Microsoft Office Word</Application>
  <DocSecurity>0</DocSecurity>
  <Lines>26</Lines>
  <Paragraphs>7</Paragraphs>
  <ScaleCrop>false</ScaleCrop>
  <Company>General Services Administration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GregoryJPangborn</dc:creator>
  <cp:keywords/>
  <dc:description/>
  <cp:lastModifiedBy/>
  <cp:revision>1</cp:revision>
  <dcterms:created xsi:type="dcterms:W3CDTF">2021-01-28T18:02:00Z</dcterms:created>
</cp:coreProperties>
</file>