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8F3" w:rsidRPr="00342AA2" w:rsidRDefault="00A138F3" w:rsidP="00045233">
      <w:pPr>
        <w:pStyle w:val="Heading1"/>
        <w:rPr>
          <w:szCs w:val="24"/>
        </w:rPr>
      </w:pPr>
      <w:r w:rsidRPr="00342AA2">
        <w:rPr>
          <w:szCs w:val="24"/>
        </w:rPr>
        <w:t>PART 33 – PROTESTS, DISPUTES, AND APPEALS</w:t>
      </w:r>
    </w:p>
    <w:p w:rsidR="00A138F3" w:rsidRPr="00CD6247" w:rsidRDefault="00A138F3" w:rsidP="0028692B">
      <w:pPr>
        <w:spacing w:after="240"/>
        <w:jc w:val="center"/>
        <w:rPr>
          <w:i/>
          <w:sz w:val="24"/>
          <w:szCs w:val="24"/>
        </w:rPr>
      </w:pPr>
      <w:r w:rsidRPr="00342AA2">
        <w:rPr>
          <w:i/>
          <w:sz w:val="24"/>
          <w:szCs w:val="24"/>
        </w:rPr>
        <w:t>(Revised December 16, 2016 through PROCLTR 2017-04)</w:t>
      </w:r>
    </w:p>
    <w:p w:rsidR="00A138F3" w:rsidRPr="00CD6247" w:rsidRDefault="00A138F3" w:rsidP="005A2AD2">
      <w:pPr>
        <w:jc w:val="center"/>
        <w:rPr>
          <w:sz w:val="24"/>
          <w:szCs w:val="24"/>
        </w:rPr>
      </w:pPr>
      <w:r w:rsidRPr="00CD6247">
        <w:rPr>
          <w:b/>
          <w:sz w:val="24"/>
          <w:szCs w:val="24"/>
        </w:rPr>
        <w:t>TABLE OF CONTENTS</w:t>
      </w:r>
    </w:p>
    <w:p w:rsidR="00A138F3" w:rsidRPr="00CD6247" w:rsidRDefault="00A138F3" w:rsidP="0047142F">
      <w:pPr>
        <w:rPr>
          <w:b/>
          <w:sz w:val="24"/>
          <w:szCs w:val="24"/>
        </w:rPr>
      </w:pPr>
      <w:r w:rsidRPr="00CD6247">
        <w:rPr>
          <w:b/>
          <w:sz w:val="24"/>
          <w:szCs w:val="24"/>
        </w:rPr>
        <w:t>SUBPART 33.1 – PROTESTS</w:t>
      </w:r>
    </w:p>
    <w:p w:rsidR="00A138F3" w:rsidRPr="00CD6247" w:rsidRDefault="00A138F3" w:rsidP="0047142F">
      <w:pPr>
        <w:rPr>
          <w:sz w:val="24"/>
          <w:szCs w:val="24"/>
        </w:rPr>
      </w:pPr>
      <w:hyperlink w:anchor="P33_103" w:history="1">
        <w:r w:rsidRPr="00CD6247">
          <w:rPr>
            <w:sz w:val="24"/>
            <w:szCs w:val="24"/>
          </w:rPr>
          <w:t>33.103</w:t>
        </w:r>
      </w:hyperlink>
      <w:r w:rsidRPr="00CD6247">
        <w:rPr>
          <w:sz w:val="24"/>
          <w:szCs w:val="24"/>
        </w:rPr>
        <w:tab/>
      </w:r>
      <w:r w:rsidRPr="00CD6247">
        <w:rPr>
          <w:sz w:val="24"/>
          <w:szCs w:val="24"/>
        </w:rPr>
        <w:tab/>
        <w:t>Protests to the agency.</w:t>
      </w:r>
    </w:p>
    <w:p w:rsidR="00A138F3" w:rsidRPr="00CD6247" w:rsidRDefault="00A138F3" w:rsidP="0047142F">
      <w:pPr>
        <w:rPr>
          <w:sz w:val="24"/>
          <w:szCs w:val="24"/>
        </w:rPr>
      </w:pPr>
      <w:hyperlink w:anchor="P33_104" w:history="1">
        <w:r w:rsidRPr="00CD6247">
          <w:rPr>
            <w:sz w:val="24"/>
            <w:szCs w:val="24"/>
          </w:rPr>
          <w:t>33.104</w:t>
        </w:r>
      </w:hyperlink>
      <w:r w:rsidRPr="00CD6247">
        <w:rPr>
          <w:sz w:val="24"/>
          <w:szCs w:val="24"/>
        </w:rPr>
        <w:tab/>
      </w:r>
      <w:r w:rsidRPr="00CD6247">
        <w:rPr>
          <w:sz w:val="24"/>
          <w:szCs w:val="24"/>
        </w:rPr>
        <w:tab/>
        <w:t xml:space="preserve">Protests to </w:t>
      </w:r>
      <w:r w:rsidRPr="00CD6247">
        <w:rPr>
          <w:rFonts w:eastAsia="Calibri"/>
          <w:snapToGrid w:val="0"/>
          <w:sz w:val="24"/>
          <w:szCs w:val="24"/>
        </w:rPr>
        <w:t>GAO</w:t>
      </w:r>
      <w:r w:rsidRPr="00CD6247">
        <w:rPr>
          <w:sz w:val="24"/>
          <w:szCs w:val="24"/>
        </w:rPr>
        <w:t>.</w:t>
      </w:r>
    </w:p>
    <w:p w:rsidR="00A138F3" w:rsidRPr="00CD6247" w:rsidRDefault="00A138F3" w:rsidP="0047142F">
      <w:pPr>
        <w:rPr>
          <w:b/>
          <w:sz w:val="24"/>
          <w:szCs w:val="24"/>
        </w:rPr>
      </w:pPr>
      <w:r w:rsidRPr="00CD6247">
        <w:rPr>
          <w:b/>
          <w:sz w:val="24"/>
          <w:szCs w:val="24"/>
        </w:rPr>
        <w:t>SUBPART 33.2 – DISPUTES AND APPEALS</w:t>
      </w:r>
    </w:p>
    <w:p w:rsidR="00A138F3" w:rsidRPr="00CD6247" w:rsidRDefault="00A138F3" w:rsidP="0047142F">
      <w:pPr>
        <w:rPr>
          <w:sz w:val="24"/>
          <w:szCs w:val="24"/>
        </w:rPr>
      </w:pPr>
      <w:hyperlink w:anchor="P33_209" w:history="1">
        <w:r w:rsidRPr="00CD6247">
          <w:rPr>
            <w:sz w:val="24"/>
            <w:szCs w:val="24"/>
          </w:rPr>
          <w:t>33.209</w:t>
        </w:r>
      </w:hyperlink>
      <w:r w:rsidRPr="00CD6247">
        <w:rPr>
          <w:sz w:val="24"/>
          <w:szCs w:val="24"/>
        </w:rPr>
        <w:tab/>
      </w:r>
      <w:r w:rsidRPr="00CD6247">
        <w:rPr>
          <w:sz w:val="24"/>
          <w:szCs w:val="24"/>
        </w:rPr>
        <w:tab/>
        <w:t>Suspected fraudulent claims.</w:t>
      </w:r>
    </w:p>
    <w:p w:rsidR="00A138F3" w:rsidRPr="00CD6247" w:rsidRDefault="00A138F3" w:rsidP="0047142F">
      <w:pPr>
        <w:rPr>
          <w:sz w:val="24"/>
          <w:szCs w:val="24"/>
        </w:rPr>
      </w:pPr>
      <w:hyperlink w:anchor="P33_211" w:history="1">
        <w:r w:rsidRPr="00CD6247">
          <w:rPr>
            <w:sz w:val="24"/>
            <w:szCs w:val="24"/>
          </w:rPr>
          <w:t>33.211</w:t>
        </w:r>
      </w:hyperlink>
      <w:r w:rsidRPr="00CD6247">
        <w:rPr>
          <w:sz w:val="24"/>
          <w:szCs w:val="24"/>
        </w:rPr>
        <w:tab/>
      </w:r>
      <w:r w:rsidRPr="00CD6247">
        <w:rPr>
          <w:sz w:val="24"/>
          <w:szCs w:val="24"/>
        </w:rPr>
        <w:tab/>
        <w:t>Contracting officer’s decision</w:t>
      </w:r>
      <w:r w:rsidRPr="00CD6247">
        <w:rPr>
          <w:snapToGrid w:val="0"/>
          <w:sz w:val="24"/>
          <w:szCs w:val="24"/>
        </w:rPr>
        <w:t>.</w:t>
      </w:r>
    </w:p>
    <w:p w:rsidR="00A138F3" w:rsidRPr="00CD6247" w:rsidRDefault="00A138F3" w:rsidP="0047142F">
      <w:pPr>
        <w:rPr>
          <w:sz w:val="24"/>
          <w:szCs w:val="24"/>
        </w:rPr>
      </w:pPr>
      <w:hyperlink w:anchor="P33_212" w:history="1">
        <w:r w:rsidRPr="00CD6247">
          <w:rPr>
            <w:sz w:val="24"/>
            <w:szCs w:val="24"/>
          </w:rPr>
          <w:t>33.212</w:t>
        </w:r>
      </w:hyperlink>
      <w:r w:rsidRPr="00CD6247">
        <w:rPr>
          <w:sz w:val="24"/>
          <w:szCs w:val="24"/>
        </w:rPr>
        <w:tab/>
      </w:r>
      <w:r w:rsidRPr="00CD6247">
        <w:rPr>
          <w:sz w:val="24"/>
          <w:szCs w:val="24"/>
        </w:rPr>
        <w:tab/>
        <w:t>Contracting officer’s duties upon appeal.</w:t>
      </w:r>
    </w:p>
    <w:p w:rsidR="00A138F3" w:rsidRPr="00CD6247" w:rsidRDefault="00A138F3" w:rsidP="0028692B">
      <w:pPr>
        <w:spacing w:after="240"/>
        <w:rPr>
          <w:sz w:val="24"/>
          <w:szCs w:val="24"/>
        </w:rPr>
      </w:pPr>
      <w:hyperlink w:anchor="P33_214" w:history="1">
        <w:r w:rsidRPr="00CD6247">
          <w:rPr>
            <w:sz w:val="24"/>
            <w:szCs w:val="24"/>
          </w:rPr>
          <w:t>33.214</w:t>
        </w:r>
      </w:hyperlink>
      <w:r w:rsidRPr="00CD6247">
        <w:rPr>
          <w:sz w:val="24"/>
          <w:szCs w:val="24"/>
        </w:rPr>
        <w:tab/>
      </w:r>
      <w:r w:rsidRPr="00CD6247">
        <w:rPr>
          <w:sz w:val="24"/>
          <w:szCs w:val="24"/>
        </w:rPr>
        <w:tab/>
        <w:t>Alternative dispute resolution (ADR).</w:t>
      </w:r>
    </w:p>
    <w:p w:rsidR="00A138F3" w:rsidRPr="00CD6247" w:rsidRDefault="00A138F3" w:rsidP="00045233">
      <w:pPr>
        <w:pStyle w:val="Heading2"/>
      </w:pPr>
      <w:r w:rsidRPr="00CD6247">
        <w:t>SUBPART 33.1 – PROTESTS</w:t>
      </w:r>
    </w:p>
    <w:p w:rsidR="00A138F3" w:rsidRPr="00CD6247" w:rsidRDefault="00A138F3" w:rsidP="0028692B">
      <w:pPr>
        <w:spacing w:after="240"/>
        <w:jc w:val="center"/>
        <w:rPr>
          <w:i/>
          <w:sz w:val="24"/>
          <w:szCs w:val="24"/>
        </w:rPr>
      </w:pPr>
      <w:r w:rsidRPr="00CD6247">
        <w:rPr>
          <w:i/>
          <w:sz w:val="24"/>
          <w:szCs w:val="24"/>
        </w:rPr>
        <w:t>(Revised December 16, 2016 through PROCLTR 2017-04)</w:t>
      </w:r>
    </w:p>
    <w:p w:rsidR="00A138F3" w:rsidRPr="00E403B1" w:rsidRDefault="00A138F3" w:rsidP="00E403B1">
      <w:pPr>
        <w:pStyle w:val="Heading3"/>
        <w:rPr>
          <w:snapToGrid w:val="0"/>
          <w:sz w:val="24"/>
          <w:szCs w:val="24"/>
        </w:rPr>
      </w:pPr>
      <w:bookmarkStart w:id="0" w:name="P33_103"/>
      <w:r w:rsidRPr="00E403B1">
        <w:rPr>
          <w:sz w:val="24"/>
          <w:szCs w:val="24"/>
        </w:rPr>
        <w:t>33.103</w:t>
      </w:r>
      <w:bookmarkEnd w:id="0"/>
      <w:r w:rsidRPr="00E403B1">
        <w:rPr>
          <w:sz w:val="24"/>
          <w:szCs w:val="24"/>
        </w:rPr>
        <w:t xml:space="preserve"> Protests to the agency.</w:t>
      </w:r>
    </w:p>
    <w:p w:rsidR="00A138F3" w:rsidRPr="00CD6247" w:rsidRDefault="00A138F3" w:rsidP="00930101">
      <w:pPr>
        <w:pStyle w:val="List1"/>
        <w:rPr>
          <w:snapToGrid w:val="0"/>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rsidR="00A138F3" w:rsidRPr="00CD6247" w:rsidRDefault="00A138F3" w:rsidP="00930101">
      <w:pPr>
        <w:pStyle w:val="List1"/>
        <w:rPr>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rsidR="00A138F3" w:rsidRPr="00CD6247" w:rsidRDefault="00A138F3" w:rsidP="0047142F">
      <w:pPr>
        <w:pStyle w:val="NormalWeb"/>
        <w:spacing w:before="0" w:beforeAutospacing="0" w:after="0" w:afterAutospacing="0"/>
        <w:rPr>
          <w:szCs w:val="24"/>
          <w:lang w:val="en"/>
        </w:rPr>
      </w:pPr>
      <w:r w:rsidRPr="00CD6247">
        <w:rPr>
          <w:szCs w:val="24"/>
          <w:lang w:val="en"/>
        </w:rPr>
        <w:t>*****</w:t>
      </w:r>
    </w:p>
    <w:p w:rsidR="00A138F3" w:rsidRPr="00CD6247" w:rsidRDefault="00A138F3" w:rsidP="0047142F">
      <w:pPr>
        <w:adjustRightInd w:val="0"/>
        <w:ind w:right="720"/>
        <w:jc w:val="both"/>
        <w:rPr>
          <w:color w:val="000000"/>
          <w:sz w:val="24"/>
          <w:szCs w:val="24"/>
        </w:rPr>
      </w:pPr>
      <w:r w:rsidRPr="00CD6247">
        <w:rPr>
          <w:color w:val="000000"/>
          <w:sz w:val="24"/>
          <w:szCs w:val="24"/>
        </w:rPr>
        <w:t>L06 Agency Protests (DEC 2016)</w:t>
      </w:r>
    </w:p>
    <w:p w:rsidR="00A138F3" w:rsidRPr="00CD6247" w:rsidRDefault="00A138F3" w:rsidP="0047142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rsidR="00A138F3" w:rsidRPr="00CD6247" w:rsidRDefault="00A138F3" w:rsidP="0028692B">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rsidR="00A138F3" w:rsidRPr="00E403B1" w:rsidRDefault="00A138F3" w:rsidP="00E403B1">
      <w:pPr>
        <w:pStyle w:val="Heading3"/>
        <w:rPr>
          <w:sz w:val="24"/>
          <w:szCs w:val="24"/>
        </w:rPr>
      </w:pPr>
      <w:r w:rsidRPr="00E403B1">
        <w:rPr>
          <w:sz w:val="24"/>
          <w:szCs w:val="24"/>
        </w:rPr>
        <w:t>33.104 Protests to GAO.</w:t>
      </w:r>
    </w:p>
    <w:p w:rsidR="00A138F3" w:rsidRPr="00CD6247" w:rsidRDefault="00A138F3" w:rsidP="00930101">
      <w:pPr>
        <w:pStyle w:val="List1"/>
      </w:pPr>
      <w:r w:rsidRPr="00CD6247">
        <w:rPr>
          <w:snapToGrid w:val="0"/>
          <w:szCs w:val="24"/>
        </w:rPr>
        <w:t>(a) General procedures.</w:t>
      </w:r>
    </w:p>
    <w:p w:rsidR="00A138F3" w:rsidRPr="00CD6247" w:rsidRDefault="00A138F3" w:rsidP="00930101">
      <w:pPr>
        <w:pStyle w:val="List2"/>
      </w:pPr>
      <w:r w:rsidRPr="00CD6247">
        <w:rPr>
          <w:snapToGrid w:val="0"/>
          <w:szCs w:val="24"/>
        </w:rPr>
        <w:t xml:space="preserve">(2)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rsidR="00A138F3" w:rsidRPr="00CD6247" w:rsidRDefault="00A138F3" w:rsidP="00930101">
      <w:pPr>
        <w:pStyle w:val="List2"/>
        <w:rPr>
          <w:snapToGrid w:val="0"/>
        </w:rPr>
      </w:pPr>
      <w:r w:rsidRPr="00CD6247">
        <w:rPr>
          <w:snapToGrid w:val="0"/>
          <w:sz w:val="24"/>
          <w:szCs w:val="24"/>
        </w:rPr>
        <w:t>(3)</w:t>
      </w:r>
      <w:r w:rsidRPr="00CD6247">
        <w:rPr>
          <w:bCs/>
          <w:iCs/>
          <w:snapToGrid w:val="0"/>
          <w:sz w:val="24"/>
          <w:szCs w:val="24"/>
        </w:rPr>
        <w:t>(i)</w:t>
      </w:r>
      <w:r w:rsidRPr="00CD6247">
        <w:rPr>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Pr="00CD6247">
        <w:rPr>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rsidR="00A138F3" w:rsidRPr="00CD6247" w:rsidRDefault="00A138F3" w:rsidP="00930101">
      <w:pPr>
        <w:pStyle w:val="List1"/>
        <w:rPr>
          <w:snapToGrid w:val="0"/>
        </w:rPr>
      </w:pPr>
      <w:r w:rsidRPr="00CD6247">
        <w:rPr>
          <w:snapToGrid w:val="0"/>
          <w:szCs w:val="24"/>
        </w:rPr>
        <w:t>(b) Protests before award.</w:t>
      </w:r>
    </w:p>
    <w:p w:rsidR="00A138F3" w:rsidRPr="00CD6247" w:rsidRDefault="00A138F3" w:rsidP="00930101">
      <w:pPr>
        <w:pStyle w:val="List2"/>
        <w:rPr>
          <w:snapToGrid w:val="0"/>
        </w:rPr>
      </w:pPr>
      <w:r w:rsidRPr="00CD6247">
        <w:rPr>
          <w:snapToGrid w:val="0"/>
          <w:sz w:val="24"/>
          <w:szCs w:val="24"/>
        </w:rPr>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snapToGrid w:val="0"/>
          <w:sz w:val="24"/>
          <w:szCs w:val="24"/>
        </w:rPr>
        <w:t>Procuring organizations 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A138F3" w:rsidRPr="00CD6247" w:rsidRDefault="00A138F3" w:rsidP="00930101">
      <w:pPr>
        <w:pStyle w:val="List2"/>
        <w:rPr>
          <w:lang w:val="en"/>
        </w:rPr>
      </w:pPr>
      <w:r w:rsidRPr="00CD6247">
        <w:rPr>
          <w:szCs w:val="24"/>
        </w:rPr>
        <w:t xml:space="preserve">(2) </w:t>
      </w:r>
      <w:r w:rsidRPr="00CD6247">
        <w:rPr>
          <w:szCs w:val="24"/>
          <w:lang w:val="en"/>
        </w:rPr>
        <w:t>Before award of the contract, the assigned attorney will notify GAO of the finding.</w:t>
      </w:r>
    </w:p>
    <w:p w:rsidR="00A138F3" w:rsidRPr="00CD6247" w:rsidRDefault="00A138F3" w:rsidP="00930101">
      <w:pPr>
        <w:pStyle w:val="List1"/>
        <w:rPr>
          <w:snapToGrid w:val="0"/>
        </w:rPr>
      </w:pPr>
      <w:r w:rsidRPr="00CD6247">
        <w:rPr>
          <w:snapToGrid w:val="0"/>
          <w:szCs w:val="24"/>
        </w:rPr>
        <w:t>(c)  Protests after award.</w:t>
      </w:r>
    </w:p>
    <w:p w:rsidR="00A138F3" w:rsidRPr="00CD6247" w:rsidRDefault="00A138F3" w:rsidP="00930101">
      <w:pPr>
        <w:pStyle w:val="List2"/>
        <w:rPr>
          <w:snapToGrid w:val="0"/>
        </w:rPr>
      </w:pPr>
      <w:r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snapToGrid w:val="0"/>
          <w:sz w:val="24"/>
          <w:szCs w:val="24"/>
        </w:rPr>
        <w:t>must send a copy of the finding to Office of General Counsel</w:t>
      </w:r>
      <w:r w:rsidRPr="00CD6247">
        <w:rPr>
          <w:sz w:val="24"/>
          <w:szCs w:val="24"/>
          <w:lang w:val="en"/>
        </w:rPr>
        <w:t xml:space="preserve">. </w:t>
      </w:r>
      <w:r w:rsidRPr="00CD6247">
        <w:rPr>
          <w:snapToGrid w:val="0"/>
          <w:sz w:val="24"/>
          <w:szCs w:val="24"/>
        </w:rPr>
        <w:t xml:space="preserve">Procuring organizations 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A138F3" w:rsidRPr="00CD6247" w:rsidRDefault="00A138F3" w:rsidP="00930101">
      <w:pPr>
        <w:pStyle w:val="List2"/>
        <w:rPr>
          <w:lang w:val="en"/>
        </w:rPr>
      </w:pPr>
      <w:r w:rsidRPr="00CD6247">
        <w:rPr>
          <w:snapToGrid w:val="0"/>
          <w:sz w:val="24"/>
          <w:szCs w:val="24"/>
        </w:rPr>
        <w:t>(3) Before the procuring organization lifts the stop work order or performance is otherwise continued, the assigned attorney will notify GAO of the finding.</w:t>
      </w:r>
    </w:p>
    <w:p w:rsidR="00A138F3" w:rsidRPr="00CD6247" w:rsidRDefault="00A138F3" w:rsidP="00930101">
      <w:pPr>
        <w:pStyle w:val="List1"/>
      </w:pPr>
      <w:r w:rsidRPr="00CD6247">
        <w:rPr>
          <w:snapToGrid w:val="0"/>
          <w:szCs w:val="24"/>
        </w:rPr>
        <w:t>(g) Notice to GAO.</w:t>
      </w:r>
    </w:p>
    <w:p w:rsidR="00A138F3" w:rsidRPr="00CD6247" w:rsidRDefault="00A138F3" w:rsidP="0047142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rsidR="00A138F3" w:rsidRPr="00CD6247" w:rsidRDefault="00A138F3" w:rsidP="00930101">
      <w:pPr>
        <w:pStyle w:val="List1"/>
        <w:rPr>
          <w:snapToGrid w:val="0"/>
        </w:rPr>
      </w:pPr>
      <w:r w:rsidRPr="00CD6247">
        <w:rPr>
          <w:snapToGrid w:val="0"/>
          <w:szCs w:val="24"/>
        </w:rPr>
        <w:t>(h) Award of costs.</w:t>
      </w:r>
    </w:p>
    <w:p w:rsidR="00A138F3" w:rsidRPr="00CD6247" w:rsidRDefault="00A138F3" w:rsidP="0047142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rsidR="00A138F3" w:rsidRPr="00CD6247" w:rsidRDefault="00A138F3" w:rsidP="0047142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rsidR="00A138F3" w:rsidRPr="00CD6247" w:rsidRDefault="00A138F3" w:rsidP="004108B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rsidR="00A138F3" w:rsidRPr="00CD6247" w:rsidRDefault="00A138F3" w:rsidP="00045233">
      <w:pPr>
        <w:pStyle w:val="Heading2"/>
      </w:pPr>
      <w:r w:rsidRPr="00CD6247">
        <w:t>SUBPART 33.2 – DISPUTES AND APPEALS</w:t>
      </w:r>
    </w:p>
    <w:p w:rsidR="00A138F3" w:rsidRPr="00CD6247" w:rsidRDefault="00A138F3" w:rsidP="0028692B">
      <w:pPr>
        <w:spacing w:after="240"/>
        <w:jc w:val="center"/>
        <w:rPr>
          <w:i/>
          <w:sz w:val="24"/>
          <w:szCs w:val="24"/>
        </w:rPr>
      </w:pPr>
      <w:r w:rsidRPr="00CD6247">
        <w:rPr>
          <w:i/>
          <w:sz w:val="24"/>
          <w:szCs w:val="24"/>
        </w:rPr>
        <w:t>(Revised December 16, 2016 through PROCLTR 2017-04)</w:t>
      </w:r>
    </w:p>
    <w:p w:rsidR="00A138F3" w:rsidRPr="00E403B1" w:rsidRDefault="00A138F3" w:rsidP="00E403B1">
      <w:pPr>
        <w:pStyle w:val="Heading3"/>
        <w:rPr>
          <w:sz w:val="24"/>
          <w:szCs w:val="24"/>
        </w:rPr>
      </w:pPr>
      <w:r w:rsidRPr="00E403B1">
        <w:rPr>
          <w:sz w:val="24"/>
          <w:szCs w:val="24"/>
        </w:rPr>
        <w:t>33.209 Suspected fraudulent claims.</w:t>
      </w:r>
    </w:p>
    <w:p w:rsidR="00A138F3" w:rsidRPr="00CD6247" w:rsidRDefault="00A138F3" w:rsidP="0028692B">
      <w:pPr>
        <w:spacing w:after="240"/>
        <w:rPr>
          <w:sz w:val="24"/>
          <w:szCs w:val="24"/>
        </w:rPr>
      </w:pPr>
      <w:r w:rsidRPr="00CD6247">
        <w:rPr>
          <w:bCs/>
          <w:sz w:val="24"/>
          <w:szCs w:val="24"/>
          <w:lang w:val="en"/>
        </w:rPr>
        <w:t>Referrals shall be made to procuring organization Office of Counsel for appropriate action.</w:t>
      </w:r>
    </w:p>
    <w:p w:rsidR="00A138F3" w:rsidRPr="00E403B1" w:rsidRDefault="00A138F3" w:rsidP="00E403B1">
      <w:pPr>
        <w:pStyle w:val="Heading3"/>
        <w:rPr>
          <w:sz w:val="24"/>
          <w:szCs w:val="24"/>
        </w:rPr>
      </w:pPr>
      <w:r w:rsidRPr="00E403B1">
        <w:rPr>
          <w:sz w:val="24"/>
          <w:szCs w:val="24"/>
        </w:rPr>
        <w:t>33.211 Contracting officer’s decision.</w:t>
      </w:r>
    </w:p>
    <w:p w:rsidR="00A138F3" w:rsidRPr="00CD6247" w:rsidRDefault="00A138F3" w:rsidP="00930101">
      <w:pPr>
        <w:pStyle w:val="List1"/>
        <w:rPr>
          <w:snapToGrid w:val="0"/>
        </w:rPr>
      </w:pPr>
      <w:r w:rsidRPr="00CD6247">
        <w:rPr>
          <w:snapToGrid w:val="0"/>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rsidR="00A138F3" w:rsidRPr="00E403B1" w:rsidRDefault="00A138F3" w:rsidP="00E403B1">
      <w:pPr>
        <w:pStyle w:val="Heading3"/>
        <w:rPr>
          <w:sz w:val="24"/>
          <w:szCs w:val="24"/>
        </w:rPr>
      </w:pPr>
      <w:r w:rsidRPr="00E403B1">
        <w:rPr>
          <w:sz w:val="24"/>
          <w:szCs w:val="24"/>
        </w:rPr>
        <w:t>33.212 Contracting officer’s duties upon appeal.</w:t>
      </w:r>
    </w:p>
    <w:p w:rsidR="00A138F3" w:rsidRPr="00CD6247" w:rsidRDefault="00A138F3" w:rsidP="0047142F">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rsidR="00A138F3" w:rsidRPr="00CD6247" w:rsidRDefault="00A138F3" w:rsidP="0028692B">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rsidR="00A138F3" w:rsidRPr="00E403B1" w:rsidRDefault="00A138F3" w:rsidP="00E403B1">
      <w:pPr>
        <w:pStyle w:val="Heading3"/>
        <w:rPr>
          <w:sz w:val="24"/>
          <w:szCs w:val="24"/>
        </w:rPr>
      </w:pPr>
      <w:bookmarkStart w:id="1" w:name="P95_13601"/>
      <w:bookmarkStart w:id="2" w:name="P99_14555"/>
      <w:bookmarkStart w:id="3" w:name="P33_214"/>
      <w:bookmarkEnd w:id="1"/>
      <w:bookmarkEnd w:id="2"/>
      <w:r w:rsidRPr="00E403B1">
        <w:rPr>
          <w:sz w:val="24"/>
          <w:szCs w:val="24"/>
        </w:rPr>
        <w:t>33.214 Alternative dispute resolution (ADR).</w:t>
      </w:r>
    </w:p>
    <w:p w:rsidR="00A138F3" w:rsidRPr="00CD6247" w:rsidRDefault="00A138F3" w:rsidP="003A5706">
      <w:pPr>
        <w:spacing w:after="240"/>
        <w:rPr>
          <w:b/>
          <w:sz w:val="24"/>
          <w:szCs w:val="24"/>
        </w:rPr>
        <w:sectPr w:rsidR="00A138F3" w:rsidRPr="00CD6247" w:rsidSect="00184D37">
          <w:type w:val="continuous"/>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r w:rsidRPr="00CD6247">
        <w:rPr>
          <w:sz w:val="24"/>
          <w:szCs w:val="24"/>
        </w:rPr>
        <w:t xml:space="preserve"> in all solicitations unless the conditions at FAR 33.203(b) apply.</w:t>
      </w:r>
      <w:bookmarkStart w:id="4" w:name="Part35"/>
      <w:bookmarkEnd w:id="3"/>
      <w:bookmarkEnd w:id="4"/>
    </w:p>
    <w:p w:rsidR="00140857" w:rsidRDefault="00140857"/>
    <w:sectPr w:rsidR="0014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F3"/>
    <w:rsid w:val="00140857"/>
    <w:rsid w:val="00A1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138F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138F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138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138F3"/>
    <w:rPr>
      <w:rFonts w:ascii="Times New Roman" w:eastAsia="Times New Roman" w:hAnsi="Times New Roman" w:cs="Times New Roman"/>
      <w:b/>
      <w:sz w:val="24"/>
    </w:rPr>
  </w:style>
  <w:style w:type="character" w:customStyle="1" w:styleId="Heading2Char">
    <w:name w:val="Heading 2 Char"/>
    <w:link w:val="Heading2"/>
    <w:rsid w:val="00A138F3"/>
    <w:rPr>
      <w:rFonts w:ascii="Times New Roman" w:eastAsia="Times New Roman" w:hAnsi="Times New Roman" w:cs="Times New Roman"/>
      <w:b/>
      <w:sz w:val="24"/>
      <w:szCs w:val="24"/>
    </w:rPr>
  </w:style>
  <w:style w:type="character" w:customStyle="1" w:styleId="Heading3Char">
    <w:name w:val="Heading 3 Char"/>
    <w:link w:val="Heading3"/>
    <w:rsid w:val="00A138F3"/>
    <w:rPr>
      <w:rFonts w:ascii="Times New Roman" w:eastAsia="Times New Roman" w:hAnsi="Times New Roman" w:cs="Times New Roman"/>
      <w:b/>
    </w:rPr>
  </w:style>
  <w:style w:type="character" w:styleId="Hyperlink">
    <w:name w:val="Hyperlink"/>
    <w:uiPriority w:val="99"/>
    <w:rsid w:val="00A138F3"/>
    <w:rPr>
      <w:color w:val="0000FF"/>
      <w:u w:val="single"/>
    </w:rPr>
  </w:style>
  <w:style w:type="paragraph" w:styleId="NormalWeb">
    <w:name w:val="Normal (Web)"/>
    <w:basedOn w:val="Normal"/>
    <w:link w:val="NormalWebChar"/>
    <w:uiPriority w:val="99"/>
    <w:rsid w:val="00A138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customStyle="1" w:styleId="Default">
    <w:name w:val="Default"/>
    <w:rsid w:val="00A138F3"/>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A138F3"/>
    <w:rPr>
      <w:rFonts w:ascii="Times New Roman" w:eastAsia="Times New Roman" w:hAnsi="Times New Roman" w:cs="Times New Roman"/>
      <w:sz w:val="24"/>
    </w:rPr>
  </w:style>
  <w:style w:type="paragraph" w:styleId="List2">
    <w:name w:val="List 2"/>
    <w:basedOn w:val="Normal"/>
    <w:uiPriority w:val="99"/>
    <w:unhideWhenUsed/>
    <w:rsid w:val="00A138F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A138F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138F3"/>
    <w:rPr>
      <w:rFonts w:ascii="Times New Roman" w:eastAsia="Calibri" w:hAnsi="Times New Roman" w:cs="Times New Roman"/>
      <w:sz w:val="24"/>
    </w:rPr>
  </w:style>
  <w:style w:type="paragraph" w:styleId="List">
    <w:name w:val="List"/>
    <w:basedOn w:val="Normal"/>
    <w:uiPriority w:val="99"/>
    <w:semiHidden/>
    <w:unhideWhenUsed/>
    <w:rsid w:val="00A138F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138F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138F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138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138F3"/>
    <w:rPr>
      <w:rFonts w:ascii="Times New Roman" w:eastAsia="Times New Roman" w:hAnsi="Times New Roman" w:cs="Times New Roman"/>
      <w:b/>
      <w:sz w:val="24"/>
    </w:rPr>
  </w:style>
  <w:style w:type="character" w:customStyle="1" w:styleId="Heading2Char">
    <w:name w:val="Heading 2 Char"/>
    <w:link w:val="Heading2"/>
    <w:rsid w:val="00A138F3"/>
    <w:rPr>
      <w:rFonts w:ascii="Times New Roman" w:eastAsia="Times New Roman" w:hAnsi="Times New Roman" w:cs="Times New Roman"/>
      <w:b/>
      <w:sz w:val="24"/>
      <w:szCs w:val="24"/>
    </w:rPr>
  </w:style>
  <w:style w:type="character" w:customStyle="1" w:styleId="Heading3Char">
    <w:name w:val="Heading 3 Char"/>
    <w:link w:val="Heading3"/>
    <w:rsid w:val="00A138F3"/>
    <w:rPr>
      <w:rFonts w:ascii="Times New Roman" w:eastAsia="Times New Roman" w:hAnsi="Times New Roman" w:cs="Times New Roman"/>
      <w:b/>
    </w:rPr>
  </w:style>
  <w:style w:type="character" w:styleId="Hyperlink">
    <w:name w:val="Hyperlink"/>
    <w:uiPriority w:val="99"/>
    <w:rsid w:val="00A138F3"/>
    <w:rPr>
      <w:color w:val="0000FF"/>
      <w:u w:val="single"/>
    </w:rPr>
  </w:style>
  <w:style w:type="paragraph" w:styleId="NormalWeb">
    <w:name w:val="Normal (Web)"/>
    <w:basedOn w:val="Normal"/>
    <w:link w:val="NormalWebChar"/>
    <w:uiPriority w:val="99"/>
    <w:rsid w:val="00A138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customStyle="1" w:styleId="Default">
    <w:name w:val="Default"/>
    <w:rsid w:val="00A138F3"/>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A138F3"/>
    <w:rPr>
      <w:rFonts w:ascii="Times New Roman" w:eastAsia="Times New Roman" w:hAnsi="Times New Roman" w:cs="Times New Roman"/>
      <w:sz w:val="24"/>
    </w:rPr>
  </w:style>
  <w:style w:type="paragraph" w:styleId="List2">
    <w:name w:val="List 2"/>
    <w:basedOn w:val="Normal"/>
    <w:uiPriority w:val="99"/>
    <w:unhideWhenUsed/>
    <w:rsid w:val="00A138F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A138F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138F3"/>
    <w:rPr>
      <w:rFonts w:ascii="Times New Roman" w:eastAsia="Calibri" w:hAnsi="Times New Roman" w:cs="Times New Roman"/>
      <w:sz w:val="24"/>
    </w:rPr>
  </w:style>
  <w:style w:type="paragraph" w:styleId="List">
    <w:name w:val="List"/>
    <w:basedOn w:val="Normal"/>
    <w:uiPriority w:val="99"/>
    <w:semiHidden/>
    <w:unhideWhenUsed/>
    <w:rsid w:val="00A138F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1137</Words>
  <Characters>6484</Characters>
  <Application>Microsoft Office Word</Application>
  <DocSecurity>0</DocSecurity>
  <Lines>54</Lines>
  <Paragraphs>15</Paragraphs>
  <ScaleCrop>false</ScaleCrop>
  <Company>General Services Administration</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