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1F0" w:rsidRPr="00E272D9" w:rsidRDefault="00C631F0" w:rsidP="004B1CDB">
      <w:pPr>
        <w:pStyle w:val="Heading1"/>
      </w:pPr>
      <w:bookmarkStart w:id="0" w:name="Part07"/>
      <w:r w:rsidRPr="00E272D9">
        <w:t>PART 7</w:t>
      </w:r>
      <w:bookmarkEnd w:id="0"/>
      <w:r w:rsidRPr="00E272D9">
        <w:t xml:space="preserve"> – ACQUISITION PLANNING</w:t>
      </w:r>
    </w:p>
    <w:p w:rsidR="00C631F0" w:rsidRPr="00E272D9" w:rsidRDefault="00C631F0" w:rsidP="00F035EB">
      <w:pPr>
        <w:spacing w:after="240"/>
        <w:jc w:val="center"/>
        <w:rPr>
          <w:i/>
          <w:sz w:val="24"/>
          <w:szCs w:val="24"/>
        </w:rPr>
      </w:pPr>
      <w:r w:rsidRPr="00E272D9">
        <w:rPr>
          <w:i/>
          <w:sz w:val="24"/>
          <w:szCs w:val="24"/>
        </w:rPr>
        <w:t>(Revised August 7, 2019 through PROCLTR 2019-14)</w:t>
      </w:r>
    </w:p>
    <w:p w:rsidR="00C631F0" w:rsidRPr="00E272D9" w:rsidRDefault="00C631F0" w:rsidP="005A2AD2">
      <w:pPr>
        <w:jc w:val="center"/>
        <w:rPr>
          <w:sz w:val="24"/>
          <w:szCs w:val="24"/>
        </w:rPr>
      </w:pPr>
      <w:r w:rsidRPr="00E272D9">
        <w:rPr>
          <w:b/>
          <w:sz w:val="24"/>
          <w:szCs w:val="24"/>
        </w:rPr>
        <w:t>TABLE OF CONTENTS</w:t>
      </w:r>
    </w:p>
    <w:p w:rsidR="00C631F0" w:rsidRPr="00E272D9" w:rsidRDefault="00C631F0" w:rsidP="005B2D8D">
      <w:pPr>
        <w:rPr>
          <w:b/>
          <w:bCs/>
          <w:sz w:val="24"/>
          <w:szCs w:val="24"/>
          <w:lang w:val="en"/>
        </w:rPr>
      </w:pPr>
      <w:r w:rsidRPr="00E272D9">
        <w:rPr>
          <w:b/>
          <w:bCs/>
          <w:sz w:val="24"/>
          <w:szCs w:val="24"/>
          <w:lang w:val="en"/>
        </w:rPr>
        <w:t>SUBPART 7.1 – ACQUISITION PLANS</w:t>
      </w:r>
    </w:p>
    <w:p w:rsidR="00C631F0" w:rsidRPr="00E272D9" w:rsidRDefault="0085750D" w:rsidP="005B2D8D">
      <w:pPr>
        <w:rPr>
          <w:bCs/>
          <w:sz w:val="24"/>
          <w:szCs w:val="24"/>
          <w:lang w:val="en"/>
        </w:rPr>
      </w:pPr>
      <w:hyperlink w:anchor="P7_102" w:history="1">
        <w:r w:rsidR="00C631F0" w:rsidRPr="00E272D9">
          <w:rPr>
            <w:rStyle w:val="Hyperlink"/>
            <w:bCs/>
            <w:sz w:val="24"/>
            <w:szCs w:val="24"/>
            <w:lang w:val="en"/>
          </w:rPr>
          <w:t>7.102</w:t>
        </w:r>
      </w:hyperlink>
      <w:r w:rsidR="00C631F0" w:rsidRPr="00513200">
        <w:rPr>
          <w:rStyle w:val="Hyperlink"/>
          <w:bCs/>
          <w:sz w:val="24"/>
          <w:szCs w:val="24"/>
          <w:u w:val="none"/>
          <w:lang w:val="en"/>
        </w:rPr>
        <w:tab/>
      </w:r>
      <w:r w:rsidR="00C631F0" w:rsidRPr="00513200">
        <w:rPr>
          <w:rStyle w:val="Hyperlink"/>
          <w:bCs/>
          <w:sz w:val="24"/>
          <w:szCs w:val="24"/>
          <w:u w:val="none"/>
          <w:lang w:val="en"/>
        </w:rPr>
        <w:tab/>
      </w:r>
      <w:r w:rsidR="00C631F0" w:rsidRPr="00E272D9">
        <w:rPr>
          <w:bCs/>
          <w:sz w:val="24"/>
          <w:szCs w:val="24"/>
          <w:lang w:val="en"/>
        </w:rPr>
        <w:t>Policy.</w:t>
      </w:r>
    </w:p>
    <w:p w:rsidR="00C631F0" w:rsidRPr="00E272D9" w:rsidRDefault="0085750D" w:rsidP="005B2D8D">
      <w:pPr>
        <w:rPr>
          <w:bCs/>
          <w:sz w:val="24"/>
          <w:szCs w:val="24"/>
          <w:lang w:val="en"/>
        </w:rPr>
      </w:pPr>
      <w:hyperlink w:anchor="P7_102_90" w:history="1">
        <w:r w:rsidR="00C631F0" w:rsidRPr="006640DD">
          <w:rPr>
            <w:rStyle w:val="Hyperlink"/>
            <w:bCs/>
            <w:sz w:val="24"/>
            <w:szCs w:val="24"/>
            <w:lang w:val="en"/>
          </w:rPr>
          <w:t>7.102-90</w:t>
        </w:r>
      </w:hyperlink>
      <w:r w:rsidR="00C631F0" w:rsidRPr="00E272D9">
        <w:rPr>
          <w:bCs/>
          <w:sz w:val="24"/>
          <w:szCs w:val="24"/>
          <w:lang w:val="en"/>
        </w:rPr>
        <w:tab/>
        <w:t>Contract management plan (CMP).</w:t>
      </w:r>
    </w:p>
    <w:p w:rsidR="00C631F0" w:rsidRPr="00E272D9" w:rsidRDefault="0085750D" w:rsidP="005B2D8D">
      <w:pPr>
        <w:rPr>
          <w:sz w:val="24"/>
          <w:szCs w:val="24"/>
          <w:lang w:val="en"/>
        </w:rPr>
      </w:pPr>
      <w:hyperlink w:anchor="P7_103" w:history="1">
        <w:r w:rsidR="00C631F0" w:rsidRPr="00E272D9">
          <w:rPr>
            <w:sz w:val="24"/>
            <w:szCs w:val="24"/>
            <w:lang w:val="en"/>
          </w:rPr>
          <w:t>7.103</w:t>
        </w:r>
      </w:hyperlink>
      <w:r w:rsidR="00C631F0" w:rsidRPr="00E272D9">
        <w:rPr>
          <w:sz w:val="24"/>
          <w:szCs w:val="24"/>
          <w:lang w:val="en"/>
        </w:rPr>
        <w:tab/>
      </w:r>
      <w:r w:rsidR="00C631F0" w:rsidRPr="00E272D9">
        <w:rPr>
          <w:sz w:val="24"/>
          <w:szCs w:val="24"/>
          <w:lang w:val="en"/>
        </w:rPr>
        <w:tab/>
        <w:t>Agency-head responsibilities.</w:t>
      </w:r>
    </w:p>
    <w:p w:rsidR="00C631F0" w:rsidRPr="00E272D9" w:rsidRDefault="0085750D" w:rsidP="00F152A1">
      <w:pPr>
        <w:rPr>
          <w:bCs/>
          <w:sz w:val="24"/>
          <w:szCs w:val="24"/>
          <w:lang w:val="en"/>
        </w:rPr>
      </w:pPr>
      <w:hyperlink w:anchor="P7_105" w:history="1">
        <w:r w:rsidR="00C631F0" w:rsidRPr="006640DD">
          <w:rPr>
            <w:rStyle w:val="Hyperlink"/>
            <w:bCs/>
            <w:sz w:val="24"/>
            <w:szCs w:val="24"/>
            <w:lang w:val="en"/>
          </w:rPr>
          <w:t>7.105</w:t>
        </w:r>
      </w:hyperlink>
      <w:r w:rsidR="00C631F0" w:rsidRPr="00E272D9">
        <w:rPr>
          <w:bCs/>
          <w:color w:val="000000"/>
          <w:sz w:val="24"/>
          <w:szCs w:val="24"/>
          <w:lang w:val="en"/>
        </w:rPr>
        <w:tab/>
      </w:r>
      <w:r w:rsidR="00C631F0" w:rsidRPr="00E272D9">
        <w:rPr>
          <w:bCs/>
          <w:color w:val="000000"/>
          <w:sz w:val="24"/>
          <w:szCs w:val="24"/>
          <w:lang w:val="en"/>
        </w:rPr>
        <w:tab/>
        <w:t>Contents of written acquisition plans.</w:t>
      </w:r>
    </w:p>
    <w:p w:rsidR="0085750D" w:rsidRDefault="0085750D" w:rsidP="00430998">
      <w:pPr>
        <w:rPr>
          <w:sz w:val="24"/>
          <w:szCs w:val="24"/>
          <w:lang w:val="en"/>
        </w:rPr>
      </w:pPr>
      <w:hyperlink w:anchor="P7_107" w:history="1">
        <w:r w:rsidR="00C631F0" w:rsidRPr="00E272D9">
          <w:rPr>
            <w:sz w:val="24"/>
            <w:szCs w:val="24"/>
            <w:lang w:val="en"/>
          </w:rPr>
          <w:t>7.107</w:t>
        </w:r>
      </w:hyperlink>
      <w:r w:rsidR="00C631F0" w:rsidRPr="00E272D9">
        <w:rPr>
          <w:sz w:val="24"/>
          <w:szCs w:val="24"/>
          <w:lang w:val="en"/>
        </w:rPr>
        <w:tab/>
      </w:r>
      <w:r w:rsidR="00C631F0" w:rsidRPr="00E272D9">
        <w:rPr>
          <w:sz w:val="24"/>
          <w:szCs w:val="24"/>
          <w:lang w:val="en"/>
        </w:rPr>
        <w:tab/>
        <w:t>Additional requirements for acquisitions involving consolidation, bundling, or</w:t>
      </w:r>
    </w:p>
    <w:p w:rsidR="00C631F0" w:rsidRPr="00E272D9" w:rsidRDefault="00C631F0" w:rsidP="00430998">
      <w:pPr>
        <w:rPr>
          <w:sz w:val="24"/>
          <w:szCs w:val="24"/>
          <w:lang w:val="en"/>
        </w:rPr>
      </w:pPr>
      <w:r>
        <w:rPr>
          <w:sz w:val="24"/>
          <w:szCs w:val="24"/>
          <w:lang w:val="en"/>
        </w:rPr>
        <w:t>s</w:t>
      </w:r>
      <w:r w:rsidRPr="00E272D9">
        <w:rPr>
          <w:sz w:val="24"/>
          <w:szCs w:val="24"/>
          <w:lang w:val="en"/>
        </w:rPr>
        <w:t>ubstantial</w:t>
      </w:r>
      <w:r>
        <w:rPr>
          <w:sz w:val="24"/>
          <w:szCs w:val="24"/>
          <w:lang w:val="en"/>
        </w:rPr>
        <w:t xml:space="preserve"> </w:t>
      </w:r>
      <w:r w:rsidRPr="00E272D9">
        <w:rPr>
          <w:sz w:val="24"/>
          <w:szCs w:val="24"/>
          <w:lang w:val="en"/>
        </w:rPr>
        <w:t>bundling.</w:t>
      </w:r>
    </w:p>
    <w:p w:rsidR="00C631F0" w:rsidRPr="00E272D9" w:rsidRDefault="0085750D" w:rsidP="00F152A1">
      <w:pPr>
        <w:rPr>
          <w:sz w:val="24"/>
          <w:szCs w:val="24"/>
          <w:lang w:val="en"/>
        </w:rPr>
      </w:pPr>
      <w:hyperlink w:anchor="P7_107_1" w:history="1">
        <w:r w:rsidR="00C631F0" w:rsidRPr="006640DD">
          <w:rPr>
            <w:rStyle w:val="Hyperlink"/>
            <w:bCs/>
            <w:sz w:val="24"/>
            <w:szCs w:val="24"/>
            <w:lang w:val="en"/>
          </w:rPr>
          <w:t>7.107-1</w:t>
        </w:r>
      </w:hyperlink>
      <w:r w:rsidR="00C631F0" w:rsidRPr="00E272D9">
        <w:rPr>
          <w:bCs/>
          <w:color w:val="000000"/>
          <w:sz w:val="24"/>
          <w:szCs w:val="24"/>
          <w:lang w:val="en"/>
        </w:rPr>
        <w:tab/>
        <w:t>General.</w:t>
      </w:r>
    </w:p>
    <w:p w:rsidR="00C631F0" w:rsidRPr="00E272D9" w:rsidRDefault="0085750D" w:rsidP="005B2D8D">
      <w:pPr>
        <w:rPr>
          <w:sz w:val="24"/>
          <w:szCs w:val="24"/>
          <w:lang w:val="en"/>
        </w:rPr>
      </w:pPr>
      <w:hyperlink w:anchor="P7_107_2" w:history="1">
        <w:r w:rsidR="00C631F0" w:rsidRPr="00E272D9">
          <w:rPr>
            <w:rStyle w:val="Hyperlink"/>
            <w:sz w:val="24"/>
            <w:szCs w:val="24"/>
            <w:lang w:val="en"/>
          </w:rPr>
          <w:t>7.107-2</w:t>
        </w:r>
      </w:hyperlink>
      <w:r w:rsidR="00C631F0" w:rsidRPr="00513200">
        <w:rPr>
          <w:rStyle w:val="Hyperlink"/>
          <w:sz w:val="24"/>
          <w:szCs w:val="24"/>
          <w:u w:val="none"/>
          <w:lang w:val="en"/>
        </w:rPr>
        <w:tab/>
      </w:r>
      <w:r w:rsidR="00C631F0" w:rsidRPr="00E272D9">
        <w:rPr>
          <w:sz w:val="24"/>
          <w:szCs w:val="24"/>
          <w:lang w:val="en"/>
        </w:rPr>
        <w:t>Consolidation.</w:t>
      </w:r>
    </w:p>
    <w:p w:rsidR="00C631F0" w:rsidRPr="00E272D9" w:rsidRDefault="0085750D" w:rsidP="005B2D8D">
      <w:pPr>
        <w:rPr>
          <w:sz w:val="24"/>
          <w:szCs w:val="24"/>
          <w:lang w:val="en"/>
        </w:rPr>
      </w:pPr>
      <w:hyperlink w:anchor="P7_107_3" w:history="1">
        <w:r w:rsidR="00C631F0" w:rsidRPr="00E272D9">
          <w:rPr>
            <w:rStyle w:val="Hyperlink"/>
            <w:sz w:val="24"/>
            <w:szCs w:val="24"/>
            <w:lang w:val="en"/>
          </w:rPr>
          <w:t>7.107-3</w:t>
        </w:r>
      </w:hyperlink>
      <w:r w:rsidR="00C631F0" w:rsidRPr="00513200">
        <w:rPr>
          <w:sz w:val="24"/>
          <w:szCs w:val="24"/>
          <w:lang w:val="en"/>
        </w:rPr>
        <w:tab/>
      </w:r>
      <w:r w:rsidR="00C631F0" w:rsidRPr="00E272D9">
        <w:rPr>
          <w:sz w:val="24"/>
          <w:szCs w:val="24"/>
          <w:lang w:val="en"/>
        </w:rPr>
        <w:t>Bundling.</w:t>
      </w:r>
    </w:p>
    <w:p w:rsidR="00C631F0" w:rsidRPr="00E272D9" w:rsidRDefault="0085750D" w:rsidP="005B2D8D">
      <w:pPr>
        <w:rPr>
          <w:sz w:val="24"/>
          <w:szCs w:val="24"/>
          <w:lang w:val="en"/>
        </w:rPr>
      </w:pPr>
      <w:hyperlink w:anchor="P7_107_5" w:history="1">
        <w:r w:rsidR="00C631F0" w:rsidRPr="00E272D9">
          <w:rPr>
            <w:rStyle w:val="Hyperlink"/>
            <w:sz w:val="24"/>
            <w:szCs w:val="24"/>
            <w:lang w:val="en"/>
          </w:rPr>
          <w:t>7.107-5</w:t>
        </w:r>
      </w:hyperlink>
      <w:r w:rsidR="00C631F0" w:rsidRPr="00E272D9">
        <w:rPr>
          <w:sz w:val="24"/>
          <w:szCs w:val="24"/>
          <w:lang w:val="en"/>
        </w:rPr>
        <w:tab/>
        <w:t>Notifications.</w:t>
      </w:r>
    </w:p>
    <w:p w:rsidR="00C631F0" w:rsidRPr="00E272D9" w:rsidRDefault="00C631F0" w:rsidP="005B2D8D">
      <w:pPr>
        <w:rPr>
          <w:sz w:val="24"/>
          <w:szCs w:val="24"/>
          <w:lang w:val="en"/>
        </w:rPr>
      </w:pPr>
      <w:r w:rsidRPr="00E272D9">
        <w:rPr>
          <w:b/>
          <w:bCs/>
          <w:sz w:val="24"/>
          <w:szCs w:val="24"/>
          <w:lang w:val="en"/>
        </w:rPr>
        <w:t>SUBPART 7.2 – PLANNING FOR THE PURCHASE OF SUPPLIES IN ECONOMIC QUANTITIES</w:t>
      </w:r>
    </w:p>
    <w:p w:rsidR="00C631F0" w:rsidRPr="00E272D9" w:rsidRDefault="0085750D" w:rsidP="00F035EB">
      <w:pPr>
        <w:spacing w:after="240"/>
        <w:rPr>
          <w:sz w:val="24"/>
          <w:szCs w:val="24"/>
          <w:lang w:val="en"/>
        </w:rPr>
      </w:pPr>
      <w:hyperlink w:anchor="P7_204" w:history="1">
        <w:r w:rsidR="00C631F0" w:rsidRPr="00E272D9">
          <w:rPr>
            <w:rStyle w:val="Hyperlink"/>
            <w:sz w:val="24"/>
            <w:szCs w:val="24"/>
          </w:rPr>
          <w:t>7.204</w:t>
        </w:r>
      </w:hyperlink>
      <w:r w:rsidR="00C631F0" w:rsidRPr="00E272D9">
        <w:rPr>
          <w:sz w:val="24"/>
          <w:szCs w:val="24"/>
        </w:rPr>
        <w:tab/>
      </w:r>
      <w:r w:rsidR="00C631F0" w:rsidRPr="00E272D9">
        <w:rPr>
          <w:sz w:val="24"/>
          <w:szCs w:val="24"/>
          <w:lang w:val="en"/>
        </w:rPr>
        <w:tab/>
        <w:t>Responsibilities of contracting officer.</w:t>
      </w:r>
    </w:p>
    <w:p w:rsidR="00C631F0" w:rsidRPr="00E272D9" w:rsidRDefault="00C631F0" w:rsidP="006A25DC">
      <w:pPr>
        <w:pStyle w:val="Heading2"/>
        <w:rPr>
          <w:rFonts w:eastAsiaTheme="minorHAnsi"/>
          <w:lang w:val="en"/>
        </w:rPr>
      </w:pPr>
      <w:bookmarkStart w:id="1" w:name="P21_607"/>
      <w:bookmarkEnd w:id="1"/>
      <w:r w:rsidRPr="00E272D9">
        <w:rPr>
          <w:rFonts w:eastAsiaTheme="minorHAnsi"/>
          <w:lang w:val="en"/>
        </w:rPr>
        <w:t>SUBPART 7.1 – ACQUISITION PLANS</w:t>
      </w:r>
    </w:p>
    <w:p w:rsidR="00C631F0" w:rsidRPr="00E272D9" w:rsidRDefault="00C631F0" w:rsidP="00F530B7">
      <w:pPr>
        <w:spacing w:after="240"/>
        <w:jc w:val="center"/>
        <w:rPr>
          <w:i/>
          <w:sz w:val="24"/>
          <w:szCs w:val="24"/>
        </w:rPr>
      </w:pPr>
      <w:r w:rsidRPr="00E272D9">
        <w:rPr>
          <w:i/>
          <w:sz w:val="24"/>
          <w:szCs w:val="24"/>
        </w:rPr>
        <w:t>(Revised August 7, 2019 through PROCLTR 2019-14)</w:t>
      </w:r>
    </w:p>
    <w:p w:rsidR="0085750D" w:rsidRPr="00853CEC" w:rsidRDefault="00C631F0" w:rsidP="0064071A">
      <w:pPr>
        <w:pStyle w:val="Heading3"/>
        <w:rPr>
          <w:rFonts w:eastAsiaTheme="minorHAnsi"/>
          <w:sz w:val="24"/>
          <w:szCs w:val="24"/>
        </w:rPr>
      </w:pPr>
      <w:bookmarkStart w:id="2" w:name="P7_102"/>
      <w:r w:rsidRPr="00853CEC">
        <w:rPr>
          <w:rFonts w:eastAsiaTheme="minorHAnsi"/>
          <w:sz w:val="24"/>
          <w:szCs w:val="24"/>
        </w:rPr>
        <w:t xml:space="preserve">7.102 </w:t>
      </w:r>
      <w:bookmarkEnd w:id="2"/>
      <w:r w:rsidRPr="00853CEC">
        <w:rPr>
          <w:rFonts w:eastAsiaTheme="minorHAnsi"/>
          <w:sz w:val="24"/>
          <w:szCs w:val="24"/>
        </w:rPr>
        <w:t>Policy.</w:t>
      </w:r>
    </w:p>
    <w:p w:rsidR="0085750D" w:rsidRPr="00E272D9" w:rsidRDefault="0085750D" w:rsidP="0085750D">
      <w:pPr>
        <w:pStyle w:val="List1"/>
      </w:pPr>
      <w:r w:rsidRPr="00E272D9">
        <w:t>(a)</w:t>
      </w:r>
      <w:r w:rsidR="00C631F0" w:rsidRPr="00E272D9">
        <w:t xml:space="preserve">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rsidR="0085750D" w:rsidRPr="00E272D9" w:rsidRDefault="00C631F0" w:rsidP="0085750D">
      <w:pPr>
        <w:pStyle w:val="List2"/>
        <w:rPr>
          <w:snapToGrid w:val="0"/>
        </w:rPr>
      </w:pPr>
      <w:r w:rsidRPr="0085750D">
        <w:t>(1)</w:t>
      </w:r>
      <w:r w:rsidRPr="00E272D9">
        <w:rPr>
          <w:snapToGrid w:val="0"/>
          <w:sz w:val="24"/>
          <w:szCs w:val="24"/>
        </w:rPr>
        <w:t xml:space="preserve"> Individual orders (except orders greater than the SAT against non-DoD contracts) against contracts when the contract-level acquisition plan is adequate to cover all anticipated orders and the order is issued in strict compliance with the terms of the basic contract.</w:t>
      </w:r>
    </w:p>
    <w:p w:rsidR="0085750D" w:rsidRPr="00E272D9" w:rsidRDefault="00C631F0" w:rsidP="0085750D">
      <w:pPr>
        <w:pStyle w:val="List2"/>
        <w:rPr>
          <w:snapToGrid w:val="0"/>
        </w:rPr>
      </w:pPr>
      <w:r w:rsidRPr="00E272D9">
        <w:rPr>
          <w:snapToGrid w:val="0"/>
          <w:sz w:val="24"/>
          <w:szCs w:val="24"/>
        </w:rPr>
        <w:t>(2) A modification of the contract.</w:t>
      </w:r>
    </w:p>
    <w:p w:rsidR="0085750D" w:rsidRPr="00E272D9" w:rsidRDefault="00C631F0" w:rsidP="0085750D">
      <w:pPr>
        <w:pStyle w:val="List2"/>
        <w:rPr>
          <w:snapToGrid w:val="0"/>
        </w:rPr>
      </w:pPr>
      <w:r w:rsidRPr="00E272D9">
        <w:rPr>
          <w:snapToGrid w:val="0"/>
          <w:sz w:val="24"/>
          <w:szCs w:val="24"/>
        </w:rPr>
        <w:t>(3) Acquisition of replenishment parts, below DFARS 207.103 thresholds (where applicable).</w:t>
      </w:r>
    </w:p>
    <w:p w:rsidR="0085750D" w:rsidRPr="00E272D9" w:rsidRDefault="0085750D" w:rsidP="0085750D">
      <w:pPr>
        <w:pStyle w:val="List1"/>
      </w:pPr>
      <w:r w:rsidRPr="00E272D9">
        <w:t>(b)</w:t>
      </w:r>
      <w:r w:rsidR="00C631F0" w:rsidRPr="00E272D9">
        <w:t xml:space="preserve"> Acquisition plans shall be completed and approved prior to solicitation issuance. The clearance authority levels in DLAD </w:t>
      </w:r>
      <w:hyperlink w:anchor="P1_690_1" w:history="1">
        <w:r w:rsidR="00C631F0" w:rsidRPr="00E272D9">
          <w:rPr>
            <w:rStyle w:val="Hyperlink"/>
          </w:rPr>
          <w:t>1.690-1</w:t>
        </w:r>
      </w:hyperlink>
      <w:r w:rsidR="00C631F0" w:rsidRPr="00E272D9">
        <w:t xml:space="preserve"> apply.</w:t>
      </w:r>
    </w:p>
    <w:p w:rsidR="0085750D" w:rsidRPr="00E272D9" w:rsidRDefault="0085750D" w:rsidP="0085750D">
      <w:pPr>
        <w:pStyle w:val="List1"/>
      </w:pPr>
      <w:r w:rsidRPr="00E272D9">
        <w:t>(c)</w:t>
      </w:r>
      <w:r w:rsidR="00C631F0" w:rsidRPr="00E272D9">
        <w:t xml:space="preserve"> For urgent requirements, the HCA is authorized to waive the requirement for approval prior to solicitation issuance.</w:t>
      </w:r>
    </w:p>
    <w:p w:rsidR="0085750D" w:rsidRPr="00E272D9" w:rsidRDefault="0085750D" w:rsidP="0085750D">
      <w:pPr>
        <w:pStyle w:val="List1"/>
      </w:pPr>
      <w:r w:rsidRPr="00E272D9">
        <w:t>(d)</w:t>
      </w:r>
      <w:r w:rsidR="00C631F0" w:rsidRPr="00E272D9">
        <w:t xml:space="preserve"> Reserved.</w:t>
      </w:r>
    </w:p>
    <w:p w:rsidR="0085750D" w:rsidRPr="00E272D9" w:rsidRDefault="0085750D" w:rsidP="0085750D">
      <w:pPr>
        <w:pStyle w:val="List1"/>
      </w:pPr>
      <w:r w:rsidRPr="00E272D9">
        <w:t>(e)</w:t>
      </w:r>
      <w:r w:rsidR="00C631F0" w:rsidRPr="00E272D9">
        <w:t xml:space="preserve"> The level of detail provided in the acquisition plan should be commensurate with the complexity and dollar value of the acquisition.</w:t>
      </w:r>
    </w:p>
    <w:p w:rsidR="00C631F0" w:rsidRPr="00E272D9" w:rsidRDefault="00C631F0" w:rsidP="0085750D">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Pr>
          <w:snapToGrid w:val="0"/>
          <w:sz w:val="24"/>
          <w:szCs w:val="24"/>
        </w:rPr>
        <w:t xml:space="preserve"> 6.301 and FAR 6.304</w:t>
      </w:r>
      <w:r w:rsidRPr="009A1BF1">
        <w:rPr>
          <w:snapToGrid w:val="0"/>
          <w:sz w:val="24"/>
          <w:szCs w:val="24"/>
        </w:rPr>
        <w:t>)</w:t>
      </w:r>
      <w:r w:rsidRPr="00E272D9">
        <w:rPr>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rsidR="0085750D" w:rsidRPr="00853CEC" w:rsidRDefault="00C631F0" w:rsidP="0064071A">
      <w:pPr>
        <w:pStyle w:val="Heading3"/>
        <w:rPr>
          <w:sz w:val="24"/>
          <w:szCs w:val="24"/>
        </w:rPr>
      </w:pPr>
      <w:bookmarkStart w:id="3" w:name="P7_102_90"/>
      <w:r w:rsidRPr="00853CEC">
        <w:rPr>
          <w:sz w:val="24"/>
          <w:szCs w:val="24"/>
        </w:rPr>
        <w:t xml:space="preserve">7.102-90 </w:t>
      </w:r>
      <w:bookmarkEnd w:id="3"/>
      <w:r w:rsidRPr="00853CEC">
        <w:rPr>
          <w:sz w:val="24"/>
          <w:szCs w:val="24"/>
        </w:rPr>
        <w:t>Contract management plan (CMP).</w:t>
      </w:r>
    </w:p>
    <w:p w:rsidR="0085750D" w:rsidRPr="00E272D9" w:rsidRDefault="0085750D" w:rsidP="0085750D">
      <w:pPr>
        <w:pStyle w:val="List1"/>
      </w:pPr>
      <w:r w:rsidRPr="00E272D9">
        <w:lastRenderedPageBreak/>
        <w:t>(a)</w:t>
      </w:r>
      <w:r w:rsidR="00C631F0" w:rsidRPr="00E272D9">
        <w:t xml:space="preserve"> </w:t>
      </w:r>
      <w:r w:rsidR="00C631F0" w:rsidRPr="00E272D9">
        <w:rPr>
          <w:i/>
          <w:iCs/>
        </w:rPr>
        <w:t xml:space="preserve">Purpose. </w:t>
      </w:r>
      <w:r w:rsidR="00C631F0"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rsidR="0085750D" w:rsidRPr="00E272D9" w:rsidRDefault="0085750D" w:rsidP="0085750D">
      <w:pPr>
        <w:pStyle w:val="List1"/>
      </w:pPr>
      <w:r w:rsidRPr="00E272D9">
        <w:t>(b)</w:t>
      </w:r>
      <w:r w:rsidR="00C631F0" w:rsidRPr="00E272D9">
        <w:t xml:space="preserve"> </w:t>
      </w:r>
      <w:r w:rsidR="00C631F0" w:rsidRPr="00E272D9">
        <w:rPr>
          <w:i/>
          <w:iCs/>
        </w:rPr>
        <w:t xml:space="preserve">Applicability. </w:t>
      </w:r>
      <w:r w:rsidR="00C631F0" w:rsidRPr="00E272D9">
        <w:t>A CMP is required</w:t>
      </w:r>
      <w:r w:rsidR="00C631F0">
        <w:t>—</w:t>
      </w:r>
    </w:p>
    <w:p w:rsidR="0085750D" w:rsidRPr="00E272D9" w:rsidRDefault="00C631F0" w:rsidP="0085750D">
      <w:pPr>
        <w:pStyle w:val="List2"/>
      </w:pPr>
      <w:r w:rsidRPr="00E272D9">
        <w:t>(1) For all strategic contracts (STRATCONs);</w:t>
      </w:r>
    </w:p>
    <w:p w:rsidR="0085750D" w:rsidRPr="00E272D9" w:rsidRDefault="00C631F0" w:rsidP="0085750D">
      <w:pPr>
        <w:pStyle w:val="List2"/>
      </w:pPr>
      <w:r w:rsidRPr="00E272D9">
        <w:t>(2) When the clearance authority is the SPE;</w:t>
      </w:r>
    </w:p>
    <w:p w:rsidR="0085750D" w:rsidRPr="00E272D9" w:rsidRDefault="00C631F0" w:rsidP="0085750D">
      <w:pPr>
        <w:pStyle w:val="List2"/>
      </w:pPr>
      <w:r w:rsidRPr="00E272D9">
        <w:t>(3) When the clearance authority is the HCA and the DLA Acquisition Deputy Director is the HCA; or</w:t>
      </w:r>
    </w:p>
    <w:p w:rsidR="0085750D" w:rsidRPr="00E272D9" w:rsidRDefault="00C631F0" w:rsidP="0085750D">
      <w:pPr>
        <w:pStyle w:val="List2"/>
      </w:pPr>
      <w:r w:rsidRPr="00E272D9">
        <w:t>(4) As determined by the procuring organization.</w:t>
      </w:r>
    </w:p>
    <w:p w:rsidR="0085750D" w:rsidRPr="00E272D9" w:rsidRDefault="0085750D" w:rsidP="0085750D">
      <w:pPr>
        <w:pStyle w:val="List1"/>
      </w:pPr>
      <w:r w:rsidRPr="00E272D9">
        <w:t>(c)</w:t>
      </w:r>
      <w:r w:rsidR="00C631F0" w:rsidRPr="00E272D9">
        <w:t xml:space="preserve"> </w:t>
      </w:r>
      <w:r w:rsidR="00C631F0" w:rsidRPr="00E272D9">
        <w:rPr>
          <w:i/>
          <w:iCs/>
        </w:rPr>
        <w:t xml:space="preserve">Content. </w:t>
      </w:r>
      <w:r w:rsidR="00C631F0"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rsidR="0085750D" w:rsidRPr="00E272D9" w:rsidRDefault="0085750D" w:rsidP="0085750D">
      <w:pPr>
        <w:pStyle w:val="List1"/>
      </w:pPr>
      <w:r w:rsidRPr="00E272D9">
        <w:t>(d)</w:t>
      </w:r>
      <w:r w:rsidR="00C631F0" w:rsidRPr="00E272D9">
        <w:t xml:space="preserve"> </w:t>
      </w:r>
      <w:r w:rsidR="00C631F0" w:rsidRPr="00E272D9">
        <w:rPr>
          <w:i/>
          <w:iCs/>
        </w:rPr>
        <w:t>Responsibilities.</w:t>
      </w:r>
    </w:p>
    <w:p w:rsidR="0085750D" w:rsidRPr="00E272D9" w:rsidRDefault="00C631F0" w:rsidP="0085750D">
      <w:pPr>
        <w:pStyle w:val="List2"/>
      </w:pPr>
      <w:r w:rsidRPr="00E272D9">
        <w:t>(1) The CCO shall ensure resources are balanced across all CMPs.</w:t>
      </w:r>
    </w:p>
    <w:p w:rsidR="0085750D" w:rsidRPr="00E272D9" w:rsidRDefault="00C631F0" w:rsidP="0085750D">
      <w:pPr>
        <w:pStyle w:val="List2"/>
      </w:pPr>
      <w:r w:rsidRPr="00E272D9">
        <w:t>(2) The contracting officer shall—</w:t>
      </w:r>
    </w:p>
    <w:p w:rsidR="0085750D" w:rsidRPr="00E272D9" w:rsidRDefault="00C631F0" w:rsidP="0085750D">
      <w:pPr>
        <w:pStyle w:val="List3"/>
      </w:pPr>
      <w:r w:rsidRPr="00E272D9">
        <w:t>(i) Tailor each CMP to address the specific acquisition.</w:t>
      </w:r>
      <w:bookmarkStart w:id="4" w:name="_GoBack"/>
      <w:bookmarkEnd w:id="4"/>
    </w:p>
    <w:p w:rsidR="0085750D" w:rsidRPr="00E272D9" w:rsidRDefault="00C631F0" w:rsidP="0085750D">
      <w:pPr>
        <w:pStyle w:val="List3"/>
      </w:pPr>
      <w:r w:rsidRPr="00E272D9">
        <w:t>(ii) Submit the CMP for approval prior to contract award.</w:t>
      </w:r>
    </w:p>
    <w:p w:rsidR="0085750D" w:rsidRPr="00E272D9" w:rsidRDefault="00C631F0" w:rsidP="0085750D">
      <w:pPr>
        <w:pStyle w:val="List3"/>
      </w:pPr>
      <w:r w:rsidRPr="00E272D9">
        <w:t>(iii) Adjust the CMP as necessary throughout the life of the contract.</w:t>
      </w:r>
    </w:p>
    <w:p w:rsidR="0085750D" w:rsidRPr="00E272D9" w:rsidRDefault="0085750D" w:rsidP="0085750D">
      <w:pPr>
        <w:pStyle w:val="List1"/>
      </w:pPr>
      <w:r w:rsidRPr="00E272D9">
        <w:t>(e)</w:t>
      </w:r>
      <w:r w:rsidR="00C631F0" w:rsidRPr="00E272D9">
        <w:t xml:space="preserve"> </w:t>
      </w:r>
      <w:r w:rsidR="00C631F0" w:rsidRPr="00E272D9">
        <w:rPr>
          <w:i/>
          <w:iCs/>
        </w:rPr>
        <w:t xml:space="preserve">Clearance authority. </w:t>
      </w:r>
      <w:r w:rsidR="00C631F0"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rsidR="00C631F0" w:rsidRPr="00E272D9" w:rsidRDefault="0085750D" w:rsidP="0085750D">
      <w:pPr>
        <w:pStyle w:val="List1"/>
      </w:pPr>
      <w:r w:rsidRPr="00E272D9">
        <w:t>(f)</w:t>
      </w:r>
      <w:r w:rsidR="00C631F0" w:rsidRPr="00E272D9">
        <w:t xml:space="preserve"> </w:t>
      </w:r>
      <w:r w:rsidR="00C631F0" w:rsidRPr="00E272D9">
        <w:rPr>
          <w:i/>
          <w:iCs/>
        </w:rPr>
        <w:t xml:space="preserve">Request for waiver. </w:t>
      </w:r>
      <w:r w:rsidR="00C631F0" w:rsidRPr="00E272D9">
        <w:t>The HCA shall submit a request for waiver when the clearance authority is the SPE; except that when the DLA Acquisition Deputy Director is the HCA, the CCO shall submit the request.</w:t>
      </w:r>
    </w:p>
    <w:p w:rsidR="0085750D" w:rsidRPr="006640DD" w:rsidRDefault="00C631F0" w:rsidP="004B1CDB">
      <w:pPr>
        <w:pStyle w:val="Heading3"/>
        <w:rPr>
          <w:rFonts w:eastAsiaTheme="minorHAnsi"/>
          <w:sz w:val="24"/>
          <w:szCs w:val="24"/>
          <w:lang w:val="en"/>
        </w:rPr>
      </w:pPr>
      <w:bookmarkStart w:id="5" w:name="P24_691"/>
      <w:bookmarkStart w:id="6" w:name="P7_103"/>
      <w:bookmarkEnd w:id="5"/>
      <w:r w:rsidRPr="006640DD">
        <w:rPr>
          <w:rFonts w:eastAsiaTheme="minorHAnsi"/>
          <w:sz w:val="24"/>
          <w:szCs w:val="24"/>
          <w:lang w:val="en"/>
        </w:rPr>
        <w:t>7.103</w:t>
      </w:r>
      <w:bookmarkEnd w:id="6"/>
      <w:r w:rsidRPr="006640DD">
        <w:rPr>
          <w:rFonts w:eastAsiaTheme="minorHAnsi"/>
          <w:sz w:val="24"/>
          <w:szCs w:val="24"/>
          <w:lang w:val="en"/>
        </w:rPr>
        <w:t xml:space="preserve"> Agency-head responsibilities.</w:t>
      </w:r>
    </w:p>
    <w:p w:rsidR="0085750D" w:rsidRPr="00E272D9" w:rsidRDefault="0085750D" w:rsidP="0085750D">
      <w:pPr>
        <w:pStyle w:val="List1"/>
      </w:pPr>
      <w:r w:rsidRPr="00E272D9">
        <w:t>(a)</w:t>
      </w:r>
      <w:r w:rsidR="00C631F0" w:rsidRPr="00E272D9">
        <w:t xml:space="preserve"> Procuring organization COMPADs, small business specialists, technical personnel, and program managers are the resources to assist contracting officers in expanding competition.</w:t>
      </w:r>
    </w:p>
    <w:p w:rsidR="0085750D" w:rsidRPr="00E272D9" w:rsidRDefault="0085750D" w:rsidP="0085750D">
      <w:pPr>
        <w:pStyle w:val="List1"/>
      </w:pPr>
      <w:r w:rsidRPr="00E272D9">
        <w:t>(b)</w:t>
      </w:r>
      <w:r w:rsidR="00C631F0" w:rsidRPr="00E272D9">
        <w:t xml:space="preserve"> Procuring organization COMPADs, small business specialists, technical personnel, and program managers are the resources to assist contracting officers in expanding the use of commercial items.</w:t>
      </w:r>
    </w:p>
    <w:p w:rsidR="0085750D" w:rsidRPr="00E272D9" w:rsidRDefault="0085750D" w:rsidP="0085750D">
      <w:pPr>
        <w:pStyle w:val="List1"/>
      </w:pPr>
      <w:r w:rsidRPr="00E272D9">
        <w:t>(d)</w:t>
      </w:r>
      <w:r w:rsidR="00C631F0" w:rsidRPr="00E272D9">
        <w:t xml:space="preserve">(i)(B) An acquisition valued over the SAT but less than $50 million for all years requires a written streamlined acquisition plan (SAP) (see template in </w:t>
      </w:r>
      <w:hyperlink w:anchor="P53_9007_a" w:history="1">
        <w:r w:rsidR="00C631F0" w:rsidRPr="00E272D9">
          <w:rPr>
            <w:rStyle w:val="Hyperlink"/>
          </w:rPr>
          <w:t>53.9007(a)</w:t>
        </w:r>
      </w:hyperlink>
      <w:r w:rsidR="00C631F0" w:rsidRPr="00E272D9">
        <w:t>). For acquisitions valued $50 million or more for all years or $25 million or more for any fiscal year, follow DFARS 207.103(d)(i)(B).</w:t>
      </w:r>
    </w:p>
    <w:p w:rsidR="00C631F0" w:rsidRPr="00E272D9" w:rsidRDefault="0085750D" w:rsidP="0085750D">
      <w:pPr>
        <w:pStyle w:val="List1"/>
      </w:pPr>
      <w:r w:rsidRPr="00E272D9">
        <w:t>(g)</w:t>
      </w:r>
      <w:r w:rsidR="00C631F0" w:rsidRPr="00E272D9">
        <w:t xml:space="preserve"> 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p>
    <w:p w:rsidR="0085750D" w:rsidRPr="006640DD" w:rsidRDefault="00C631F0" w:rsidP="00ED25C8">
      <w:pPr>
        <w:pStyle w:val="Heading3"/>
        <w:rPr>
          <w:sz w:val="24"/>
          <w:szCs w:val="24"/>
          <w:lang w:val="en"/>
        </w:rPr>
      </w:pPr>
      <w:bookmarkStart w:id="7" w:name="P65_6200"/>
      <w:bookmarkStart w:id="8" w:name="P69_7082"/>
      <w:bookmarkStart w:id="9" w:name="P7_105"/>
      <w:bookmarkStart w:id="10" w:name="P7_107"/>
      <w:bookmarkEnd w:id="7"/>
      <w:bookmarkEnd w:id="8"/>
      <w:r w:rsidRPr="006640DD">
        <w:rPr>
          <w:sz w:val="24"/>
          <w:szCs w:val="24"/>
          <w:lang w:val="en"/>
        </w:rPr>
        <w:t xml:space="preserve">7.105 </w:t>
      </w:r>
      <w:bookmarkEnd w:id="9"/>
      <w:r w:rsidRPr="006640DD">
        <w:rPr>
          <w:sz w:val="24"/>
          <w:szCs w:val="24"/>
          <w:lang w:val="en"/>
        </w:rPr>
        <w:t>Contents of written acquisition plans.</w:t>
      </w:r>
    </w:p>
    <w:p w:rsidR="0085750D" w:rsidRPr="00E272D9" w:rsidRDefault="0085750D" w:rsidP="0085750D">
      <w:pPr>
        <w:pStyle w:val="List1"/>
      </w:pPr>
      <w:r w:rsidRPr="00E272D9">
        <w:rPr>
          <w:bCs/>
          <w:color w:val="000000"/>
        </w:rPr>
        <w:t>(b)</w:t>
      </w:r>
      <w:r w:rsidR="00C631F0" w:rsidRPr="00E272D9">
        <w:rPr>
          <w:bCs/>
          <w:color w:val="000000"/>
        </w:rPr>
        <w:t>(1)(iv) For any bundled requirement, contracting officers shall—</w:t>
      </w:r>
    </w:p>
    <w:p w:rsidR="0085750D" w:rsidRPr="00E272D9" w:rsidRDefault="00C631F0" w:rsidP="0085750D">
      <w:pPr>
        <w:pStyle w:val="List2"/>
        <w:rPr>
          <w:lang w:val="en"/>
        </w:rPr>
      </w:pPr>
      <w:r w:rsidRPr="00E272D9">
        <w:rPr>
          <w:bCs/>
          <w:color w:val="000000"/>
          <w:sz w:val="24"/>
          <w:szCs w:val="24"/>
          <w:lang w:val="en"/>
        </w:rPr>
        <w:lastRenderedPageBreak/>
        <w:t>(1) Notify the DLA Office of Small Business Programs (OSBP) for acquisitions valued over $2 million prior to acquisition plan approval;</w:t>
      </w:r>
    </w:p>
    <w:p w:rsidR="00C631F0" w:rsidRPr="00E272D9" w:rsidRDefault="00C631F0" w:rsidP="0085750D">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rsidR="00C631F0" w:rsidRPr="00E272D9" w:rsidRDefault="00C631F0" w:rsidP="0085750D">
      <w:pPr>
        <w:pStyle w:val="List2"/>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rsidR="00C631F0" w:rsidRPr="006640DD" w:rsidRDefault="00C631F0" w:rsidP="00ED25C8">
      <w:pPr>
        <w:pStyle w:val="Heading3"/>
        <w:spacing w:after="240"/>
        <w:rPr>
          <w:sz w:val="24"/>
          <w:szCs w:val="24"/>
        </w:rPr>
      </w:pPr>
      <w:r w:rsidRPr="006640DD">
        <w:rPr>
          <w:sz w:val="24"/>
          <w:szCs w:val="24"/>
        </w:rPr>
        <w:t>7.107</w:t>
      </w:r>
      <w:bookmarkEnd w:id="10"/>
      <w:r w:rsidRPr="006640DD">
        <w:rPr>
          <w:sz w:val="24"/>
          <w:szCs w:val="24"/>
        </w:rPr>
        <w:t xml:space="preserve"> Additional requirements for acquisitions involving consolidation, bundling, or substantial bundling.</w:t>
      </w:r>
    </w:p>
    <w:p w:rsidR="00C631F0" w:rsidRPr="006640DD" w:rsidRDefault="00C631F0" w:rsidP="00ED25C8">
      <w:pPr>
        <w:pStyle w:val="Heading3"/>
        <w:rPr>
          <w:sz w:val="24"/>
          <w:szCs w:val="24"/>
          <w:lang w:val="en"/>
        </w:rPr>
      </w:pPr>
      <w:bookmarkStart w:id="11" w:name="P7_107_1"/>
      <w:r w:rsidRPr="006640DD">
        <w:rPr>
          <w:sz w:val="24"/>
          <w:szCs w:val="24"/>
          <w:lang w:val="en"/>
        </w:rPr>
        <w:t xml:space="preserve">7.107-1 </w:t>
      </w:r>
      <w:bookmarkEnd w:id="11"/>
      <w:r w:rsidRPr="006640DD">
        <w:rPr>
          <w:sz w:val="24"/>
          <w:szCs w:val="24"/>
          <w:lang w:val="en"/>
        </w:rPr>
        <w:t>General.</w:t>
      </w:r>
    </w:p>
    <w:p w:rsidR="00C631F0" w:rsidRPr="00E272D9" w:rsidRDefault="00C631F0" w:rsidP="00AD0D7D">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P7_107_2_b" w:history="1">
        <w:r w:rsidRPr="001B746C">
          <w:rPr>
            <w:rStyle w:val="Hyperlink"/>
            <w:sz w:val="24"/>
            <w:szCs w:val="24"/>
            <w:lang w:val="en"/>
          </w:rPr>
          <w:t>7.107-2(b)</w:t>
        </w:r>
      </w:hyperlink>
      <w:r w:rsidRPr="00E272D9">
        <w:rPr>
          <w:sz w:val="24"/>
          <w:szCs w:val="24"/>
          <w:lang w:val="en"/>
        </w:rPr>
        <w:t xml:space="preserve"> and </w:t>
      </w:r>
      <w:hyperlink w:anchor="P7_107_3_a" w:history="1">
        <w:r w:rsidRPr="001B746C">
          <w:rPr>
            <w:rStyle w:val="Hyperlink"/>
            <w:sz w:val="24"/>
            <w:szCs w:val="24"/>
            <w:lang w:val="en"/>
          </w:rPr>
          <w:t>7.107-3(a)</w:t>
        </w:r>
      </w:hyperlink>
      <w:r w:rsidRPr="00E272D9">
        <w:rPr>
          <w:sz w:val="24"/>
          <w:szCs w:val="24"/>
          <w:lang w:val="en"/>
        </w:rPr>
        <w:t>.</w:t>
      </w:r>
    </w:p>
    <w:p w:rsidR="00C631F0" w:rsidRPr="00E272D9" w:rsidRDefault="00C631F0"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rsidR="0085750D" w:rsidRPr="006640DD" w:rsidRDefault="00C631F0" w:rsidP="00ED25C8">
      <w:pPr>
        <w:pStyle w:val="Heading3"/>
        <w:rPr>
          <w:sz w:val="24"/>
          <w:szCs w:val="24"/>
        </w:rPr>
      </w:pPr>
      <w:bookmarkStart w:id="12" w:name="P7_107_2"/>
      <w:r w:rsidRPr="006640DD">
        <w:rPr>
          <w:sz w:val="24"/>
          <w:szCs w:val="24"/>
        </w:rPr>
        <w:t xml:space="preserve">7.107-2 </w:t>
      </w:r>
      <w:bookmarkEnd w:id="12"/>
      <w:r w:rsidRPr="006640DD">
        <w:rPr>
          <w:sz w:val="24"/>
          <w:szCs w:val="24"/>
        </w:rPr>
        <w:t>Consolidation.</w:t>
      </w:r>
    </w:p>
    <w:p w:rsidR="00C631F0" w:rsidRPr="00E272D9" w:rsidRDefault="0085750D" w:rsidP="0085750D">
      <w:pPr>
        <w:pStyle w:val="List1"/>
      </w:pPr>
      <w:bookmarkStart w:id="13" w:name="P7_102_2_b"/>
      <w:bookmarkStart w:id="14" w:name="P7_107_2_b"/>
      <w:r w:rsidRPr="00E272D9">
        <w:t>(b)</w:t>
      </w:r>
      <w:r w:rsidR="00C631F0" w:rsidRPr="00E272D9">
        <w:t xml:space="preserve"> </w:t>
      </w:r>
      <w:bookmarkEnd w:id="13"/>
      <w:bookmarkEnd w:id="14"/>
      <w:r w:rsidR="00C631F0" w:rsidRPr="00E272D9">
        <w:t>For all procuring organizations, the SPE has delegated the authority to execute consolidation determinations to the CCO for acquisitions valued over $2 million up to $10 million, and to the HCA for acquisitions valued over $</w:t>
      </w:r>
      <w:r w:rsidR="00C631F0">
        <w:t xml:space="preserve">10 million up to $100 million. </w:t>
      </w:r>
      <w:r w:rsidR="00C631F0" w:rsidRPr="00E272D9">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C631F0">
        <w:t xml:space="preserve">on by small business concerns. </w:t>
      </w:r>
      <w:r w:rsidR="00C631F0" w:rsidRPr="00E272D9">
        <w:t>The SPE is the determining authority for procurements over $100 million.</w:t>
      </w:r>
    </w:p>
    <w:p w:rsidR="0085750D" w:rsidRPr="006640DD" w:rsidRDefault="00C631F0" w:rsidP="00ED25C8">
      <w:pPr>
        <w:pStyle w:val="Heading3"/>
        <w:rPr>
          <w:sz w:val="24"/>
          <w:szCs w:val="24"/>
        </w:rPr>
      </w:pPr>
      <w:bookmarkStart w:id="15" w:name="P7_107_3"/>
      <w:r w:rsidRPr="006640DD">
        <w:rPr>
          <w:sz w:val="24"/>
          <w:szCs w:val="24"/>
        </w:rPr>
        <w:t>7.107-3</w:t>
      </w:r>
      <w:bookmarkEnd w:id="15"/>
      <w:r w:rsidRPr="006640DD">
        <w:rPr>
          <w:sz w:val="24"/>
          <w:szCs w:val="24"/>
        </w:rPr>
        <w:t xml:space="preserve"> Bundling.</w:t>
      </w:r>
    </w:p>
    <w:p w:rsidR="0085750D" w:rsidRPr="00E272D9" w:rsidRDefault="0085750D" w:rsidP="0085750D">
      <w:pPr>
        <w:pStyle w:val="List1"/>
      </w:pPr>
      <w:bookmarkStart w:id="16" w:name="P7_107_3_a"/>
      <w:r w:rsidRPr="00E272D9">
        <w:t>(a)</w:t>
      </w:r>
      <w:r w:rsidR="00C631F0" w:rsidRPr="00E272D9">
        <w:t xml:space="preserve"> </w:t>
      </w:r>
      <w:bookmarkEnd w:id="16"/>
      <w:r w:rsidR="00C631F0" w:rsidRPr="00E272D9">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rsidR="00C631F0" w:rsidRPr="00E272D9" w:rsidRDefault="0085750D" w:rsidP="0085750D">
      <w:pPr>
        <w:pStyle w:val="List1"/>
      </w:pPr>
      <w:r w:rsidRPr="00E272D9">
        <w:t>(f)</w:t>
      </w:r>
      <w:r w:rsidR="00C631F0" w:rsidRPr="00E272D9">
        <w:t>(2) Submit the justification to the DLA Acquisition Operations Division. Approval must be obtained prior to issuing the solicitation. The SPE has approval authority, without power of delegation.</w:t>
      </w:r>
    </w:p>
    <w:p w:rsidR="0085750D" w:rsidRPr="006640DD" w:rsidRDefault="00C631F0" w:rsidP="00ED25C8">
      <w:pPr>
        <w:pStyle w:val="Heading3"/>
        <w:rPr>
          <w:sz w:val="24"/>
          <w:szCs w:val="24"/>
          <w:lang w:val="en"/>
        </w:rPr>
      </w:pPr>
      <w:bookmarkStart w:id="17" w:name="P7_107_5"/>
      <w:r w:rsidRPr="006640DD">
        <w:rPr>
          <w:sz w:val="24"/>
          <w:szCs w:val="24"/>
          <w:lang w:val="en"/>
        </w:rPr>
        <w:t xml:space="preserve">7.107-5 </w:t>
      </w:r>
      <w:bookmarkEnd w:id="17"/>
      <w:r w:rsidRPr="006640DD">
        <w:rPr>
          <w:sz w:val="24"/>
          <w:szCs w:val="24"/>
          <w:lang w:val="en"/>
        </w:rPr>
        <w:t>Notifications.</w:t>
      </w:r>
    </w:p>
    <w:p w:rsidR="0085750D" w:rsidRPr="00E272D9" w:rsidRDefault="0085750D" w:rsidP="0085750D">
      <w:pPr>
        <w:pStyle w:val="List1"/>
      </w:pPr>
      <w:r w:rsidRPr="00E272D9">
        <w:t>(a)</w:t>
      </w:r>
      <w:r w:rsidR="00C631F0" w:rsidRPr="00E272D9">
        <w:t>(1)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rsidR="00C631F0" w:rsidRPr="00E272D9" w:rsidRDefault="0085750D" w:rsidP="0085750D">
      <w:pPr>
        <w:pStyle w:val="List1"/>
      </w:pPr>
      <w:r w:rsidRPr="00E272D9">
        <w:t>(b)</w:t>
      </w:r>
      <w:r w:rsidR="00C631F0" w:rsidRPr="00E272D9">
        <w:t xml:space="preserve">(1) Each procuring organization’s website is the agency website for purposes of posting notices of bundled requirements. Procuring organizations that do not have a public website should post notices of bundled requirements to </w:t>
      </w:r>
      <w:r w:rsidR="00C631F0">
        <w:rPr>
          <w:rFonts w:ascii="Source Sans Pro Web" w:hAnsi="Source Sans Pro Web" w:cs="Arial"/>
          <w:color w:val="1B1B1B"/>
        </w:rPr>
        <w:t>Contract Opportunities</w:t>
      </w:r>
      <w:r w:rsidR="00C631F0" w:rsidRPr="00E272D9">
        <w:t xml:space="preserve"> </w:t>
      </w:r>
      <w:r w:rsidR="00C631F0">
        <w:t xml:space="preserve">at </w:t>
      </w:r>
      <w:hyperlink r:id="rId12" w:history="1">
        <w:r w:rsidR="00C631F0">
          <w:rPr>
            <w:rStyle w:val="Hyperlink"/>
          </w:rPr>
          <w:t>Authoritative Site for Assistance Listings, Wage Determinations, and Contract Opportunities</w:t>
        </w:r>
      </w:hyperlink>
      <w:r w:rsidR="00C631F0">
        <w:t xml:space="preserve"> (</w:t>
      </w:r>
      <w:hyperlink r:id="rId13" w:history="1">
        <w:r w:rsidR="00C631F0" w:rsidRPr="00CC1980">
          <w:rPr>
            <w:rStyle w:val="Hyperlink"/>
          </w:rPr>
          <w:t>https://beta.sam.gov/</w:t>
        </w:r>
      </w:hyperlink>
      <w:r w:rsidR="00C631F0">
        <w:t>)</w:t>
      </w:r>
      <w:r w:rsidR="00C631F0" w:rsidRPr="00E272D9">
        <w:t>.</w:t>
      </w:r>
    </w:p>
    <w:p w:rsidR="00C631F0" w:rsidRPr="00E272D9" w:rsidRDefault="00C631F0" w:rsidP="006A25DC">
      <w:pPr>
        <w:pStyle w:val="Heading2"/>
        <w:rPr>
          <w:lang w:val="en"/>
        </w:rPr>
      </w:pPr>
      <w:r w:rsidRPr="00E272D9">
        <w:rPr>
          <w:lang w:val="en"/>
        </w:rPr>
        <w:t>SUBPART 7.2 – PLANNING FOR THE PURCHASE OF SUPPLIES IN ECONOMIC QUANTITIES</w:t>
      </w:r>
    </w:p>
    <w:p w:rsidR="00C631F0" w:rsidRPr="00E272D9" w:rsidRDefault="00C631F0" w:rsidP="00597C75">
      <w:pPr>
        <w:spacing w:after="240"/>
        <w:jc w:val="center"/>
        <w:rPr>
          <w:b/>
          <w:i/>
          <w:sz w:val="24"/>
          <w:szCs w:val="24"/>
          <w:lang w:val="en"/>
        </w:rPr>
      </w:pPr>
      <w:r w:rsidRPr="00E272D9">
        <w:rPr>
          <w:i/>
          <w:sz w:val="24"/>
          <w:szCs w:val="24"/>
        </w:rPr>
        <w:lastRenderedPageBreak/>
        <w:t>(Revised December 27, 2016 through PROCLTR 2017-09)</w:t>
      </w:r>
    </w:p>
    <w:p w:rsidR="0085750D" w:rsidRPr="002B627D" w:rsidRDefault="00C631F0" w:rsidP="002B627D">
      <w:pPr>
        <w:pStyle w:val="Heading3"/>
        <w:rPr>
          <w:rFonts w:eastAsiaTheme="minorHAnsi"/>
          <w:sz w:val="24"/>
          <w:szCs w:val="24"/>
          <w:lang w:val="en"/>
        </w:rPr>
      </w:pPr>
      <w:bookmarkStart w:id="18" w:name="P126_17520"/>
      <w:bookmarkStart w:id="19" w:name="P130_17721"/>
      <w:bookmarkStart w:id="20" w:name="P132_18088"/>
      <w:bookmarkStart w:id="21" w:name="P7_107_4"/>
      <w:bookmarkStart w:id="22" w:name="P7_204"/>
      <w:bookmarkEnd w:id="18"/>
      <w:bookmarkEnd w:id="19"/>
      <w:bookmarkEnd w:id="20"/>
      <w:r w:rsidRPr="002B627D">
        <w:rPr>
          <w:rFonts w:eastAsiaTheme="minorHAnsi"/>
          <w:sz w:val="24"/>
          <w:szCs w:val="24"/>
          <w:lang w:val="en"/>
        </w:rPr>
        <w:t xml:space="preserve">7.204 </w:t>
      </w:r>
      <w:bookmarkEnd w:id="21"/>
      <w:bookmarkEnd w:id="22"/>
      <w:r w:rsidRPr="002B627D">
        <w:rPr>
          <w:rFonts w:eastAsiaTheme="minorHAnsi"/>
          <w:sz w:val="24"/>
          <w:szCs w:val="24"/>
          <w:lang w:val="en"/>
        </w:rPr>
        <w:t>Responsibilities of contracting officers.</w:t>
      </w:r>
    </w:p>
    <w:p w:rsidR="00C631F0" w:rsidRDefault="0085750D" w:rsidP="0085750D">
      <w:pPr>
        <w:pStyle w:val="List1"/>
        <w:sectPr w:rsidR="00C631F0" w:rsidSect="009A0AF7">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299"/>
        </w:sectPr>
      </w:pPr>
      <w:r w:rsidRPr="00E272D9">
        <w:t>(a)</w:t>
      </w:r>
      <w:r w:rsidR="00C631F0" w:rsidRPr="00E272D9">
        <w:t xml:space="preserve">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3" w:name="P215_25848"/>
      <w:bookmarkStart w:id="24" w:name="P224_26516"/>
      <w:bookmarkStart w:id="25" w:name="P226_26562"/>
      <w:bookmarkStart w:id="26" w:name="P242_30698"/>
      <w:bookmarkStart w:id="27" w:name="P259_33157"/>
      <w:bookmarkStart w:id="28" w:name="P260_33157"/>
      <w:bookmarkEnd w:id="23"/>
      <w:bookmarkEnd w:id="24"/>
      <w:bookmarkEnd w:id="25"/>
      <w:bookmarkEnd w:id="26"/>
      <w:bookmarkEnd w:id="27"/>
      <w:bookmarkEnd w:id="28"/>
      <w:r w:rsidR="00C631F0" w:rsidRPr="00E272D9">
        <w:rPr>
          <w:b/>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1F0" w:rsidRDefault="00C631F0" w:rsidP="00926910">
      <w:r>
        <w:separator/>
      </w:r>
    </w:p>
    <w:p w:rsidR="00C631F0" w:rsidRDefault="00C631F0"/>
    <w:p w:rsidR="00C631F0" w:rsidRDefault="00C631F0"/>
  </w:endnote>
  <w:endnote w:type="continuationSeparator" w:id="0">
    <w:p w:rsidR="00C631F0" w:rsidRDefault="00C631F0" w:rsidP="00926910">
      <w:r>
        <w:continuationSeparator/>
      </w:r>
    </w:p>
    <w:p w:rsidR="00C631F0" w:rsidRDefault="00C631F0"/>
    <w:p w:rsidR="00C631F0" w:rsidRDefault="00C63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ource Sans Pro Web">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1F0" w:rsidRPr="0088492D" w:rsidRDefault="00C631F0"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October </w:t>
    </w:r>
    <w:r w:rsidRPr="0088492D">
      <w:rPr>
        <w:b/>
        <w:sz w:val="24"/>
        <w:szCs w:val="24"/>
      </w:rPr>
      <w:t>2020</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sidR="0085750D">
      <w:rPr>
        <w:b/>
        <w:noProof/>
        <w:sz w:val="24"/>
        <w:szCs w:val="24"/>
      </w:rPr>
      <w:t>2</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1F0" w:rsidRPr="0088492D" w:rsidRDefault="00C631F0"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sidR="0085750D">
      <w:rPr>
        <w:b/>
        <w:noProof/>
        <w:sz w:val="24"/>
        <w:szCs w:val="24"/>
      </w:rPr>
      <w:t>3</w:t>
    </w:r>
    <w:r w:rsidRPr="0088492D">
      <w:rPr>
        <w:b/>
        <w:sz w:val="24"/>
        <w:szCs w:val="24"/>
      </w:rPr>
      <w:fldChar w:fldCharType="end"/>
    </w:r>
    <w:r w:rsidRPr="0088492D">
      <w:rPr>
        <w:b/>
        <w:sz w:val="24"/>
        <w:szCs w:val="24"/>
      </w:rPr>
      <w:tab/>
    </w:r>
    <w:r>
      <w:rPr>
        <w:b/>
        <w:sz w:val="24"/>
        <w:szCs w:val="24"/>
      </w:rPr>
      <w:t xml:space="preserve">October </w:t>
    </w:r>
    <w:r w:rsidRPr="0088492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1F0" w:rsidRDefault="00C631F0" w:rsidP="00926910">
      <w:r>
        <w:separator/>
      </w:r>
    </w:p>
    <w:p w:rsidR="00C631F0" w:rsidRDefault="00C631F0"/>
    <w:p w:rsidR="00C631F0" w:rsidRDefault="00C631F0"/>
  </w:footnote>
  <w:footnote w:type="continuationSeparator" w:id="0">
    <w:p w:rsidR="00C631F0" w:rsidRDefault="00C631F0" w:rsidP="00926910">
      <w:r>
        <w:continuationSeparator/>
      </w:r>
    </w:p>
    <w:p w:rsidR="00C631F0" w:rsidRDefault="00C631F0"/>
    <w:p w:rsidR="00C631F0" w:rsidRDefault="00C631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1F0" w:rsidRPr="0088492D" w:rsidRDefault="00C631F0" w:rsidP="000C45E0">
    <w:pPr>
      <w:pStyle w:val="Header"/>
      <w:spacing w:after="240"/>
      <w:jc w:val="center"/>
      <w:rPr>
        <w:b/>
        <w:sz w:val="24"/>
        <w:szCs w:val="24"/>
      </w:rPr>
    </w:pPr>
    <w:r w:rsidRPr="0088492D">
      <w:rPr>
        <w:b/>
        <w:sz w:val="24"/>
        <w:szCs w:val="24"/>
      </w:rPr>
      <w:t>DEFENSE LOGISTICS ACQUISITION DIRECTIVE</w:t>
    </w:r>
  </w:p>
  <w:p w:rsidR="00C631F0" w:rsidRPr="004C43D3" w:rsidRDefault="00C631F0" w:rsidP="000C45E0">
    <w:pPr>
      <w:pStyle w:val="Heading1"/>
      <w:spacing w:after="240"/>
    </w:pPr>
    <w:r w:rsidRPr="0088492D">
      <w:rPr>
        <w:sz w:val="24"/>
        <w:szCs w:val="24"/>
      </w:rPr>
      <w:t>PART 7 – ACQUISITION PLANNING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1F0" w:rsidRPr="0088492D" w:rsidRDefault="00C631F0" w:rsidP="000C45E0">
    <w:pPr>
      <w:pStyle w:val="Header"/>
      <w:spacing w:after="240"/>
      <w:jc w:val="center"/>
      <w:rPr>
        <w:b/>
        <w:sz w:val="24"/>
        <w:szCs w:val="24"/>
      </w:rPr>
    </w:pPr>
    <w:r w:rsidRPr="0088492D">
      <w:rPr>
        <w:b/>
        <w:sz w:val="24"/>
        <w:szCs w:val="24"/>
      </w:rPr>
      <w:t>DEFENSE LOGISTICS ACQUISITION DIRECTIVE</w:t>
    </w:r>
  </w:p>
  <w:p w:rsidR="00C631F0" w:rsidRPr="00AC64E0" w:rsidRDefault="00C631F0" w:rsidP="000C45E0">
    <w:pPr>
      <w:pStyle w:val="Heading1"/>
      <w:spacing w:after="240"/>
    </w:pPr>
    <w:r w:rsidRPr="0088492D">
      <w:rPr>
        <w:sz w:val="24"/>
        <w:szCs w:val="24"/>
      </w:rPr>
      <w:t>PART 7 – ACQUISITION PLANNING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50D"/>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1F0"/>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5750D"/>
    <w:pPr>
      <w:tabs>
        <w:tab w:val="left" w:pos="1080"/>
      </w:tabs>
      <w:ind w:left="0" w:firstLine="0"/>
      <w:contextualSpacing/>
    </w:pPr>
    <w:rPr>
      <w:rFonts w:eastAsiaTheme="minorHAnsi"/>
      <w:sz w:val="24"/>
      <w:szCs w:val="24"/>
      <w:lang w:val="en"/>
    </w:rPr>
  </w:style>
  <w:style w:type="character" w:customStyle="1" w:styleId="ListChar">
    <w:name w:val="List Char"/>
    <w:basedOn w:val="DefaultParagraphFont"/>
    <w:link w:val="List"/>
    <w:uiPriority w:val="99"/>
    <w:rsid w:val="0085750D"/>
    <w:rPr>
      <w:rFonts w:eastAsia="Calibri"/>
    </w:rPr>
  </w:style>
  <w:style w:type="character" w:customStyle="1" w:styleId="List1Char">
    <w:name w:val="List 1 Char"/>
    <w:basedOn w:val="ListChar"/>
    <w:link w:val="List1"/>
    <w:rsid w:val="0085750D"/>
    <w:rPr>
      <w:rFonts w:eastAsiaTheme="minorHAnsi"/>
      <w:sz w:val="24"/>
      <w:szCs w:val="24"/>
      <w:lang w:val="en"/>
    </w:rPr>
  </w:style>
  <w:style w:type="paragraph" w:customStyle="1" w:styleId="List6">
    <w:name w:val="List 6"/>
    <w:basedOn w:val="List3"/>
    <w:link w:val="List6Char"/>
    <w:rsid w:val="0085750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85750D"/>
  </w:style>
  <w:style w:type="character" w:customStyle="1" w:styleId="List6Char">
    <w:name w:val="List 6 Char"/>
    <w:basedOn w:val="List3Char"/>
    <w:link w:val="List6"/>
    <w:rsid w:val="0085750D"/>
    <w:rPr>
      <w:sz w:val="24"/>
    </w:rPr>
  </w:style>
  <w:style w:type="paragraph" w:customStyle="1" w:styleId="List7">
    <w:name w:val="List 7"/>
    <w:basedOn w:val="List6"/>
    <w:link w:val="List7Char"/>
    <w:rsid w:val="0085750D"/>
    <w:pPr>
      <w:ind w:left="2160"/>
    </w:pPr>
  </w:style>
  <w:style w:type="character" w:customStyle="1" w:styleId="List7Char">
    <w:name w:val="List 7 Char"/>
    <w:basedOn w:val="List3Char"/>
    <w:link w:val="List7"/>
    <w:rsid w:val="0085750D"/>
    <w:rPr>
      <w:sz w:val="24"/>
    </w:rPr>
  </w:style>
  <w:style w:type="paragraph" w:customStyle="1" w:styleId="List8">
    <w:name w:val="List 8"/>
    <w:basedOn w:val="List3"/>
    <w:link w:val="List8Char"/>
    <w:rsid w:val="0085750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85750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5750D"/>
    <w:pPr>
      <w:tabs>
        <w:tab w:val="left" w:pos="1080"/>
      </w:tabs>
      <w:ind w:left="0" w:firstLine="0"/>
      <w:contextualSpacing/>
    </w:pPr>
    <w:rPr>
      <w:rFonts w:eastAsiaTheme="minorHAnsi"/>
      <w:sz w:val="24"/>
      <w:szCs w:val="24"/>
      <w:lang w:val="en"/>
    </w:rPr>
  </w:style>
  <w:style w:type="character" w:customStyle="1" w:styleId="ListChar">
    <w:name w:val="List Char"/>
    <w:basedOn w:val="DefaultParagraphFont"/>
    <w:link w:val="List"/>
    <w:uiPriority w:val="99"/>
    <w:rsid w:val="0085750D"/>
    <w:rPr>
      <w:rFonts w:eastAsia="Calibri"/>
    </w:rPr>
  </w:style>
  <w:style w:type="character" w:customStyle="1" w:styleId="List1Char">
    <w:name w:val="List 1 Char"/>
    <w:basedOn w:val="ListChar"/>
    <w:link w:val="List1"/>
    <w:rsid w:val="0085750D"/>
    <w:rPr>
      <w:rFonts w:eastAsiaTheme="minorHAnsi"/>
      <w:sz w:val="24"/>
      <w:szCs w:val="24"/>
      <w:lang w:val="en"/>
    </w:rPr>
  </w:style>
  <w:style w:type="paragraph" w:customStyle="1" w:styleId="List6">
    <w:name w:val="List 6"/>
    <w:basedOn w:val="List3"/>
    <w:link w:val="List6Char"/>
    <w:rsid w:val="0085750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85750D"/>
  </w:style>
  <w:style w:type="character" w:customStyle="1" w:styleId="List6Char">
    <w:name w:val="List 6 Char"/>
    <w:basedOn w:val="List3Char"/>
    <w:link w:val="List6"/>
    <w:rsid w:val="0085750D"/>
    <w:rPr>
      <w:sz w:val="24"/>
    </w:rPr>
  </w:style>
  <w:style w:type="paragraph" w:customStyle="1" w:styleId="List7">
    <w:name w:val="List 7"/>
    <w:basedOn w:val="List6"/>
    <w:link w:val="List7Char"/>
    <w:rsid w:val="0085750D"/>
    <w:pPr>
      <w:ind w:left="2160"/>
    </w:pPr>
  </w:style>
  <w:style w:type="character" w:customStyle="1" w:styleId="List7Char">
    <w:name w:val="List 7 Char"/>
    <w:basedOn w:val="List3Char"/>
    <w:link w:val="List7"/>
    <w:rsid w:val="0085750D"/>
    <w:rPr>
      <w:sz w:val="24"/>
    </w:rPr>
  </w:style>
  <w:style w:type="paragraph" w:customStyle="1" w:styleId="List8">
    <w:name w:val="List 8"/>
    <w:basedOn w:val="List3"/>
    <w:link w:val="List8Char"/>
    <w:rsid w:val="0085750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85750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eta.sam.gov/"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yperlink" Target="https://beta.sam.gov/" TargetMode="External"/><Relationship Id="rId17" Type="http://schemas.openxmlformats.org/officeDocument/2006/relationships/footer" Target="footer2.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AC9B156-A1C1-4046-A451-A1571707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9494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2020-10-22T13:27:00Z</dcterms:created>
  <dcterms:modified xsi:type="dcterms:W3CDTF">2020-10-22T18:46:00Z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