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138E" w:rsidRPr="00D56379" w:rsidRDefault="00C2138E" w:rsidP="00C2138E">
      <w:pPr>
        <w:pStyle w:val="Heading1"/>
        <w:spacing w:before="240"/>
        <w:rPr>
          <w:sz w:val="24"/>
          <w:szCs w:val="24"/>
        </w:rPr>
      </w:pPr>
      <w:r w:rsidRPr="00D56379">
        <w:rPr>
          <w:sz w:val="24"/>
          <w:szCs w:val="24"/>
        </w:rPr>
        <w:t>PGI PART 25 – FOREIGN ACQUISITION</w:t>
      </w:r>
    </w:p>
    <w:p w:rsidR="00C2138E" w:rsidRPr="00D56379" w:rsidRDefault="00C2138E" w:rsidP="00C2138E">
      <w:pPr>
        <w:spacing w:after="240"/>
        <w:jc w:val="center"/>
        <w:rPr>
          <w:sz w:val="24"/>
          <w:szCs w:val="24"/>
        </w:rPr>
      </w:pPr>
      <w:r w:rsidRPr="00D56379">
        <w:rPr>
          <w:i/>
          <w:sz w:val="24"/>
          <w:szCs w:val="24"/>
        </w:rPr>
        <w:t>(Added March 23, 2020 in accordance with PROCLTR 2020-01</w:t>
      </w:r>
      <w:r w:rsidRPr="00D56379">
        <w:rPr>
          <w:i/>
          <w:sz w:val="24"/>
          <w:szCs w:val="24"/>
          <w:lang w:val="en"/>
        </w:rPr>
        <w:t>)</w:t>
      </w:r>
    </w:p>
    <w:p w:rsidR="00C2138E" w:rsidRPr="00D56379" w:rsidRDefault="00C2138E" w:rsidP="00C2138E">
      <w:pPr>
        <w:jc w:val="center"/>
        <w:rPr>
          <w:b/>
          <w:sz w:val="24"/>
          <w:szCs w:val="24"/>
        </w:rPr>
      </w:pPr>
      <w:r w:rsidRPr="00D56379">
        <w:rPr>
          <w:b/>
          <w:sz w:val="24"/>
          <w:szCs w:val="24"/>
        </w:rPr>
        <w:t>TABLE OF CONTENTS</w:t>
      </w:r>
    </w:p>
    <w:p w:rsidR="00C2138E" w:rsidRPr="00D56379" w:rsidRDefault="00C2138E" w:rsidP="00C2138E">
      <w:pPr>
        <w:spacing w:after="240"/>
        <w:rPr>
          <w:rFonts w:eastAsia="Calibri"/>
          <w:sz w:val="24"/>
          <w:szCs w:val="24"/>
          <w:lang w:val="en"/>
        </w:rPr>
      </w:pPr>
      <w:hyperlink w:anchor="P_PGI_25_7902_4" w:history="1">
        <w:r w:rsidRPr="00D56379">
          <w:rPr>
            <w:rStyle w:val="Hyperlink"/>
            <w:sz w:val="24"/>
            <w:szCs w:val="24"/>
          </w:rPr>
          <w:t>PGI 25.7902-4</w:t>
        </w:r>
      </w:hyperlink>
      <w:r w:rsidRPr="00D56379">
        <w:rPr>
          <w:sz w:val="24"/>
          <w:szCs w:val="24"/>
        </w:rPr>
        <w:t xml:space="preserve"> Procedures.</w:t>
      </w:r>
    </w:p>
    <w:p w:rsidR="00C2138E" w:rsidRDefault="00C2138E" w:rsidP="00C2138E">
      <w:pPr>
        <w:pStyle w:val="Heading2"/>
      </w:pPr>
      <w:r>
        <w:rPr>
          <w:rFonts w:eastAsia="Calibri"/>
          <w:lang w:val="en"/>
        </w:rPr>
        <w:t xml:space="preserve">PGI </w:t>
      </w:r>
      <w:r w:rsidRPr="00CB630C">
        <w:rPr>
          <w:rFonts w:eastAsia="Calibri"/>
          <w:lang w:val="en"/>
        </w:rPr>
        <w:t>SUBPART 25.79 – EXPORT CONTROL</w:t>
      </w:r>
    </w:p>
    <w:p w:rsidR="00C2138E" w:rsidRPr="00727D95" w:rsidRDefault="00C2138E" w:rsidP="00C2138E">
      <w:pPr>
        <w:pStyle w:val="Heading3"/>
        <w:spacing w:before="240"/>
        <w:rPr>
          <w:sz w:val="24"/>
          <w:szCs w:val="24"/>
        </w:rPr>
      </w:pPr>
      <w:bookmarkStart w:id="0" w:name="P_PGI_25_7902_4"/>
      <w:r w:rsidRPr="00727D95">
        <w:rPr>
          <w:sz w:val="24"/>
          <w:szCs w:val="24"/>
        </w:rPr>
        <w:t xml:space="preserve">PGI 25.7902-4 </w:t>
      </w:r>
      <w:bookmarkEnd w:id="0"/>
      <w:r w:rsidRPr="00727D95">
        <w:rPr>
          <w:sz w:val="24"/>
          <w:szCs w:val="24"/>
        </w:rPr>
        <w:t>Procedures.</w:t>
      </w:r>
    </w:p>
    <w:p w:rsidR="00C2138E" w:rsidRPr="00727D95" w:rsidRDefault="00C2138E" w:rsidP="00C213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(S-90) The contracting officer shall follow the guidance in PGI 25.7902-4(S-90)(1), (2), or (3), as applicable, to determine if an offeror meets the conditions for an exception to the requirement to verify DLA controlling authority approval to access export-controlled data.</w:t>
      </w:r>
    </w:p>
    <w:p w:rsidR="00C2138E" w:rsidRPr="00727D95" w:rsidRDefault="00C2138E" w:rsidP="00C213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rsidR="00C2138E" w:rsidRPr="00727D95" w:rsidRDefault="00C2138E" w:rsidP="00C213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rsidR="00C2138E" w:rsidRPr="00727D95" w:rsidRDefault="00C2138E" w:rsidP="00C213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H10 Awardee Requires No Access to DLA Controlled Technical Data or Information for Contract Performance (FEB 2020)</w:t>
      </w:r>
    </w:p>
    <w:p w:rsidR="00C2138E" w:rsidRPr="00727D95" w:rsidRDefault="00C2138E" w:rsidP="00C213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Awardee has confirmed it will not require access to DLA controlled technical data or information for contract performance, and it will provide items that conform to the current revision of applicable technical data.</w:t>
      </w:r>
    </w:p>
    <w:p w:rsidR="00C2138E" w:rsidRPr="00727D95" w:rsidRDefault="00C2138E" w:rsidP="00C213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rsidR="00C2138E" w:rsidRPr="00727D95" w:rsidRDefault="00C2138E" w:rsidP="00C213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rsidR="00C2138E" w:rsidRPr="00727D95" w:rsidRDefault="00C2138E" w:rsidP="00C213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
          <w:bCs/>
          <w:sz w:val="24"/>
          <w:szCs w:val="24"/>
        </w:rPr>
        <w:tab/>
      </w:r>
      <w:r w:rsidRPr="00727D95">
        <w:rPr>
          <w:bCs/>
          <w:sz w:val="24"/>
          <w:szCs w:val="24"/>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rsidR="00C2138E" w:rsidRPr="00727D95" w:rsidRDefault="00C2138E" w:rsidP="00C213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Pr="00727D95">
        <w:rPr>
          <w:bCs/>
          <w:sz w:val="24"/>
          <w:szCs w:val="24"/>
        </w:rPr>
        <w:tab/>
        <w:t>(A) The product specialist has validated the item meets all current revision requirements based on the offeror’s responses in procurement note C04, Unused Former Government Surplus Property (see 11.390(a)); and</w:t>
      </w:r>
    </w:p>
    <w:p w:rsidR="00C2138E" w:rsidRPr="00727D95" w:rsidRDefault="00C2138E" w:rsidP="00C213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Pr="00727D95">
        <w:rPr>
          <w:bCs/>
          <w:sz w:val="24"/>
          <w:szCs w:val="24"/>
        </w:rPr>
        <w:tab/>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rsidR="00C2138E" w:rsidRPr="00727D95" w:rsidRDefault="00C2138E" w:rsidP="00C213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t>(ii) The contracting officer shall include the offeror’s assertion and product specialist’s recommendation in the contract file, and insert procurement note H10 in the award.</w:t>
      </w:r>
    </w:p>
    <w:p w:rsidR="00C2138E" w:rsidRPr="00727D95" w:rsidRDefault="00C2138E" w:rsidP="00C213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rsidR="00C2138E" w:rsidRPr="00727D95" w:rsidRDefault="00C2138E" w:rsidP="00C213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27D95">
        <w:rPr>
          <w:bCs/>
          <w:sz w:val="24"/>
          <w:szCs w:val="24"/>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1"/>
      <w:headerReference w:type="default" r:id="rId12"/>
      <w:footerReference w:type="even"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138E" w:rsidRDefault="00C2138E" w:rsidP="00926910">
      <w:r>
        <w:separator/>
      </w:r>
    </w:p>
    <w:p w:rsidR="00C2138E" w:rsidRDefault="00C2138E"/>
    <w:p w:rsidR="00C2138E" w:rsidRDefault="00C2138E"/>
  </w:endnote>
  <w:endnote w:type="continuationSeparator" w:id="0">
    <w:p w:rsidR="00C2138E" w:rsidRDefault="00C2138E" w:rsidP="00926910">
      <w:r>
        <w:continuationSeparator/>
      </w:r>
    </w:p>
    <w:p w:rsidR="00C2138E" w:rsidRDefault="00C2138E"/>
    <w:p w:rsidR="00C2138E" w:rsidRDefault="00C21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138E" w:rsidRDefault="00C2138E" w:rsidP="00926910">
      <w:r>
        <w:separator/>
      </w:r>
    </w:p>
    <w:p w:rsidR="00C2138E" w:rsidRDefault="00C2138E"/>
    <w:p w:rsidR="00C2138E" w:rsidRDefault="00C2138E"/>
  </w:footnote>
  <w:footnote w:type="continuationSeparator" w:id="0">
    <w:p w:rsidR="00C2138E" w:rsidRDefault="00C2138E" w:rsidP="00926910">
      <w:r>
        <w:continuationSeparator/>
      </w:r>
    </w:p>
    <w:p w:rsidR="00C2138E" w:rsidRDefault="00C2138E"/>
    <w:p w:rsidR="00C2138E" w:rsidRDefault="00C213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8E"/>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4316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