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14CC" w14:textId="77777777" w:rsidR="008E4670" w:rsidRPr="00D920A9" w:rsidRDefault="008E4670" w:rsidP="008E4670">
      <w:pPr>
        <w:pStyle w:val="Heading1"/>
        <w:rPr>
          <w:i/>
          <w:sz w:val="24"/>
          <w:szCs w:val="24"/>
        </w:rPr>
      </w:pPr>
      <w:r w:rsidRPr="00D920A9">
        <w:rPr>
          <w:sz w:val="24"/>
          <w:szCs w:val="24"/>
        </w:rPr>
        <w:t>PGI PART 25 – FOREIGN ACQUISITION</w:t>
      </w:r>
      <w:commentRangeStart w:id="0"/>
      <w:commentRangeEnd w:id="0"/>
      <w:r w:rsidRPr="00D920A9">
        <w:rPr>
          <w:rStyle w:val="CommentReference"/>
          <w:b w:val="0"/>
          <w:bCs/>
          <w:sz w:val="24"/>
          <w:szCs w:val="24"/>
        </w:rPr>
        <w:commentReference w:id="0"/>
      </w:r>
    </w:p>
    <w:p w14:paraId="17B4D9C3" w14:textId="77777777" w:rsidR="008E4670" w:rsidRPr="00D56379" w:rsidRDefault="008E4670" w:rsidP="008E4670">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14:paraId="1012C6DD" w14:textId="77777777" w:rsidR="008E4670" w:rsidRPr="00D56379" w:rsidRDefault="008E4670" w:rsidP="008E4670">
      <w:pPr>
        <w:jc w:val="center"/>
        <w:rPr>
          <w:b/>
          <w:sz w:val="24"/>
          <w:szCs w:val="24"/>
        </w:rPr>
      </w:pPr>
      <w:r w:rsidRPr="00D56379">
        <w:rPr>
          <w:b/>
          <w:sz w:val="24"/>
          <w:szCs w:val="24"/>
        </w:rPr>
        <w:t>TABLE OF CONTENTS</w:t>
      </w:r>
    </w:p>
    <w:p w14:paraId="3B63C887" w14:textId="77777777" w:rsidR="008E4670" w:rsidRPr="005956B8" w:rsidRDefault="008E4670" w:rsidP="008E4670">
      <w:pPr>
        <w:spacing w:after="240"/>
        <w:rPr>
          <w:rFonts w:eastAsia="Calibri"/>
          <w:sz w:val="24"/>
          <w:szCs w:val="24"/>
          <w:lang w:val="en"/>
        </w:rPr>
      </w:pPr>
      <w:hyperlink w:anchor="P_PGI_25_7902_4" w:history="1">
        <w:r w:rsidRPr="005956B8">
          <w:rPr>
            <w:rStyle w:val="Hyperlink"/>
            <w:sz w:val="24"/>
            <w:szCs w:val="24"/>
          </w:rPr>
          <w:t>PGI 25.7902-4</w:t>
        </w:r>
      </w:hyperlink>
      <w:r w:rsidRPr="005956B8">
        <w:rPr>
          <w:sz w:val="24"/>
          <w:szCs w:val="24"/>
        </w:rPr>
        <w:t xml:space="preserve"> Procedures.</w:t>
      </w:r>
    </w:p>
    <w:p w14:paraId="7E10BE61" w14:textId="77777777" w:rsidR="008E4670" w:rsidRDefault="008E4670" w:rsidP="008E4670">
      <w:pPr>
        <w:pStyle w:val="Heading2"/>
      </w:pPr>
      <w:r>
        <w:rPr>
          <w:rFonts w:eastAsia="Calibri"/>
          <w:lang w:val="en"/>
        </w:rPr>
        <w:t xml:space="preserve">PGI </w:t>
      </w:r>
      <w:r w:rsidRPr="00CB630C">
        <w:rPr>
          <w:rFonts w:eastAsia="Calibri"/>
          <w:lang w:val="en"/>
        </w:rPr>
        <w:t>SUBPART 25.79 – EXPORT CONTROL</w:t>
      </w:r>
    </w:p>
    <w:p w14:paraId="6364792F" w14:textId="77777777" w:rsidR="008E4670" w:rsidRPr="00727D95" w:rsidRDefault="008E4670" w:rsidP="008E4670">
      <w:pPr>
        <w:pStyle w:val="Heading3"/>
        <w:spacing w:before="240"/>
        <w:rPr>
          <w:sz w:val="24"/>
          <w:szCs w:val="24"/>
        </w:rPr>
      </w:pPr>
      <w:bookmarkStart w:id="1" w:name="P_PGI_25_7902_4"/>
      <w:r w:rsidRPr="00727D95">
        <w:rPr>
          <w:sz w:val="24"/>
          <w:szCs w:val="24"/>
        </w:rPr>
        <w:t xml:space="preserve">PGI 25.7902-4 </w:t>
      </w:r>
      <w:bookmarkEnd w:id="1"/>
      <w:r w:rsidRPr="00727D95">
        <w:rPr>
          <w:sz w:val="24"/>
          <w:szCs w:val="24"/>
        </w:rPr>
        <w:t>Procedures.</w:t>
      </w:r>
    </w:p>
    <w:p w14:paraId="2089FA49"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14:paraId="68537FCF"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14:paraId="665B185D"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4FC2A4C4"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(FEB 2020)</w:t>
      </w:r>
    </w:p>
    <w:p w14:paraId="7937CC24"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revision of applicable technical data.</w:t>
      </w:r>
    </w:p>
    <w:p w14:paraId="6C9F7238"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3BEDB2F9"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14:paraId="28F7D233"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
          <w:bCs/>
          <w:sz w:val="24"/>
          <w:szCs w:val="24"/>
        </w:rPr>
        <w:tab/>
      </w: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14:paraId="4647BCE7"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t>(A) The product specialist has validated the item meets all current revision requirements based on the offeror’s responses in procurement note C04, Unused Former Government Surplus Property (see 11.390(a)); and</w:t>
      </w:r>
    </w:p>
    <w:p w14:paraId="4926C39B"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14:paraId="6F2AFB68"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t>(ii) The contracting officer shall include the offeror’s assertion and product specialist’s recommendation in the contract file, and insert procurement note H10 in the award.</w:t>
      </w:r>
    </w:p>
    <w:p w14:paraId="5EFBA669" w14:textId="77777777" w:rsidR="008E4670" w:rsidRPr="00727D95"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14:paraId="772BFE0E" w14:textId="77777777" w:rsidR="008E4670" w:rsidRDefault="008E4670" w:rsidP="008E467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8E4670" w:rsidSect="0060392F">
          <w:pgSz w:w="12240" w:h="15840"/>
          <w:pgMar w:top="1080" w:right="1080" w:bottom="1080" w:left="1080" w:header="720" w:footer="720" w:gutter="0"/>
          <w:cols w:space="720"/>
          <w:docGrid w:linePitch="360"/>
        </w:sect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r>
        <w:rPr>
          <w:bCs/>
          <w:sz w:val="24"/>
          <w:szCs w:val="24"/>
        </w:rPr>
        <w:t>.</w:t>
      </w:r>
    </w:p>
    <w:p w14:paraId="6DBE5F36"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5"/>
      <w:headerReference w:type="default" r:id="rId16"/>
      <w:footerReference w:type="even" r:id="rId17"/>
      <w:footerReference w:type="default" r:id="rId1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9-02-19T17:27:00Z" w:initials="BARCDA(">
    <w:p w14:paraId="6F57341D" w14:textId="77777777" w:rsidR="008E4670" w:rsidRDefault="008E4670" w:rsidP="008E4670">
      <w:pPr>
        <w:pStyle w:val="CommentText"/>
      </w:pPr>
      <w:r>
        <w:rPr>
          <w:rStyle w:val="CommentReference"/>
        </w:rPr>
        <w:annotationRef/>
      </w:r>
      <w:r>
        <w:t>On 3/23/20, the DLAD Editor updated PGI part 25 IAW PROCLTR 2020-01.</w:t>
      </w:r>
    </w:p>
    <w:p w14:paraId="7F7722F5" w14:textId="77777777" w:rsidR="008E4670" w:rsidRDefault="008E4670" w:rsidP="008E4670">
      <w:pPr>
        <w:pStyle w:val="CommentText"/>
      </w:pPr>
      <w:r>
        <w:t>On 9/19/16, the DLAD Editor replaced Part 25 in its entirety IAW PROCLTR 16-09.</w:t>
      </w:r>
    </w:p>
    <w:p w14:paraId="18851CE6" w14:textId="77777777" w:rsidR="008E4670" w:rsidRDefault="008E4670" w:rsidP="008E467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851C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EBCF" w16cex:dateUtc="2019-02-19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851CE6" w16cid:durableId="258AE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F93F8" w14:textId="77777777" w:rsidR="008E4670" w:rsidRDefault="008E4670" w:rsidP="00926910">
      <w:r>
        <w:separator/>
      </w:r>
    </w:p>
    <w:p w14:paraId="7AEC556D" w14:textId="77777777" w:rsidR="008E4670" w:rsidRDefault="008E4670"/>
    <w:p w14:paraId="5796299D" w14:textId="77777777" w:rsidR="008E4670" w:rsidRDefault="008E4670"/>
  </w:endnote>
  <w:endnote w:type="continuationSeparator" w:id="0">
    <w:p w14:paraId="14C7FFF3" w14:textId="77777777" w:rsidR="008E4670" w:rsidRDefault="008E4670" w:rsidP="00926910">
      <w:r>
        <w:continuationSeparator/>
      </w:r>
    </w:p>
    <w:p w14:paraId="57B2BBCF" w14:textId="77777777" w:rsidR="008E4670" w:rsidRDefault="008E4670"/>
    <w:p w14:paraId="7EDBC651" w14:textId="77777777" w:rsidR="008E4670" w:rsidRDefault="008E4670"/>
  </w:endnote>
  <w:endnote w:type="continuationNotice" w:id="1">
    <w:p w14:paraId="44A81A10" w14:textId="77777777" w:rsidR="008E4670" w:rsidRDefault="008E4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63E5"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A40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9974D" w14:textId="77777777" w:rsidR="008E4670" w:rsidRDefault="008E4670" w:rsidP="00926910">
      <w:r>
        <w:separator/>
      </w:r>
    </w:p>
    <w:p w14:paraId="61AE4328" w14:textId="77777777" w:rsidR="008E4670" w:rsidRDefault="008E4670"/>
    <w:p w14:paraId="75533BBB" w14:textId="77777777" w:rsidR="008E4670" w:rsidRDefault="008E4670"/>
  </w:footnote>
  <w:footnote w:type="continuationSeparator" w:id="0">
    <w:p w14:paraId="24612180" w14:textId="77777777" w:rsidR="008E4670" w:rsidRDefault="008E4670" w:rsidP="00926910">
      <w:r>
        <w:continuationSeparator/>
      </w:r>
    </w:p>
    <w:p w14:paraId="3D4EF1C9" w14:textId="77777777" w:rsidR="008E4670" w:rsidRDefault="008E4670"/>
    <w:p w14:paraId="189E6E09" w14:textId="77777777" w:rsidR="008E4670" w:rsidRDefault="008E4670"/>
  </w:footnote>
  <w:footnote w:type="continuationNotice" w:id="1">
    <w:p w14:paraId="62CB8960" w14:textId="77777777" w:rsidR="008E4670" w:rsidRDefault="008E46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D4DC0"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AE8E"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670"/>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4D69A6"/>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4317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1</cp:revision>
  <cp:lastPrinted>2011-09-16T01:41:00Z</cp:lastPrinted>
  <dcterms:created xsi:type="dcterms:W3CDTF">2022-02-09T19:21:00Z</dcterms:created>
  <dcterms:modified xsi:type="dcterms:W3CDTF">2022-02-09T19:21:00Z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