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F79" w:rsidRPr="00CB630C" w:rsidRDefault="001F5F79" w:rsidP="001F5F79">
      <w:pPr>
        <w:pStyle w:val="Heading1"/>
        <w:rPr>
          <w:sz w:val="24"/>
          <w:szCs w:val="24"/>
        </w:rPr>
      </w:pPr>
      <w:bookmarkStart w:id="0" w:name="P25"/>
      <w:r w:rsidRPr="00CB630C">
        <w:rPr>
          <w:sz w:val="24"/>
          <w:szCs w:val="24"/>
        </w:rPr>
        <w:t>PART 25</w:t>
      </w:r>
      <w:bookmarkEnd w:id="0"/>
      <w:r w:rsidRPr="00CB630C">
        <w:rPr>
          <w:sz w:val="24"/>
          <w:szCs w:val="24"/>
        </w:rPr>
        <w:t xml:space="preserve"> – FOREIGN ACQUISITION</w:t>
      </w:r>
    </w:p>
    <w:p w:rsidR="001F5F79" w:rsidRPr="00CB630C" w:rsidRDefault="001F5F79" w:rsidP="001F5F7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rsidR="001F5F79" w:rsidRPr="00CB630C" w:rsidRDefault="001F5F79" w:rsidP="001F5F79">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rsidR="001F5F79" w:rsidRPr="00CB630C" w:rsidRDefault="001F5F79" w:rsidP="001F5F79">
      <w:pPr>
        <w:pStyle w:val="NoSpacing"/>
        <w:rPr>
          <w:rFonts w:ascii="Times New Roman" w:hAnsi="Times New Roman"/>
          <w:sz w:val="24"/>
          <w:szCs w:val="24"/>
          <w:lang w:val="en"/>
        </w:rPr>
      </w:pPr>
      <w:hyperlink r:id="rId11" w:anchor="P25_103" w:history="1">
        <w:r w:rsidRPr="00CB630C">
          <w:rPr>
            <w:rFonts w:ascii="Times New Roman" w:hAnsi="Times New Roman"/>
            <w:sz w:val="24"/>
            <w:szCs w:val="24"/>
            <w:lang w:val="en"/>
          </w:rPr>
          <w:t>25.103</w:t>
        </w:r>
      </w:hyperlink>
      <w:r w:rsidRPr="00CB630C">
        <w:rPr>
          <w:rFonts w:ascii="Times New Roman" w:hAnsi="Times New Roman"/>
          <w:sz w:val="24"/>
          <w:szCs w:val="24"/>
          <w:lang w:val="en"/>
        </w:rPr>
        <w:tab/>
      </w:r>
      <w:r w:rsidRPr="00CB630C">
        <w:rPr>
          <w:rFonts w:ascii="Times New Roman" w:hAnsi="Times New Roman"/>
          <w:sz w:val="24"/>
          <w:szCs w:val="24"/>
          <w:lang w:val="en"/>
        </w:rPr>
        <w:tab/>
      </w:r>
      <w:r w:rsidRPr="00CB630C">
        <w:rPr>
          <w:rFonts w:ascii="Times New Roman" w:hAnsi="Times New Roman"/>
          <w:sz w:val="24"/>
          <w:szCs w:val="24"/>
          <w:lang w:val="en"/>
        </w:rPr>
        <w:tab/>
        <w:t>Exceptions.</w:t>
      </w:r>
    </w:p>
    <w:p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rsidR="001F5F79" w:rsidRPr="00CB630C" w:rsidRDefault="001F5F79" w:rsidP="001F5F79">
      <w:pPr>
        <w:pStyle w:val="NoSpacing"/>
        <w:rPr>
          <w:rFonts w:ascii="Times New Roman" w:hAnsi="Times New Roman"/>
          <w:sz w:val="24"/>
          <w:szCs w:val="24"/>
          <w:lang w:val="en"/>
        </w:rPr>
      </w:pPr>
      <w:hyperlink r:id="rId12" w:anchor="P25_802_71" w:history="1">
        <w:r w:rsidRPr="00CB630C">
          <w:rPr>
            <w:rStyle w:val="Hyperlink"/>
            <w:rFonts w:ascii="Times New Roman" w:hAnsi="Times New Roman"/>
            <w:sz w:val="24"/>
            <w:szCs w:val="24"/>
            <w:lang w:val="en"/>
          </w:rPr>
          <w:t>25.802-71</w:t>
        </w:r>
      </w:hyperlink>
      <w:r w:rsidRPr="00CB630C">
        <w:rPr>
          <w:rStyle w:val="Hyperlink"/>
          <w:rFonts w:ascii="Times New Roman" w:hAnsi="Times New Roman"/>
          <w:sz w:val="24"/>
          <w:szCs w:val="24"/>
          <w:lang w:val="en"/>
        </w:rPr>
        <w:tab/>
      </w:r>
      <w:r w:rsidRPr="00CB630C">
        <w:rPr>
          <w:rFonts w:ascii="Times New Roman" w:hAnsi="Times New Roman"/>
          <w:sz w:val="24"/>
          <w:szCs w:val="24"/>
          <w:lang w:val="en"/>
        </w:rPr>
        <w:t xml:space="preserve"> </w:t>
      </w:r>
      <w:r w:rsidRPr="00CB630C">
        <w:rPr>
          <w:rFonts w:ascii="Times New Roman" w:hAnsi="Times New Roman"/>
          <w:sz w:val="24"/>
          <w:szCs w:val="24"/>
          <w:lang w:val="en"/>
        </w:rPr>
        <w:tab/>
        <w:t>End use certificates.</w:t>
      </w:r>
    </w:p>
    <w:p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rsidR="001F5F79" w:rsidRPr="00CB630C" w:rsidRDefault="001F5F79" w:rsidP="001F5F79">
      <w:pPr>
        <w:pStyle w:val="NoSpacing"/>
        <w:rPr>
          <w:rFonts w:ascii="Times New Roman" w:hAnsi="Times New Roman"/>
          <w:sz w:val="24"/>
          <w:szCs w:val="24"/>
          <w:lang w:val="en"/>
        </w:rPr>
      </w:pPr>
      <w:hyperlink r:id="rId13" w:anchor="P25_903" w:history="1">
        <w:r w:rsidRPr="00CB630C">
          <w:rPr>
            <w:rFonts w:ascii="Times New Roman" w:hAnsi="Times New Roman"/>
            <w:sz w:val="24"/>
            <w:szCs w:val="24"/>
            <w:lang w:val="en"/>
          </w:rPr>
          <w:t>25.903</w:t>
        </w:r>
      </w:hyperlink>
      <w:r w:rsidRPr="00CB630C">
        <w:rPr>
          <w:rFonts w:ascii="Times New Roman" w:hAnsi="Times New Roman"/>
          <w:sz w:val="24"/>
          <w:szCs w:val="24"/>
          <w:lang w:val="en"/>
        </w:rPr>
        <w:tab/>
      </w:r>
      <w:r w:rsidRPr="00CB630C">
        <w:rPr>
          <w:rFonts w:ascii="Times New Roman" w:hAnsi="Times New Roman"/>
          <w:sz w:val="24"/>
          <w:szCs w:val="24"/>
          <w:lang w:val="en"/>
        </w:rPr>
        <w:tab/>
      </w:r>
      <w:r w:rsidRPr="00CB630C">
        <w:rPr>
          <w:rFonts w:ascii="Times New Roman" w:hAnsi="Times New Roman"/>
          <w:sz w:val="24"/>
          <w:szCs w:val="24"/>
          <w:lang w:val="en"/>
        </w:rPr>
        <w:tab/>
        <w:t>Exempted supplies.</w:t>
      </w:r>
    </w:p>
    <w:p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rsidR="001F5F79" w:rsidRPr="00CB630C" w:rsidRDefault="001F5F79" w:rsidP="001F5F79">
      <w:pPr>
        <w:pStyle w:val="NoSpacing"/>
        <w:rPr>
          <w:rFonts w:ascii="Times New Roman" w:hAnsi="Times New Roman"/>
          <w:sz w:val="24"/>
          <w:szCs w:val="24"/>
          <w:lang w:val="en"/>
        </w:rPr>
      </w:pPr>
      <w:hyperlink r:id="rId14" w:anchor="P25_7002" w:history="1">
        <w:r w:rsidRPr="00CB630C">
          <w:rPr>
            <w:rFonts w:ascii="Times New Roman" w:hAnsi="Times New Roman"/>
            <w:sz w:val="24"/>
            <w:szCs w:val="24"/>
            <w:lang w:val="en"/>
          </w:rPr>
          <w:t>25.7002</w:t>
        </w:r>
      </w:hyperlink>
      <w:r w:rsidRPr="00CB630C">
        <w:rPr>
          <w:rFonts w:ascii="Times New Roman" w:hAnsi="Times New Roman"/>
          <w:sz w:val="24"/>
          <w:szCs w:val="24"/>
          <w:lang w:val="en"/>
        </w:rPr>
        <w:tab/>
      </w:r>
      <w:r w:rsidRPr="00CB630C">
        <w:rPr>
          <w:rFonts w:ascii="Times New Roman" w:hAnsi="Times New Roman"/>
          <w:sz w:val="24"/>
          <w:szCs w:val="24"/>
          <w:lang w:val="en"/>
        </w:rPr>
        <w:tab/>
        <w:t>Restrictions on food, clothing, fabrics, hand or measuring tools, and flags.</w:t>
      </w:r>
    </w:p>
    <w:p w:rsidR="001F5F79" w:rsidRPr="00CB630C" w:rsidRDefault="001F5F79" w:rsidP="001F5F79">
      <w:pPr>
        <w:pStyle w:val="NoSpacing"/>
        <w:rPr>
          <w:rFonts w:ascii="Times New Roman" w:hAnsi="Times New Roman"/>
          <w:sz w:val="24"/>
          <w:szCs w:val="24"/>
          <w:lang w:val="en"/>
        </w:rPr>
      </w:pPr>
      <w:hyperlink r:id="rId15" w:anchor="P25_7002_2" w:history="1">
        <w:r w:rsidRPr="00CB630C">
          <w:rPr>
            <w:rStyle w:val="Hyperlink"/>
            <w:rFonts w:ascii="Times New Roman" w:hAnsi="Times New Roman"/>
            <w:sz w:val="24"/>
            <w:szCs w:val="24"/>
            <w:lang w:val="en"/>
          </w:rPr>
          <w:t>25.7002-2</w:t>
        </w:r>
      </w:hyperlink>
      <w:r w:rsidRPr="00CB630C">
        <w:rPr>
          <w:rFonts w:ascii="Times New Roman" w:hAnsi="Times New Roman"/>
          <w:sz w:val="24"/>
          <w:szCs w:val="24"/>
          <w:lang w:val="en"/>
        </w:rPr>
        <w:tab/>
      </w:r>
      <w:r w:rsidRPr="00CB630C">
        <w:rPr>
          <w:rFonts w:ascii="Times New Roman" w:hAnsi="Times New Roman"/>
          <w:sz w:val="24"/>
          <w:szCs w:val="24"/>
          <w:lang w:val="en"/>
        </w:rPr>
        <w:tab/>
        <w:t>Exceptions.</w:t>
      </w:r>
    </w:p>
    <w:p w:rsidR="001F5F79" w:rsidRPr="00CB630C" w:rsidRDefault="001F5F79" w:rsidP="001F5F79">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rsidR="001F5F79" w:rsidRPr="00CB630C" w:rsidRDefault="001F5F79" w:rsidP="001F5F79">
      <w:pPr>
        <w:pStyle w:val="NoSpacing"/>
        <w:tabs>
          <w:tab w:val="left" w:pos="1080"/>
        </w:tabs>
        <w:rPr>
          <w:rFonts w:ascii="Times New Roman" w:hAnsi="Times New Roman"/>
          <w:sz w:val="24"/>
          <w:szCs w:val="24"/>
          <w:lang w:val="en"/>
        </w:rPr>
      </w:pPr>
      <w:hyperlink r:id="rId16" w:anchor="P25_7301" w:history="1">
        <w:r w:rsidRPr="00CB630C">
          <w:rPr>
            <w:rStyle w:val="Hyperlink"/>
            <w:rFonts w:ascii="Times New Roman" w:hAnsi="Times New Roman"/>
            <w:sz w:val="24"/>
            <w:szCs w:val="24"/>
            <w:lang w:val="en"/>
          </w:rPr>
          <w:t>25.7301</w:t>
        </w:r>
      </w:hyperlink>
      <w:r w:rsidRPr="00CB630C">
        <w:rPr>
          <w:rStyle w:val="Hyperlink"/>
          <w:rFonts w:ascii="Times New Roman" w:hAnsi="Times New Roman"/>
          <w:sz w:val="24"/>
          <w:szCs w:val="24"/>
          <w:lang w:val="en"/>
        </w:rPr>
        <w:tab/>
      </w:r>
      <w:r w:rsidRPr="00CB630C">
        <w:rPr>
          <w:rStyle w:val="Hyperlink"/>
          <w:rFonts w:ascii="Times New Roman" w:hAnsi="Times New Roman"/>
          <w:sz w:val="24"/>
          <w:szCs w:val="24"/>
          <w:lang w:val="en"/>
        </w:rPr>
        <w:tab/>
      </w:r>
      <w:r w:rsidRPr="00CB630C">
        <w:rPr>
          <w:rFonts w:ascii="Times New Roman" w:hAnsi="Times New Roman"/>
          <w:sz w:val="24"/>
          <w:szCs w:val="24"/>
          <w:lang w:val="en"/>
        </w:rPr>
        <w:t xml:space="preserve">General. </w:t>
      </w:r>
    </w:p>
    <w:p w:rsidR="001F5F79" w:rsidRPr="00CB630C" w:rsidRDefault="001F5F79" w:rsidP="001F5F7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b/>
          <w:sz w:val="24"/>
          <w:szCs w:val="24"/>
          <w:lang w:val="en"/>
        </w:rPr>
      </w:pPr>
      <w:r w:rsidRPr="00CB630C">
        <w:rPr>
          <w:rFonts w:eastAsia="Calibri"/>
          <w:b/>
          <w:sz w:val="24"/>
          <w:szCs w:val="24"/>
          <w:lang w:val="en"/>
        </w:rPr>
        <w:t>SUBPART 25.79 – EXPORT CONTROL</w:t>
      </w:r>
    </w:p>
    <w:p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r:id="rId17" w:anchor="P25_7901" w:history="1">
        <w:r w:rsidRPr="00CB630C">
          <w:rPr>
            <w:rStyle w:val="Hyperlink"/>
            <w:sz w:val="24"/>
            <w:szCs w:val="24"/>
          </w:rPr>
          <w:t>25.7901</w:t>
        </w:r>
      </w:hyperlink>
      <w:r w:rsidRPr="00CB630C">
        <w:rPr>
          <w:sz w:val="24"/>
          <w:szCs w:val="24"/>
        </w:rPr>
        <w:t xml:space="preserve"> </w:t>
      </w:r>
      <w:r w:rsidRPr="00CB630C">
        <w:rPr>
          <w:sz w:val="24"/>
          <w:szCs w:val="24"/>
        </w:rPr>
        <w:tab/>
      </w:r>
      <w:r w:rsidRPr="00CB630C">
        <w:rPr>
          <w:sz w:val="24"/>
          <w:szCs w:val="24"/>
        </w:rPr>
        <w:tab/>
        <w:t>Export-controlled items.</w:t>
      </w:r>
    </w:p>
    <w:p w:rsidR="001F5F79" w:rsidRPr="00CB630C" w:rsidRDefault="001F5F79" w:rsidP="001F5F7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rPr>
      </w:pPr>
      <w:hyperlink r:id="rId18" w:anchor="P25_7901_1" w:history="1">
        <w:r w:rsidRPr="00CB630C">
          <w:rPr>
            <w:rStyle w:val="Hyperlink"/>
            <w:rFonts w:eastAsia="Calibri"/>
            <w:sz w:val="24"/>
            <w:szCs w:val="24"/>
          </w:rPr>
          <w:t>25.7901-1</w:t>
        </w:r>
      </w:hyperlink>
      <w:r w:rsidRPr="00CB630C">
        <w:rPr>
          <w:rFonts w:eastAsia="Calibri"/>
          <w:sz w:val="24"/>
          <w:szCs w:val="24"/>
        </w:rPr>
        <w:t xml:space="preserve"> </w:t>
      </w:r>
      <w:r w:rsidRPr="00CB630C">
        <w:rPr>
          <w:rFonts w:eastAsia="Calibri"/>
          <w:sz w:val="24"/>
          <w:szCs w:val="24"/>
        </w:rPr>
        <w:tab/>
      </w:r>
      <w:r w:rsidRPr="00CB630C">
        <w:rPr>
          <w:rFonts w:eastAsia="Calibri"/>
          <w:sz w:val="24"/>
          <w:szCs w:val="24"/>
        </w:rPr>
        <w:tab/>
        <w:t>Definitions.</w:t>
      </w:r>
    </w:p>
    <w:p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hyperlink r:id="rId19" w:anchor="P25_7902_4" w:history="1">
        <w:r w:rsidRPr="00CB630C">
          <w:rPr>
            <w:rStyle w:val="Hyperlink"/>
            <w:sz w:val="24"/>
            <w:szCs w:val="24"/>
          </w:rPr>
          <w:t>25.7902-4</w:t>
        </w:r>
      </w:hyperlink>
      <w:r w:rsidRPr="00CB630C">
        <w:rPr>
          <w:sz w:val="24"/>
          <w:szCs w:val="24"/>
        </w:rPr>
        <w:t xml:space="preserve"> </w:t>
      </w:r>
      <w:r w:rsidRPr="00CB630C">
        <w:rPr>
          <w:sz w:val="24"/>
          <w:szCs w:val="24"/>
        </w:rPr>
        <w:tab/>
      </w:r>
      <w:r w:rsidRPr="00CB630C">
        <w:rPr>
          <w:sz w:val="24"/>
          <w:szCs w:val="24"/>
        </w:rPr>
        <w:tab/>
        <w:t>Procedures.</w:t>
      </w:r>
    </w:p>
    <w:p w:rsidR="001F5F79" w:rsidRPr="00CD6247" w:rsidRDefault="001F5F79" w:rsidP="001F5F79">
      <w:pPr>
        <w:pStyle w:val="Heading2"/>
        <w:rPr>
          <w:lang w:val="en"/>
        </w:rPr>
      </w:pPr>
      <w:bookmarkStart w:id="1" w:name="P40_1542"/>
      <w:bookmarkEnd w:id="1"/>
      <w:r w:rsidRPr="00CD6247">
        <w:rPr>
          <w:lang w:val="en"/>
        </w:rPr>
        <w:t>SUBPART 25.1 – BUY AMERICAN ACT – SUPPLIES</w:t>
      </w:r>
    </w:p>
    <w:p w:rsidR="001F5F79" w:rsidRPr="00CD6247" w:rsidRDefault="001F5F79" w:rsidP="001F5F79">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1F5F79" w:rsidRPr="00CD7FA7" w:rsidRDefault="001F5F79" w:rsidP="001F5F79">
      <w:pPr>
        <w:pStyle w:val="Heading3"/>
        <w:rPr>
          <w:sz w:val="24"/>
          <w:szCs w:val="24"/>
          <w:lang w:val="en"/>
        </w:rPr>
      </w:pPr>
      <w:bookmarkStart w:id="2" w:name="P42_1588"/>
      <w:bookmarkStart w:id="3" w:name="P25_103"/>
      <w:bookmarkEnd w:id="2"/>
      <w:r w:rsidRPr="00CD7FA7">
        <w:rPr>
          <w:sz w:val="24"/>
          <w:szCs w:val="24"/>
          <w:lang w:val="en"/>
        </w:rPr>
        <w:t xml:space="preserve">25.103 </w:t>
      </w:r>
      <w:bookmarkEnd w:id="3"/>
      <w:r w:rsidRPr="00CD7FA7">
        <w:rPr>
          <w:sz w:val="24"/>
          <w:szCs w:val="24"/>
          <w:lang w:val="en"/>
        </w:rPr>
        <w:t>Exceptions.</w:t>
      </w:r>
    </w:p>
    <w:p w:rsidR="001F5F79" w:rsidRPr="00CD6247" w:rsidRDefault="001F5F79" w:rsidP="001F5F79">
      <w:pPr>
        <w:pStyle w:val="List1"/>
        <w:rPr>
          <w:lang w:val="en"/>
        </w:rPr>
      </w:pPr>
      <w:r w:rsidRPr="00CD6247">
        <w:rPr>
          <w:szCs w:val="24"/>
          <w:lang w:val="en"/>
        </w:rPr>
        <w:t>(b)(1)(iii)(C) Submit supporting documentation to the DLA Acquisition Operations Division.</w:t>
      </w:r>
    </w:p>
    <w:p w:rsidR="001F5F79" w:rsidRPr="00CD6247" w:rsidRDefault="001F5F79" w:rsidP="001F5F79">
      <w:pPr>
        <w:pStyle w:val="List1"/>
        <w:rPr>
          <w:lang w:val="en"/>
        </w:rPr>
      </w:pPr>
      <w:r w:rsidRPr="00CD6247">
        <w:rPr>
          <w:szCs w:val="24"/>
          <w:lang w:val="en"/>
        </w:rPr>
        <w:t>(b)(2)(ii) Submit the determination and supporting documentation to the DLA Acquisition Operations Division.</w:t>
      </w:r>
    </w:p>
    <w:p w:rsidR="001F5F79" w:rsidRPr="00CD6247" w:rsidRDefault="001F5F79" w:rsidP="001F5F79">
      <w:pPr>
        <w:pStyle w:val="Heading2"/>
        <w:rPr>
          <w:lang w:val="en"/>
        </w:rPr>
      </w:pPr>
      <w:bookmarkStart w:id="4" w:name="P50_2053"/>
      <w:bookmarkStart w:id="5" w:name="P54_2596"/>
      <w:bookmarkStart w:id="6" w:name="P102_8224"/>
      <w:bookmarkEnd w:id="4"/>
      <w:bookmarkEnd w:id="5"/>
      <w:bookmarkEnd w:id="6"/>
      <w:r w:rsidRPr="00CD6247">
        <w:rPr>
          <w:lang w:val="en"/>
        </w:rPr>
        <w:t>SUBPART 25.8 – OTHER INTERNATIONAL AGREEMENTS AND COORDINATION</w:t>
      </w:r>
    </w:p>
    <w:p w:rsidR="001F5F79" w:rsidRPr="00CD6247" w:rsidRDefault="001F5F79" w:rsidP="001F5F79">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rsidR="001F5F79" w:rsidRPr="00B76454" w:rsidRDefault="001F5F79" w:rsidP="001F5F79">
      <w:pPr>
        <w:pStyle w:val="Heading3"/>
        <w:rPr>
          <w:sz w:val="24"/>
          <w:szCs w:val="24"/>
          <w:lang w:val="en"/>
        </w:rPr>
      </w:pPr>
      <w:r w:rsidRPr="00B76454">
        <w:rPr>
          <w:sz w:val="24"/>
          <w:szCs w:val="24"/>
          <w:lang w:val="en"/>
        </w:rPr>
        <w:t>25.802-71 End use certificates.</w:t>
      </w:r>
    </w:p>
    <w:p w:rsidR="001F5F79" w:rsidRPr="00CD6247" w:rsidRDefault="001F5F79" w:rsidP="001F5F79">
      <w:pPr>
        <w:pStyle w:val="Default"/>
        <w:rPr>
          <w:rFonts w:ascii="Times New Roman" w:hAnsi="Times New Roman" w:cs="Times New Roman"/>
        </w:rPr>
      </w:pPr>
      <w:r w:rsidRPr="00CD6247">
        <w:rPr>
          <w:rFonts w:ascii="Times New Roman" w:hAnsi="Times New Roman" w:cs="Times New Roman"/>
        </w:rPr>
        <w:t xml:space="preserve">(S-90) </w:t>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rsidR="001F5F79" w:rsidRPr="00CD6247" w:rsidRDefault="001F5F79" w:rsidP="001F5F79">
      <w:pPr>
        <w:pStyle w:val="NoSpacing"/>
        <w:rPr>
          <w:rFonts w:ascii="Times New Roman" w:hAnsi="Times New Roman"/>
          <w:sz w:val="24"/>
          <w:szCs w:val="24"/>
          <w:lang w:val="en"/>
        </w:rPr>
      </w:pPr>
      <w:r w:rsidRPr="00CD6247">
        <w:rPr>
          <w:rFonts w:ascii="Times New Roman" w:hAnsi="Times New Roman"/>
          <w:sz w:val="24"/>
          <w:szCs w:val="24"/>
        </w:rPr>
        <w:t xml:space="preserve">(S-91) </w:t>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Id20" w:history="1">
        <w:r>
          <w:rPr>
            <w:rStyle w:val="Hyperlink"/>
            <w:rFonts w:ascii="Times New Roman" w:hAnsi="Times New Roman"/>
            <w:sz w:val="24"/>
            <w:szCs w:val="24"/>
          </w:rPr>
          <w:t>DoD Directive 2040.3, End Use Certificates</w:t>
        </w:r>
      </w:hyperlink>
      <w:r>
        <w:rPr>
          <w:rFonts w:ascii="Times New Roman" w:hAnsi="Times New Roman"/>
          <w:sz w:val="24"/>
          <w:szCs w:val="24"/>
        </w:rPr>
        <w:t xml:space="preserve"> (</w:t>
      </w:r>
      <w:hyperlink r:id="rId21" w:history="1">
        <w:r w:rsidRPr="00337DE9">
          <w:rPr>
            <w:rStyle w:val="Hyperlink"/>
            <w:rFonts w:ascii="Times New Roman" w:hAnsi="Times New Roman"/>
            <w:sz w:val="24"/>
            <w:szCs w:val="24"/>
          </w:rPr>
          <w:t>https://www.esd.whs.mil/Portals/54/Documents/DD/issuances/dodd/204003p.pdf</w:t>
        </w:r>
      </w:hyperlink>
      <w:r>
        <w:rPr>
          <w:rFonts w:ascii="Times New Roman" w:hAnsi="Times New Roman"/>
          <w:sz w:val="24"/>
          <w:szCs w:val="24"/>
        </w:rPr>
        <w:t>).</w:t>
      </w:r>
    </w:p>
    <w:p w:rsidR="001F5F79" w:rsidRPr="00CD6247" w:rsidRDefault="001F5F79" w:rsidP="001F5F79">
      <w:pPr>
        <w:pStyle w:val="NoSpacing"/>
        <w:spacing w:after="240"/>
        <w:rPr>
          <w:rFonts w:ascii="Times New Roman" w:hAnsi="Times New Roman"/>
          <w:sz w:val="24"/>
          <w:szCs w:val="24"/>
          <w:lang w:val="en"/>
        </w:rPr>
      </w:pPr>
      <w:r w:rsidRPr="00CD6247">
        <w:rPr>
          <w:rFonts w:ascii="Times New Roman" w:hAnsi="Times New Roman"/>
          <w:sz w:val="24"/>
          <w:szCs w:val="24"/>
          <w:lang w:val="en"/>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r>
        <w:rPr>
          <w:rFonts w:ascii="Times New Roman" w:hAnsi="Times New Roman"/>
          <w:sz w:val="24"/>
          <w:szCs w:val="24"/>
          <w:lang w:val="en"/>
        </w:rPr>
        <w:t xml:space="preserve"> </w:t>
      </w:r>
    </w:p>
    <w:p w:rsidR="001F5F79" w:rsidRPr="00CD6247" w:rsidRDefault="001F5F79" w:rsidP="001F5F79">
      <w:pPr>
        <w:pStyle w:val="Heading2"/>
        <w:rPr>
          <w:lang w:val="en"/>
        </w:rPr>
      </w:pPr>
      <w:r w:rsidRPr="00CD6247">
        <w:rPr>
          <w:lang w:val="en"/>
        </w:rPr>
        <w:t>SUBPART 25.9 – CUSTOMS AND DUTIES</w:t>
      </w:r>
    </w:p>
    <w:p w:rsidR="001F5F79" w:rsidRPr="00CD6247" w:rsidRDefault="001F5F79" w:rsidP="001F5F79">
      <w:pPr>
        <w:pStyle w:val="NoSpacing"/>
        <w:spacing w:after="240"/>
        <w:jc w:val="center"/>
        <w:rPr>
          <w:rFonts w:ascii="Times New Roman" w:hAnsi="Times New Roman"/>
          <w:i/>
          <w:sz w:val="24"/>
          <w:szCs w:val="24"/>
          <w:lang w:val="en"/>
        </w:rPr>
      </w:pPr>
      <w:bookmarkStart w:id="7" w:name="P104_8264"/>
      <w:bookmarkStart w:id="8" w:name="P106_8525"/>
      <w:bookmarkEnd w:id="7"/>
      <w:bookmarkEnd w:id="8"/>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1F5F79" w:rsidRPr="00CD6247" w:rsidRDefault="001F5F79" w:rsidP="001F5F79">
      <w:pPr>
        <w:pStyle w:val="Heading3"/>
        <w:rPr>
          <w:lang w:val="en"/>
        </w:rPr>
      </w:pPr>
      <w:bookmarkStart w:id="9" w:name="P25_903"/>
      <w:r w:rsidRPr="00CD6247">
        <w:rPr>
          <w:lang w:val="en"/>
        </w:rPr>
        <w:t xml:space="preserve">25.903 </w:t>
      </w:r>
      <w:bookmarkEnd w:id="9"/>
      <w:r w:rsidRPr="00CD6247">
        <w:rPr>
          <w:lang w:val="en"/>
        </w:rPr>
        <w:t>Exempted supplies.</w:t>
      </w:r>
    </w:p>
    <w:p w:rsidR="001F5F79" w:rsidRPr="00CD6247" w:rsidRDefault="001F5F79" w:rsidP="001F5F79">
      <w:pPr>
        <w:pStyle w:val="List1"/>
        <w:rPr>
          <w:lang w:val="en"/>
        </w:rPr>
      </w:pPr>
      <w:r w:rsidRPr="00CD6247">
        <w:rPr>
          <w:szCs w:val="24"/>
          <w:lang w:val="en"/>
        </w:rPr>
        <w:t>(b)(ii) The contracting officer shall execute the certificate.</w:t>
      </w:r>
    </w:p>
    <w:p w:rsidR="001F5F79" w:rsidRPr="00CD6247" w:rsidRDefault="001F5F79" w:rsidP="001F5F79">
      <w:pPr>
        <w:pStyle w:val="Heading2"/>
        <w:rPr>
          <w:lang w:val="en"/>
        </w:rPr>
      </w:pPr>
      <w:r w:rsidRPr="00CD6247">
        <w:rPr>
          <w:lang w:val="en"/>
        </w:rPr>
        <w:t>SUBPART 25.70 – AUTHORIZATION ACTS, APPROPRIATIONS ACTS, AND OTHER STATUTORY RESTRICTIONS ON FOREIGN ACQUISITION</w:t>
      </w:r>
    </w:p>
    <w:p w:rsidR="001F5F79" w:rsidRPr="00CD6247" w:rsidRDefault="001F5F79" w:rsidP="001F5F79">
      <w:pPr>
        <w:pStyle w:val="NoSpacing"/>
        <w:spacing w:after="240"/>
        <w:jc w:val="center"/>
        <w:rPr>
          <w:rFonts w:ascii="Times New Roman" w:hAnsi="Times New Roman"/>
          <w:i/>
          <w:sz w:val="24"/>
          <w:szCs w:val="24"/>
          <w:lang w:val="en"/>
        </w:rPr>
      </w:pPr>
      <w:bookmarkStart w:id="10" w:name="P110_8824"/>
      <w:bookmarkStart w:id="11" w:name="P146_11228"/>
      <w:bookmarkEnd w:id="10"/>
      <w:bookmarkEnd w:id="11"/>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1F5F79" w:rsidRPr="00CB630C" w:rsidRDefault="001F5F79" w:rsidP="001F5F79">
      <w:pPr>
        <w:pStyle w:val="Heading3"/>
        <w:spacing w:after="240"/>
        <w:rPr>
          <w:sz w:val="24"/>
          <w:szCs w:val="24"/>
          <w:lang w:val="en"/>
        </w:rPr>
      </w:pPr>
      <w:bookmarkStart w:id="12" w:name="P25_7002"/>
      <w:r w:rsidRPr="00CB630C">
        <w:rPr>
          <w:sz w:val="24"/>
          <w:szCs w:val="24"/>
          <w:lang w:val="en"/>
        </w:rPr>
        <w:t xml:space="preserve">25.7002 </w:t>
      </w:r>
      <w:bookmarkEnd w:id="12"/>
      <w:r w:rsidRPr="00CB630C">
        <w:rPr>
          <w:sz w:val="24"/>
          <w:szCs w:val="24"/>
          <w:lang w:val="en"/>
        </w:rPr>
        <w:t>Restrictions on food, clothing, fabrics, hand or measuring tools, and flags.</w:t>
      </w:r>
    </w:p>
    <w:p w:rsidR="001F5F79" w:rsidRPr="00CD6247" w:rsidRDefault="001F5F79" w:rsidP="001F5F79">
      <w:pPr>
        <w:pStyle w:val="Heading3"/>
        <w:rPr>
          <w:lang w:val="en"/>
        </w:rPr>
      </w:pPr>
      <w:bookmarkStart w:id="13" w:name="P25_7002_2"/>
      <w:r w:rsidRPr="00CB630C">
        <w:rPr>
          <w:sz w:val="24"/>
          <w:szCs w:val="24"/>
          <w:lang w:val="en"/>
        </w:rPr>
        <w:t xml:space="preserve">25.7002-2 </w:t>
      </w:r>
      <w:bookmarkEnd w:id="13"/>
      <w:r w:rsidRPr="00CB630C">
        <w:rPr>
          <w:sz w:val="24"/>
          <w:szCs w:val="24"/>
          <w:lang w:val="en"/>
        </w:rPr>
        <w:t>Exceptions.</w:t>
      </w:r>
    </w:p>
    <w:p w:rsidR="001F5F79" w:rsidRPr="00CD6247" w:rsidRDefault="001F5F79" w:rsidP="001F5F79">
      <w:pPr>
        <w:pStyle w:val="List1"/>
        <w:rPr>
          <w:lang w:val="en"/>
        </w:rPr>
      </w:pPr>
      <w:r w:rsidRPr="00CD6247">
        <w:rPr>
          <w:szCs w:val="24"/>
          <w:lang w:val="en"/>
        </w:rPr>
        <w:t>(b)(3) Determination shall be forwarded to the DLA Acquisition Operations Division ten (10) working days prior to anticipated contract award.</w:t>
      </w:r>
    </w:p>
    <w:p w:rsidR="001F5F79" w:rsidRPr="00CD6247" w:rsidRDefault="001F5F79" w:rsidP="001F5F79">
      <w:pPr>
        <w:pStyle w:val="Heading2"/>
        <w:rPr>
          <w:lang w:val="en"/>
        </w:rPr>
      </w:pPr>
      <w:r w:rsidRPr="00CD6247">
        <w:rPr>
          <w:lang w:val="en"/>
        </w:rPr>
        <w:t>SUBPART 25.73 – ACQUISITIONS FOR FOREIGN MILITARY SALES</w:t>
      </w:r>
    </w:p>
    <w:p w:rsidR="001F5F79" w:rsidRPr="00CD6247" w:rsidRDefault="001F5F79" w:rsidP="001F5F79">
      <w:pPr>
        <w:pStyle w:val="NoSpacing"/>
        <w:spacing w:after="240"/>
        <w:jc w:val="center"/>
        <w:rPr>
          <w:rFonts w:ascii="Times New Roman" w:hAnsi="Times New Roman"/>
          <w:i/>
          <w:sz w:val="24"/>
          <w:szCs w:val="24"/>
          <w:lang w:val="en"/>
        </w:rPr>
      </w:pPr>
      <w:bookmarkStart w:id="14" w:name="P244_30540"/>
      <w:bookmarkEnd w:id="14"/>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1F5F79" w:rsidRPr="00CB630C" w:rsidRDefault="001F5F79" w:rsidP="001F5F79">
      <w:pPr>
        <w:pStyle w:val="Heading3"/>
        <w:rPr>
          <w:sz w:val="24"/>
          <w:szCs w:val="24"/>
          <w:lang w:val="en"/>
        </w:rPr>
      </w:pPr>
      <w:bookmarkStart w:id="15" w:name="P25_7301"/>
      <w:r w:rsidRPr="00CB630C">
        <w:rPr>
          <w:sz w:val="24"/>
          <w:szCs w:val="24"/>
          <w:lang w:val="en"/>
        </w:rPr>
        <w:t xml:space="preserve">25.7301 </w:t>
      </w:r>
      <w:bookmarkEnd w:id="15"/>
      <w:r w:rsidRPr="00CB630C">
        <w:rPr>
          <w:sz w:val="24"/>
          <w:szCs w:val="24"/>
          <w:lang w:val="en"/>
        </w:rPr>
        <w:t>General.</w:t>
      </w:r>
    </w:p>
    <w:p w:rsidR="001F5F79" w:rsidRPr="00CD6247" w:rsidRDefault="001F5F79" w:rsidP="001F5F79">
      <w:pPr>
        <w:pStyle w:val="List1"/>
        <w:rPr>
          <w:lang w:val="en"/>
        </w:rPr>
      </w:pPr>
      <w:r w:rsidRPr="00CD6247">
        <w:rPr>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rsidR="001F5F79" w:rsidRPr="00CB630C" w:rsidRDefault="001F5F79" w:rsidP="001F5F79">
      <w:pPr>
        <w:pStyle w:val="Heading2"/>
        <w:rPr>
          <w:rFonts w:ascii="Calibri" w:eastAsia="Calibri" w:hAnsi="Calibri"/>
        </w:rPr>
      </w:pPr>
      <w:bookmarkStart w:id="16" w:name="P_25_79"/>
      <w:r w:rsidRPr="00CB630C">
        <w:rPr>
          <w:rFonts w:eastAsia="Calibri"/>
          <w:lang w:val="en"/>
        </w:rPr>
        <w:t xml:space="preserve">SUBPART 25.79 </w:t>
      </w:r>
      <w:bookmarkEnd w:id="16"/>
      <w:r w:rsidRPr="00CB630C">
        <w:rPr>
          <w:rFonts w:eastAsia="Calibri"/>
          <w:lang w:val="en"/>
        </w:rPr>
        <w:t>– EXPORT CONTROL</w:t>
      </w:r>
    </w:p>
    <w:p w:rsidR="001F5F79" w:rsidRPr="00CB630C" w:rsidRDefault="001F5F79" w:rsidP="001F5F7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rFonts w:ascii="Calibri" w:eastAsia="Calibri" w:hAnsi="Calibri"/>
          <w:b/>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rsidR="001F5F79" w:rsidRPr="00CB630C" w:rsidRDefault="001F5F79" w:rsidP="001F5F79">
      <w:pPr>
        <w:pStyle w:val="Heading3"/>
        <w:spacing w:after="240"/>
        <w:rPr>
          <w:sz w:val="24"/>
          <w:szCs w:val="24"/>
        </w:rPr>
      </w:pPr>
      <w:bookmarkStart w:id="17" w:name="P25_7901"/>
      <w:r w:rsidRPr="00CB630C">
        <w:rPr>
          <w:sz w:val="24"/>
          <w:szCs w:val="24"/>
        </w:rPr>
        <w:t>25.7901</w:t>
      </w:r>
      <w:bookmarkEnd w:id="17"/>
      <w:r w:rsidRPr="00CB630C">
        <w:rPr>
          <w:sz w:val="24"/>
          <w:szCs w:val="24"/>
        </w:rPr>
        <w:t xml:space="preserve"> Export-controlled items.</w:t>
      </w:r>
    </w:p>
    <w:p w:rsidR="001F5F79" w:rsidRPr="00CB630C" w:rsidRDefault="001F5F79" w:rsidP="001F5F79">
      <w:pPr>
        <w:pStyle w:val="Heading3"/>
        <w:rPr>
          <w:sz w:val="24"/>
          <w:szCs w:val="24"/>
        </w:rPr>
      </w:pPr>
      <w:bookmarkStart w:id="18" w:name="P25_7901_1"/>
      <w:r w:rsidRPr="00CB630C">
        <w:rPr>
          <w:sz w:val="24"/>
          <w:szCs w:val="24"/>
        </w:rPr>
        <w:t xml:space="preserve">25.7901-1 </w:t>
      </w:r>
      <w:bookmarkEnd w:id="18"/>
      <w:r w:rsidRPr="00CB630C">
        <w:rPr>
          <w:sz w:val="24"/>
          <w:szCs w:val="24"/>
        </w:rPr>
        <w:t>Definitions.</w:t>
      </w:r>
    </w:p>
    <w:p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rsidR="001F5F79" w:rsidRPr="00CB630C" w:rsidRDefault="001F5F79" w:rsidP="001F5F79">
      <w:pPr>
        <w:pStyle w:val="Heading3"/>
        <w:rPr>
          <w:rFonts w:eastAsiaTheme="minorHAnsi"/>
          <w:sz w:val="24"/>
          <w:szCs w:val="24"/>
        </w:rPr>
      </w:pPr>
      <w:bookmarkStart w:id="19" w:name="P25_7902_4"/>
      <w:r w:rsidRPr="00CB630C">
        <w:rPr>
          <w:rFonts w:eastAsiaTheme="minorHAnsi"/>
          <w:sz w:val="24"/>
          <w:szCs w:val="24"/>
        </w:rPr>
        <w:t>25.7902-4 Procedures.</w:t>
      </w:r>
      <w:bookmarkEnd w:id="19"/>
    </w:p>
    <w:p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sidRPr="00CB630C">
        <w:rPr>
          <w:sz w:val="24"/>
          <w:szCs w:val="24"/>
        </w:rPr>
        <w:t>(S-91) For manual acquisitions, the contracting officer shall—</w:t>
      </w:r>
    </w:p>
    <w:p w:rsidR="001F5F79" w:rsidRPr="00CB630C" w:rsidRDefault="001F5F79" w:rsidP="001F5F79">
      <w:pPr>
        <w:pStyle w:val="List2"/>
      </w:pPr>
      <w:r w:rsidRPr="00CB630C">
        <w:rPr>
          <w:sz w:val="24"/>
          <w:szCs w:val="24"/>
        </w:rPr>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rsidR="001F5F79" w:rsidRPr="006C3781" w:rsidRDefault="001F5F79" w:rsidP="001F5F79">
      <w:pPr>
        <w:pStyle w:val="List2"/>
      </w:pPr>
      <w:r w:rsidRPr="006C3781">
        <w:rPr>
          <w:color w:val="000000"/>
          <w:sz w:val="23"/>
          <w:szCs w:val="23"/>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rsidR="001F5F79" w:rsidRPr="006C3781" w:rsidRDefault="001F5F79" w:rsidP="001F5F79">
      <w:pPr>
        <w:pStyle w:val="List3"/>
      </w:pPr>
      <w:r w:rsidRPr="006C3781">
        <w:rPr>
          <w:color w:val="000000"/>
          <w:sz w:val="23"/>
          <w:szCs w:val="23"/>
        </w:rPr>
        <w:t xml:space="preserve">(i) See the Business Decision Analytics (BDA) Supplier Risk Analysis by CAGE Code Model in the </w:t>
      </w:r>
      <w:hyperlink r:id="rId22" w:history="1">
        <w:r>
          <w:rPr>
            <w:rStyle w:val="Hyperlink"/>
            <w:sz w:val="23"/>
            <w:szCs w:val="23"/>
          </w:rPr>
          <w:t>BDA Job Aid Folder</w:t>
        </w:r>
      </w:hyperlink>
      <w:r>
        <w:rPr>
          <w:color w:val="0000FF"/>
          <w:sz w:val="23"/>
          <w:szCs w:val="23"/>
        </w:rPr>
        <w:t xml:space="preserve"> (</w:t>
      </w:r>
      <w:hyperlink r:id="rId23" w:history="1">
        <w:r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rsidR="001F5F79" w:rsidRDefault="001F5F79" w:rsidP="001F5F79">
      <w:pPr>
        <w:pStyle w:val="List3"/>
      </w:pPr>
      <w:r w:rsidRPr="006C3781">
        <w:rPr>
          <w:color w:val="000000"/>
          <w:sz w:val="23"/>
          <w:szCs w:val="23"/>
        </w:rPr>
        <w:t xml:space="preserve">(ii) If the BDA Job Aid Folder is unavailable, contact the DLA controlling authority at email </w:t>
      </w:r>
      <w:hyperlink r:id="rId24" w:history="1">
        <w:r w:rsidRPr="00072B1D">
          <w:rPr>
            <w:rStyle w:val="Hyperlink"/>
            <w:sz w:val="23"/>
            <w:szCs w:val="23"/>
          </w:rPr>
          <w:t>DLAJ344DataCustodian@dla.mil</w:t>
        </w:r>
      </w:hyperlink>
      <w:r w:rsidRPr="006C3781">
        <w:rPr>
          <w:color w:val="1F487C"/>
          <w:sz w:val="23"/>
          <w:szCs w:val="23"/>
        </w:rPr>
        <w:t>.</w:t>
      </w:r>
    </w:p>
    <w:p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rsidR="001F5F79" w:rsidRPr="00CB630C"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rsidR="001F5F79" w:rsidRPr="00CD6247" w:rsidRDefault="001F5F79" w:rsidP="001F5F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sectPr w:rsidR="001F5F79" w:rsidRPr="00CD6247" w:rsidSect="00C92932">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299"/>
        </w:sectPr>
      </w:pPr>
      <w:r w:rsidRPr="00CB630C">
        <w:rPr>
          <w:b/>
          <w:sz w:val="24"/>
          <w:szCs w:val="24"/>
        </w:rPr>
        <w:br w:type="page"/>
      </w: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1"/>
      <w:headerReference w:type="default" r:id="rId32"/>
      <w:footerReference w:type="even" r:id="rId33"/>
      <w:footerReference w:type="default" r:id="rId3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5F79" w:rsidRDefault="001F5F79" w:rsidP="00926910">
      <w:r>
        <w:separator/>
      </w:r>
    </w:p>
    <w:p w:rsidR="001F5F79" w:rsidRDefault="001F5F79"/>
    <w:p w:rsidR="001F5F79" w:rsidRDefault="001F5F79"/>
  </w:endnote>
  <w:endnote w:type="continuationSeparator" w:id="0">
    <w:p w:rsidR="001F5F79" w:rsidRDefault="001F5F79" w:rsidP="00926910">
      <w:r>
        <w:continuationSeparator/>
      </w:r>
    </w:p>
    <w:p w:rsidR="001F5F79" w:rsidRDefault="001F5F79"/>
    <w:p w:rsidR="001F5F79" w:rsidRDefault="001F5F79"/>
  </w:endnote>
  <w:endnote w:type="continuationNotice" w:id="1">
    <w:p w:rsidR="001F5F79" w:rsidRDefault="001F5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F79" w:rsidRPr="0029794A" w:rsidRDefault="001F5F79"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166</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F79" w:rsidRPr="00947768" w:rsidRDefault="001F5F79"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947768">
      <w:rPr>
        <w:b/>
        <w:sz w:val="24"/>
        <w:szCs w:val="24"/>
      </w:rPr>
      <w:t>Revision 5</w:t>
    </w:r>
    <w:r w:rsidRPr="00947768">
      <w:rPr>
        <w:b/>
        <w:sz w:val="24"/>
        <w:szCs w:val="24"/>
      </w:rPr>
      <w:tab/>
    </w:r>
    <w:r w:rsidRPr="00947768">
      <w:rPr>
        <w:b/>
        <w:sz w:val="24"/>
        <w:szCs w:val="24"/>
      </w:rPr>
      <w:fldChar w:fldCharType="begin"/>
    </w:r>
    <w:r w:rsidRPr="00947768">
      <w:rPr>
        <w:b/>
        <w:sz w:val="24"/>
        <w:szCs w:val="24"/>
      </w:rPr>
      <w:instrText xml:space="preserve"> PAGE  \* Arabic  \* MERGEFORMAT </w:instrText>
    </w:r>
    <w:r w:rsidRPr="00947768">
      <w:rPr>
        <w:b/>
        <w:sz w:val="24"/>
        <w:szCs w:val="24"/>
      </w:rPr>
      <w:fldChar w:fldCharType="separate"/>
    </w:r>
    <w:r>
      <w:rPr>
        <w:b/>
        <w:noProof/>
        <w:sz w:val="24"/>
        <w:szCs w:val="24"/>
      </w:rPr>
      <w:t>163</w:t>
    </w:r>
    <w:r w:rsidRPr="00947768">
      <w:rPr>
        <w:b/>
        <w:sz w:val="24"/>
        <w:szCs w:val="24"/>
      </w:rPr>
      <w:fldChar w:fldCharType="end"/>
    </w:r>
    <w:r w:rsidRPr="00947768">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F79" w:rsidRPr="00947768" w:rsidRDefault="001F5F79" w:rsidP="009F6EB9">
    <w:pPr>
      <w:pStyle w:val="Footer"/>
      <w:tabs>
        <w:tab w:val="clear" w:pos="4320"/>
        <w:tab w:val="clear" w:pos="6120"/>
        <w:tab w:val="center" w:pos="4500"/>
        <w:tab w:val="left" w:pos="8010"/>
      </w:tabs>
      <w:rPr>
        <w:b/>
        <w:sz w:val="24"/>
        <w:szCs w:val="24"/>
      </w:rPr>
    </w:pPr>
    <w:r>
      <w:rPr>
        <w:b/>
        <w:sz w:val="24"/>
        <w:szCs w:val="24"/>
      </w:rPr>
      <w:t xml:space="preserve">August </w:t>
    </w:r>
    <w:r w:rsidRPr="00034342">
      <w:rPr>
        <w:b/>
        <w:sz w:val="24"/>
        <w:szCs w:val="24"/>
      </w:rPr>
      <w:t>202</w:t>
    </w:r>
    <w:r>
      <w:rPr>
        <w:b/>
        <w:sz w:val="24"/>
        <w:szCs w:val="24"/>
      </w:rPr>
      <w:t>1</w:t>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162</w:t>
    </w:r>
    <w:r w:rsidRPr="00947768">
      <w:rPr>
        <w:b/>
        <w:noProof/>
        <w:sz w:val="24"/>
        <w:szCs w:val="24"/>
      </w:rPr>
      <w:fldChar w:fldCharType="end"/>
    </w:r>
    <w:r w:rsidRPr="00947768">
      <w:rPr>
        <w:b/>
        <w:sz w:val="24"/>
        <w:szCs w:val="24"/>
      </w:rPr>
      <w:tab/>
    </w:r>
    <w:r w:rsidRPr="00947768">
      <w:rPr>
        <w:b/>
        <w:sz w:val="24"/>
        <w:szCs w:val="24"/>
      </w:rPr>
      <w:tab/>
    </w:r>
    <w:r w:rsidRPr="00947768">
      <w:rPr>
        <w:b/>
        <w:sz w:val="24"/>
        <w:szCs w:val="24"/>
      </w:rPr>
      <w:tab/>
    </w:r>
    <w:r w:rsidRPr="00947768">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5F79" w:rsidRDefault="001F5F79" w:rsidP="00926910">
      <w:r>
        <w:separator/>
      </w:r>
    </w:p>
    <w:p w:rsidR="001F5F79" w:rsidRDefault="001F5F79"/>
    <w:p w:rsidR="001F5F79" w:rsidRDefault="001F5F79"/>
  </w:footnote>
  <w:footnote w:type="continuationSeparator" w:id="0">
    <w:p w:rsidR="001F5F79" w:rsidRDefault="001F5F79" w:rsidP="00926910">
      <w:r>
        <w:continuationSeparator/>
      </w:r>
    </w:p>
    <w:p w:rsidR="001F5F79" w:rsidRDefault="001F5F79"/>
    <w:p w:rsidR="001F5F79" w:rsidRDefault="001F5F79"/>
  </w:footnote>
  <w:footnote w:type="continuationNotice" w:id="1">
    <w:p w:rsidR="001F5F79" w:rsidRDefault="001F5F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F79" w:rsidRPr="00D120A5" w:rsidRDefault="001F5F79" w:rsidP="00302B0D">
    <w:pPr>
      <w:pStyle w:val="Header"/>
      <w:spacing w:after="240"/>
      <w:jc w:val="center"/>
      <w:rPr>
        <w:b/>
        <w:sz w:val="24"/>
        <w:szCs w:val="24"/>
      </w:rPr>
    </w:pPr>
    <w:r w:rsidRPr="00D120A5">
      <w:rPr>
        <w:b/>
        <w:sz w:val="24"/>
        <w:szCs w:val="24"/>
      </w:rPr>
      <w:t>DEFENSE LOGISTICS ACQUISITION DIRECTIVE</w:t>
    </w:r>
  </w:p>
  <w:p w:rsidR="001F5F79" w:rsidRPr="00D120A5" w:rsidRDefault="001F5F79" w:rsidP="00302B0D">
    <w:pPr>
      <w:pStyle w:val="Header"/>
      <w:spacing w:after="240"/>
      <w:jc w:val="center"/>
      <w:rPr>
        <w:b/>
        <w:sz w:val="24"/>
        <w:szCs w:val="24"/>
      </w:rPr>
    </w:pPr>
    <w:r w:rsidRPr="00D120A5">
      <w:rPr>
        <w:b/>
        <w:sz w:val="24"/>
        <w:szCs w:val="24"/>
      </w:rPr>
      <w:t>PART 27 – PATENTS, DATA, AND COPYRIGHTS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F79" w:rsidRPr="00D120A5" w:rsidRDefault="001F5F79" w:rsidP="000216BD">
    <w:pPr>
      <w:pStyle w:val="Header"/>
      <w:spacing w:after="240"/>
      <w:jc w:val="center"/>
      <w:rPr>
        <w:b/>
        <w:sz w:val="24"/>
        <w:szCs w:val="24"/>
      </w:rPr>
    </w:pPr>
    <w:r w:rsidRPr="00D120A5">
      <w:rPr>
        <w:b/>
        <w:sz w:val="24"/>
        <w:szCs w:val="24"/>
      </w:rPr>
      <w:t>DEFENSE LOGISTICS ACQUISITION DIRECTIVE</w:t>
    </w:r>
  </w:p>
  <w:p w:rsidR="001F5F79" w:rsidRPr="00D120A5" w:rsidRDefault="001F5F79"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25 – FOREIGN ACQUISITION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F79" w:rsidRPr="00947768" w:rsidRDefault="001F5F79" w:rsidP="00302B0D">
    <w:pPr>
      <w:pStyle w:val="Header"/>
      <w:spacing w:after="240"/>
      <w:jc w:val="center"/>
      <w:rPr>
        <w:b/>
        <w:sz w:val="24"/>
        <w:szCs w:val="24"/>
      </w:rPr>
    </w:pPr>
    <w:r w:rsidRPr="00947768">
      <w:rPr>
        <w:b/>
        <w:sz w:val="24"/>
        <w:szCs w:val="24"/>
      </w:rPr>
      <w:t>DEFENSE LOGISTICS ACQUISITION DIRECTIVE</w:t>
    </w:r>
  </w:p>
  <w:p w:rsidR="001F5F79" w:rsidRPr="00947768" w:rsidRDefault="001F5F79"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947768">
      <w:rPr>
        <w:b/>
        <w:sz w:val="24"/>
        <w:szCs w:val="24"/>
      </w:rPr>
      <w:t>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5F79"/>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25.docx" TargetMode="External"/><Relationship Id="rId18" Type="http://schemas.openxmlformats.org/officeDocument/2006/relationships/hyperlink" Target="DLAD-Part-25.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esd.whs.mil/Portals/54/Documents/DD/issuances/dodd/204003p.pdf"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yperlink" Target="DLAD-Part-25.docx" TargetMode="External"/><Relationship Id="rId17" Type="http://schemas.openxmlformats.org/officeDocument/2006/relationships/hyperlink" Target="DLAD-Part-25.docx" TargetMode="External"/><Relationship Id="rId25" Type="http://schemas.openxmlformats.org/officeDocument/2006/relationships/header" Target="header1.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25.docx" TargetMode="External"/><Relationship Id="rId20" Type="http://schemas.openxmlformats.org/officeDocument/2006/relationships/hyperlink" Target="https://www.esd.whs.mil/Portals/54/Documents/DD/issuances/dodd/204003p.pdf"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25.docx" TargetMode="External"/><Relationship Id="rId24" Type="http://schemas.openxmlformats.org/officeDocument/2006/relationships/hyperlink" Target="mailto:DLAJ344DataCustodian@dla.mil"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25.docx" TargetMode="External"/><Relationship Id="rId2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DLAD-Part-25.docx"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25.docx" TargetMode="External"/><Relationship Id="rId2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7998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