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0763" w:rsidRPr="006F217C" w:rsidRDefault="002B0763" w:rsidP="002B0763">
      <w:pPr>
        <w:pStyle w:val="Heading1"/>
        <w:rPr>
          <w:sz w:val="24"/>
          <w:szCs w:val="24"/>
        </w:rPr>
      </w:pPr>
      <w:r w:rsidRPr="006F217C">
        <w:rPr>
          <w:sz w:val="24"/>
          <w:szCs w:val="24"/>
        </w:rPr>
        <w:t>PART 42 – CONTRACT ADMINISTRATION</w:t>
      </w:r>
    </w:p>
    <w:p w:rsidR="002B0763" w:rsidRPr="006F217C" w:rsidRDefault="002B0763" w:rsidP="002B0763">
      <w:pPr>
        <w:pStyle w:val="NoSpacing"/>
        <w:tabs>
          <w:tab w:val="left" w:pos="2835"/>
        </w:tabs>
        <w:spacing w:after="240"/>
        <w:jc w:val="center"/>
        <w:rPr>
          <w:rFonts w:ascii="Times New Roman" w:hAnsi="Times New Roman"/>
          <w:i/>
          <w:sz w:val="24"/>
          <w:szCs w:val="24"/>
        </w:rPr>
      </w:pPr>
      <w:r w:rsidRPr="006F217C">
        <w:rPr>
          <w:rFonts w:ascii="Times New Roman" w:hAnsi="Times New Roman"/>
          <w:i/>
          <w:sz w:val="24"/>
          <w:szCs w:val="24"/>
        </w:rPr>
        <w:t>(Revised August 30, 2021 through PROCLTR 2021-12)</w:t>
      </w:r>
    </w:p>
    <w:p w:rsidR="002B0763" w:rsidRPr="00CD6247" w:rsidRDefault="002B0763" w:rsidP="002B0763">
      <w:pPr>
        <w:pStyle w:val="NoSpacing"/>
        <w:jc w:val="center"/>
        <w:rPr>
          <w:rFonts w:ascii="Times New Roman" w:hAnsi="Times New Roman"/>
          <w:b/>
          <w:sz w:val="24"/>
          <w:szCs w:val="24"/>
        </w:rPr>
      </w:pPr>
      <w:r w:rsidRPr="00CD6247">
        <w:rPr>
          <w:rFonts w:ascii="Times New Roman" w:hAnsi="Times New Roman"/>
          <w:b/>
          <w:sz w:val="24"/>
          <w:szCs w:val="24"/>
        </w:rPr>
        <w:t>TABLE OF CONTENTS</w:t>
      </w:r>
    </w:p>
    <w:p w:rsidR="002B0763" w:rsidRPr="00CD6247" w:rsidRDefault="002B0763" w:rsidP="002B0763">
      <w:pPr>
        <w:pStyle w:val="NoSpacing"/>
        <w:rPr>
          <w:rFonts w:ascii="Times New Roman" w:hAnsi="Times New Roman"/>
          <w:b/>
          <w:sz w:val="24"/>
          <w:szCs w:val="24"/>
        </w:rPr>
      </w:pPr>
      <w:r w:rsidRPr="00CD6247">
        <w:rPr>
          <w:rFonts w:ascii="Times New Roman" w:hAnsi="Times New Roman"/>
          <w:b/>
          <w:sz w:val="24"/>
          <w:szCs w:val="24"/>
        </w:rPr>
        <w:t>SUBPART 42.1 – CONTRACT AUDIT SERVICES</w:t>
      </w:r>
    </w:p>
    <w:p w:rsidR="002B0763" w:rsidRPr="00CD6247" w:rsidRDefault="002B0763" w:rsidP="002B0763">
      <w:pPr>
        <w:pStyle w:val="NoSpacing"/>
        <w:rPr>
          <w:rFonts w:ascii="Times New Roman" w:hAnsi="Times New Roman"/>
          <w:b/>
          <w:sz w:val="24"/>
          <w:szCs w:val="24"/>
        </w:rPr>
      </w:pPr>
      <w:hyperlink r:id="rId11" w:anchor="P42_101" w:history="1">
        <w:r w:rsidRPr="00CD6247">
          <w:rPr>
            <w:rStyle w:val="Hyperlink"/>
            <w:rFonts w:ascii="Times New Roman" w:hAnsi="Times New Roman"/>
            <w:sz w:val="24"/>
            <w:szCs w:val="24"/>
          </w:rPr>
          <w:t>42.101</w:t>
        </w:r>
      </w:hyperlink>
      <w:r w:rsidRPr="004966D6">
        <w:rPr>
          <w:rStyle w:val="Hyperlink"/>
          <w:rFonts w:ascii="Times New Roman" w:hAnsi="Times New Roman"/>
          <w:sz w:val="24"/>
          <w:szCs w:val="24"/>
          <w:u w:val="none"/>
        </w:rPr>
        <w:tab/>
      </w:r>
      <w:r w:rsidRPr="004966D6">
        <w:rPr>
          <w:rStyle w:val="Hyperlink"/>
          <w:rFonts w:ascii="Times New Roman" w:hAnsi="Times New Roman"/>
          <w:sz w:val="24"/>
          <w:szCs w:val="24"/>
          <w:u w:val="none"/>
        </w:rPr>
        <w:tab/>
      </w:r>
      <w:r w:rsidRPr="00CD6247">
        <w:rPr>
          <w:rFonts w:ascii="Times New Roman" w:hAnsi="Times New Roman"/>
          <w:sz w:val="24"/>
          <w:szCs w:val="24"/>
        </w:rPr>
        <w:t>Contract audit responsibilities.</w:t>
      </w:r>
    </w:p>
    <w:p w:rsidR="002B0763" w:rsidRDefault="002B0763" w:rsidP="002B0763">
      <w:pPr>
        <w:pStyle w:val="NoSpacing"/>
        <w:rPr>
          <w:rFonts w:ascii="Times New Roman" w:hAnsi="Times New Roman"/>
          <w:b/>
          <w:sz w:val="24"/>
          <w:szCs w:val="24"/>
        </w:rPr>
      </w:pPr>
      <w:r w:rsidRPr="00CD6247">
        <w:rPr>
          <w:rFonts w:ascii="Times New Roman" w:hAnsi="Times New Roman"/>
          <w:b/>
          <w:sz w:val="24"/>
          <w:szCs w:val="24"/>
        </w:rPr>
        <w:t>SUBPART 42.2 – CONTRACT ADMINISTRATION SERVICE</w:t>
      </w:r>
    </w:p>
    <w:p w:rsidR="002B0763" w:rsidRPr="00CD6247" w:rsidRDefault="002B0763" w:rsidP="002B0763">
      <w:pPr>
        <w:pStyle w:val="NoSpacing"/>
        <w:rPr>
          <w:rFonts w:ascii="Times New Roman" w:hAnsi="Times New Roman"/>
          <w:sz w:val="24"/>
          <w:szCs w:val="24"/>
        </w:rPr>
      </w:pPr>
      <w:hyperlink r:id="rId12" w:anchor="P42_202" w:history="1">
        <w:r w:rsidRPr="00CD6247">
          <w:rPr>
            <w:rStyle w:val="Hyperlink"/>
            <w:rFonts w:ascii="Times New Roman" w:hAnsi="Times New Roman"/>
            <w:sz w:val="24"/>
            <w:szCs w:val="24"/>
          </w:rPr>
          <w:t>42.202</w:t>
        </w:r>
      </w:hyperlink>
      <w:r w:rsidRPr="004966D6">
        <w:rPr>
          <w:rStyle w:val="Hyperlink"/>
          <w:rFonts w:ascii="Times New Roman" w:hAnsi="Times New Roman"/>
          <w:sz w:val="24"/>
          <w:szCs w:val="24"/>
          <w:u w:val="none"/>
        </w:rPr>
        <w:tab/>
      </w:r>
      <w:r w:rsidRPr="004966D6">
        <w:rPr>
          <w:rStyle w:val="Hyperlink"/>
          <w:rFonts w:ascii="Times New Roman" w:hAnsi="Times New Roman"/>
          <w:sz w:val="24"/>
          <w:szCs w:val="24"/>
          <w:u w:val="none"/>
        </w:rPr>
        <w:tab/>
      </w:r>
      <w:r w:rsidRPr="00CD6247">
        <w:rPr>
          <w:rFonts w:ascii="Times New Roman" w:hAnsi="Times New Roman"/>
          <w:sz w:val="24"/>
          <w:szCs w:val="24"/>
        </w:rPr>
        <w:t>Assignment of contract administration.</w:t>
      </w:r>
      <w:r w:rsidRPr="00CD6247">
        <w:rPr>
          <w:rFonts w:ascii="Times New Roman" w:hAnsi="Times New Roman"/>
          <w:sz w:val="24"/>
          <w:szCs w:val="24"/>
        </w:rPr>
        <w:tab/>
      </w:r>
    </w:p>
    <w:p w:rsidR="002B0763" w:rsidRDefault="002B0763" w:rsidP="002B0763">
      <w:pPr>
        <w:pStyle w:val="NoSpacing"/>
        <w:rPr>
          <w:rFonts w:ascii="Times New Roman" w:hAnsi="Times New Roman"/>
          <w:b/>
          <w:bCs/>
          <w:sz w:val="24"/>
          <w:szCs w:val="24"/>
        </w:rPr>
      </w:pPr>
      <w:r w:rsidRPr="00CD6247">
        <w:rPr>
          <w:rFonts w:ascii="Times New Roman" w:hAnsi="Times New Roman"/>
          <w:b/>
          <w:bCs/>
          <w:sz w:val="24"/>
          <w:szCs w:val="24"/>
        </w:rPr>
        <w:t>SUBPART 42.3 – CONTRACT ADMINISTRATION OFFICE FUNCTIONS</w:t>
      </w:r>
    </w:p>
    <w:p w:rsidR="002B0763" w:rsidRPr="00CD6247" w:rsidRDefault="002B0763" w:rsidP="002B0763">
      <w:pPr>
        <w:pStyle w:val="NoSpacing"/>
        <w:rPr>
          <w:rFonts w:ascii="Times New Roman" w:hAnsi="Times New Roman"/>
          <w:sz w:val="24"/>
          <w:szCs w:val="24"/>
        </w:rPr>
      </w:pPr>
      <w:hyperlink r:id="rId13" w:anchor="P42_302" w:history="1">
        <w:r w:rsidRPr="00CD6247">
          <w:rPr>
            <w:rStyle w:val="Hyperlink"/>
            <w:rFonts w:ascii="Times New Roman" w:hAnsi="Times New Roman"/>
            <w:sz w:val="24"/>
            <w:szCs w:val="24"/>
          </w:rPr>
          <w:t>42.302</w:t>
        </w:r>
      </w:hyperlink>
      <w:r>
        <w:rPr>
          <w:rFonts w:ascii="Times New Roman" w:hAnsi="Times New Roman"/>
          <w:sz w:val="24"/>
          <w:szCs w:val="24"/>
        </w:rPr>
        <w:t xml:space="preserve"> </w:t>
      </w:r>
      <w:r>
        <w:rPr>
          <w:rFonts w:ascii="Times New Roman" w:hAnsi="Times New Roman"/>
          <w:sz w:val="24"/>
          <w:szCs w:val="24"/>
        </w:rPr>
        <w:tab/>
      </w:r>
      <w:r w:rsidRPr="00CD6247">
        <w:rPr>
          <w:rFonts w:ascii="Times New Roman" w:hAnsi="Times New Roman"/>
          <w:sz w:val="24"/>
          <w:szCs w:val="24"/>
        </w:rPr>
        <w:t xml:space="preserve">Contract administration functions. </w:t>
      </w:r>
    </w:p>
    <w:p w:rsidR="002B0763" w:rsidRPr="00CD6247" w:rsidRDefault="002B0763" w:rsidP="002B0763">
      <w:pPr>
        <w:pStyle w:val="NoSpacing"/>
        <w:rPr>
          <w:rFonts w:ascii="Times New Roman" w:hAnsi="Times New Roman"/>
          <w:sz w:val="24"/>
          <w:szCs w:val="24"/>
        </w:rPr>
      </w:pPr>
      <w:r w:rsidRPr="00CD6247">
        <w:rPr>
          <w:rFonts w:ascii="Times New Roman" w:hAnsi="Times New Roman"/>
          <w:b/>
          <w:bCs/>
          <w:sz w:val="24"/>
          <w:szCs w:val="24"/>
        </w:rPr>
        <w:t>SUBPART 42.11 – PRODUCTION SURVEILLANCE AND REPORTING</w:t>
      </w:r>
    </w:p>
    <w:p w:rsidR="002B0763" w:rsidRPr="00CD6247" w:rsidRDefault="002B0763" w:rsidP="002B0763">
      <w:pPr>
        <w:pStyle w:val="NoSpacing"/>
        <w:rPr>
          <w:rFonts w:ascii="Times New Roman" w:hAnsi="Times New Roman"/>
          <w:sz w:val="24"/>
          <w:szCs w:val="24"/>
        </w:rPr>
      </w:pPr>
      <w:hyperlink r:id="rId14" w:anchor="P42_1101" w:history="1">
        <w:r w:rsidRPr="00CD6247">
          <w:rPr>
            <w:rStyle w:val="Hyperlink"/>
            <w:rFonts w:ascii="Times New Roman" w:hAnsi="Times New Roman"/>
            <w:sz w:val="24"/>
            <w:szCs w:val="24"/>
          </w:rPr>
          <w:t>42.1101</w:t>
        </w:r>
      </w:hyperlink>
      <w:r w:rsidRPr="004966D6">
        <w:rPr>
          <w:rStyle w:val="Hyperlink"/>
          <w:rFonts w:ascii="Times New Roman" w:hAnsi="Times New Roman"/>
          <w:sz w:val="24"/>
          <w:szCs w:val="24"/>
          <w:u w:val="none"/>
        </w:rPr>
        <w:tab/>
      </w:r>
      <w:r w:rsidRPr="00CD6247">
        <w:rPr>
          <w:rFonts w:ascii="Times New Roman" w:hAnsi="Times New Roman"/>
          <w:sz w:val="24"/>
          <w:szCs w:val="24"/>
        </w:rPr>
        <w:t>General.</w:t>
      </w:r>
    </w:p>
    <w:p w:rsidR="002B0763" w:rsidRPr="00CD6247" w:rsidRDefault="002B0763" w:rsidP="002B0763">
      <w:pPr>
        <w:pStyle w:val="NoSpacing"/>
        <w:rPr>
          <w:rFonts w:ascii="Times New Roman" w:hAnsi="Times New Roman"/>
          <w:sz w:val="24"/>
          <w:szCs w:val="24"/>
        </w:rPr>
      </w:pPr>
      <w:hyperlink r:id="rId15" w:anchor="P42_1104" w:history="1">
        <w:r w:rsidRPr="00CD6247">
          <w:rPr>
            <w:rStyle w:val="Hyperlink"/>
            <w:rFonts w:ascii="Times New Roman" w:hAnsi="Times New Roman"/>
            <w:sz w:val="24"/>
            <w:szCs w:val="24"/>
          </w:rPr>
          <w:t>42.1104</w:t>
        </w:r>
      </w:hyperlink>
      <w:r w:rsidRPr="004966D6">
        <w:rPr>
          <w:rStyle w:val="Hyperlink"/>
          <w:rFonts w:ascii="Times New Roman" w:hAnsi="Times New Roman"/>
          <w:sz w:val="24"/>
          <w:szCs w:val="24"/>
          <w:u w:val="none"/>
        </w:rPr>
        <w:tab/>
      </w:r>
      <w:r w:rsidRPr="00CD6247">
        <w:rPr>
          <w:rFonts w:ascii="Times New Roman" w:hAnsi="Times New Roman"/>
          <w:sz w:val="24"/>
          <w:szCs w:val="24"/>
        </w:rPr>
        <w:t>Surveillance requirements.</w:t>
      </w:r>
    </w:p>
    <w:p w:rsidR="002B0763" w:rsidRPr="00CD6247" w:rsidRDefault="002B0763" w:rsidP="002B0763">
      <w:pPr>
        <w:pStyle w:val="NoSpacing"/>
        <w:rPr>
          <w:rFonts w:ascii="Times New Roman" w:hAnsi="Times New Roman"/>
          <w:b/>
          <w:spacing w:val="-1"/>
          <w:sz w:val="24"/>
          <w:szCs w:val="24"/>
        </w:rPr>
      </w:pPr>
      <w:r w:rsidRPr="00CD6247">
        <w:rPr>
          <w:rFonts w:ascii="Times New Roman" w:hAnsi="Times New Roman"/>
          <w:b/>
          <w:spacing w:val="-1"/>
          <w:sz w:val="24"/>
          <w:szCs w:val="24"/>
        </w:rPr>
        <w:t>SUBPART 42.15 – CONTRACTOR PERFORMANCE INFORMATION</w:t>
      </w:r>
    </w:p>
    <w:p w:rsidR="002B0763" w:rsidRPr="00CD6247" w:rsidRDefault="002B0763" w:rsidP="002B0763">
      <w:pPr>
        <w:pStyle w:val="NoSpacing"/>
        <w:spacing w:after="240"/>
        <w:rPr>
          <w:rFonts w:ascii="Times New Roman" w:hAnsi="Times New Roman"/>
          <w:sz w:val="24"/>
          <w:szCs w:val="24"/>
        </w:rPr>
      </w:pPr>
      <w:hyperlink r:id="rId16" w:anchor="P42_1503" w:history="1">
        <w:r w:rsidRPr="00CD6247">
          <w:rPr>
            <w:rStyle w:val="Hyperlink"/>
            <w:rFonts w:ascii="Times New Roman" w:hAnsi="Times New Roman"/>
            <w:sz w:val="24"/>
            <w:szCs w:val="24"/>
          </w:rPr>
          <w:t>42.1503</w:t>
        </w:r>
      </w:hyperlink>
      <w:r w:rsidRPr="004966D6">
        <w:rPr>
          <w:rStyle w:val="Hyperlink"/>
          <w:rFonts w:ascii="Times New Roman" w:hAnsi="Times New Roman"/>
          <w:sz w:val="24"/>
          <w:szCs w:val="24"/>
          <w:u w:val="none"/>
        </w:rPr>
        <w:tab/>
      </w:r>
      <w:r w:rsidRPr="00CD6247">
        <w:rPr>
          <w:rFonts w:ascii="Times New Roman" w:hAnsi="Times New Roman"/>
          <w:sz w:val="24"/>
          <w:szCs w:val="24"/>
        </w:rPr>
        <w:t>Procedures.</w:t>
      </w:r>
    </w:p>
    <w:p w:rsidR="002B0763" w:rsidRPr="00CD6247" w:rsidRDefault="002B0763" w:rsidP="002B0763">
      <w:pPr>
        <w:pStyle w:val="Heading2"/>
      </w:pPr>
      <w:r w:rsidRPr="00CD6247">
        <w:t>SUBPART 42.1 – CONTRACT AUDIT SERVICES</w:t>
      </w:r>
    </w:p>
    <w:p w:rsidR="002B0763" w:rsidRPr="00CD6247" w:rsidRDefault="002B0763" w:rsidP="002B0763">
      <w:pPr>
        <w:spacing w:after="240"/>
        <w:jc w:val="center"/>
        <w:rPr>
          <w:i/>
          <w:sz w:val="24"/>
          <w:szCs w:val="24"/>
        </w:rPr>
      </w:pPr>
      <w:r w:rsidRPr="00CD6247">
        <w:rPr>
          <w:i/>
          <w:sz w:val="24"/>
          <w:szCs w:val="24"/>
        </w:rPr>
        <w:t>(Revised September 20, 2016 through PROCLTR 2016-10)</w:t>
      </w:r>
    </w:p>
    <w:p w:rsidR="002B0763" w:rsidRPr="00F96DCD" w:rsidRDefault="002B0763" w:rsidP="002B0763">
      <w:pPr>
        <w:pStyle w:val="Heading3"/>
        <w:rPr>
          <w:sz w:val="24"/>
          <w:szCs w:val="24"/>
        </w:rPr>
      </w:pPr>
      <w:bookmarkStart w:id="0" w:name="P42_101"/>
      <w:r w:rsidRPr="00F96DCD">
        <w:rPr>
          <w:sz w:val="24"/>
          <w:szCs w:val="24"/>
        </w:rPr>
        <w:t xml:space="preserve">42.101 </w:t>
      </w:r>
      <w:bookmarkEnd w:id="0"/>
      <w:r w:rsidRPr="00F96DCD">
        <w:rPr>
          <w:sz w:val="24"/>
          <w:szCs w:val="24"/>
        </w:rPr>
        <w:t>Contract audit responsibilities.</w:t>
      </w:r>
    </w:p>
    <w:p w:rsidR="002B0763" w:rsidRPr="00F96DCD" w:rsidRDefault="002B0763" w:rsidP="002B0763">
      <w:pPr>
        <w:pStyle w:val="Default"/>
        <w:spacing w:after="240"/>
        <w:rPr>
          <w:rFonts w:ascii="Times New Roman" w:hAnsi="Times New Roman" w:cs="Times New Roman"/>
        </w:rPr>
      </w:pPr>
      <w:r w:rsidRPr="00F96DCD">
        <w:rPr>
          <w:rFonts w:ascii="Times New Roman" w:hAnsi="Times New Roman" w:cs="Times New Roman"/>
        </w:rPr>
        <w:t xml:space="preserve">The Contract and Pricing Compliance Division Chief is the designee to oversee contract audit follow-up in accordance with </w:t>
      </w:r>
      <w:hyperlink r:id="rId17" w:history="1">
        <w:r>
          <w:rPr>
            <w:rStyle w:val="Hyperlink"/>
            <w:rFonts w:ascii="Times New Roman" w:hAnsi="Times New Roman" w:cs="Times New Roman"/>
          </w:rPr>
          <w:t>DoDI 7640.02, Policy for Follow-Up on Contract Audit Reports</w:t>
        </w:r>
      </w:hyperlink>
      <w:r>
        <w:rPr>
          <w:rFonts w:ascii="Times New Roman" w:hAnsi="Times New Roman" w:cs="Times New Roman"/>
        </w:rPr>
        <w:t xml:space="preserve"> (</w:t>
      </w:r>
      <w:hyperlink r:id="rId18" w:history="1">
        <w:r w:rsidRPr="008341C6">
          <w:rPr>
            <w:rStyle w:val="Hyperlink"/>
            <w:rFonts w:ascii="Times New Roman" w:hAnsi="Times New Roman" w:cs="Times New Roman"/>
          </w:rPr>
          <w:t>https://www.esd.whs.mil/Portals/54/Documents/DD/issuances/dodi/764002p.pdf</w:t>
        </w:r>
      </w:hyperlink>
      <w:r w:rsidRPr="00F96DCD">
        <w:rPr>
          <w:rFonts w:ascii="Times New Roman" w:hAnsi="Times New Roman" w:cs="Times New Roman"/>
        </w:rPr>
        <w:t>).</w:t>
      </w:r>
    </w:p>
    <w:p w:rsidR="002B0763" w:rsidRPr="00CD6247" w:rsidRDefault="002B0763" w:rsidP="002B0763">
      <w:pPr>
        <w:pStyle w:val="Heading2"/>
      </w:pPr>
      <w:r w:rsidRPr="00CD6247">
        <w:t xml:space="preserve">SUBPART 42.2 – CONTRACT ADMINISTRATION SERVICES  </w:t>
      </w:r>
    </w:p>
    <w:p w:rsidR="002B0763" w:rsidRPr="00CD6247" w:rsidRDefault="002B0763" w:rsidP="002B0763">
      <w:pPr>
        <w:pStyle w:val="NoSpacing"/>
        <w:tabs>
          <w:tab w:val="left" w:pos="2835"/>
        </w:tabs>
        <w:spacing w:after="240"/>
        <w:jc w:val="center"/>
        <w:rPr>
          <w:rFonts w:ascii="Times New Roman" w:hAnsi="Times New Roman"/>
          <w:i/>
          <w:sz w:val="24"/>
          <w:szCs w:val="24"/>
        </w:rPr>
      </w:pPr>
      <w:r w:rsidRPr="00CD6247">
        <w:rPr>
          <w:rFonts w:ascii="Times New Roman" w:hAnsi="Times New Roman"/>
          <w:i/>
          <w:sz w:val="24"/>
          <w:szCs w:val="24"/>
        </w:rPr>
        <w:t>(Revised May 15, 2019 through PROCLTR 2019-13)</w:t>
      </w:r>
    </w:p>
    <w:p w:rsidR="002B0763" w:rsidRPr="0029769D" w:rsidRDefault="002B0763" w:rsidP="002B0763">
      <w:pPr>
        <w:pStyle w:val="Heading3"/>
        <w:rPr>
          <w:sz w:val="24"/>
          <w:szCs w:val="24"/>
        </w:rPr>
      </w:pPr>
      <w:bookmarkStart w:id="1" w:name="P42_202"/>
      <w:r w:rsidRPr="0029769D">
        <w:rPr>
          <w:sz w:val="24"/>
          <w:szCs w:val="24"/>
        </w:rPr>
        <w:t>42.202</w:t>
      </w:r>
      <w:bookmarkEnd w:id="1"/>
      <w:r w:rsidRPr="0029769D">
        <w:rPr>
          <w:sz w:val="24"/>
          <w:szCs w:val="24"/>
        </w:rPr>
        <w:t xml:space="preserve"> Assignment of contract administration.</w:t>
      </w:r>
    </w:p>
    <w:p w:rsidR="002B0763" w:rsidRPr="00CD6247" w:rsidRDefault="002B0763" w:rsidP="002B0763">
      <w:pPr>
        <w:pStyle w:val="List1"/>
      </w:pPr>
      <w:r w:rsidRPr="00CD6247">
        <w:t>(a) Delegating functions.</w:t>
      </w:r>
    </w:p>
    <w:p w:rsidR="002B0763" w:rsidRPr="00CD6247" w:rsidRDefault="002B0763" w:rsidP="002B0763">
      <w:pPr>
        <w:pStyle w:val="List2"/>
      </w:pPr>
      <w:r w:rsidRPr="00CD6247">
        <w:t>(3) Contracting officers shall manually attach or forward, as applicable, copies of all documentation incorporated into the contract by reference when providing a copy of the contract to the cognizant contract administration office.</w:t>
      </w:r>
    </w:p>
    <w:p w:rsidR="002B0763" w:rsidRPr="00CD6247" w:rsidRDefault="002B0763" w:rsidP="002B0763">
      <w:pPr>
        <w:pStyle w:val="List2"/>
      </w:pPr>
      <w:r w:rsidRPr="00CD6247">
        <w:t>(S-90) Delegate contract administration to DCMA for contracts and orders that require—</w:t>
      </w:r>
    </w:p>
    <w:p w:rsidR="002B0763" w:rsidRPr="00CD6247" w:rsidRDefault="002B0763" w:rsidP="002B0763">
      <w:pPr>
        <w:pStyle w:val="List3"/>
      </w:pPr>
      <w:r w:rsidRPr="00CD6247">
        <w:t>(i) Source inspection/acceptance (I/A) by DCMA (excludes drugs, biologics, and other medical supplies) when the Food and Drug Administration (FDA) is responsible for quality assurance, and items procured for the Wildland Fire Protection Program);</w:t>
      </w:r>
    </w:p>
    <w:p w:rsidR="002B0763" w:rsidRPr="00CD6247" w:rsidRDefault="002B0763" w:rsidP="002B0763">
      <w:pPr>
        <w:pStyle w:val="List3"/>
      </w:pPr>
      <w:r w:rsidRPr="00CD6247">
        <w:t>(ii) ACO support for cost-type, labor-hour, or time-and-material contracts;</w:t>
      </w:r>
    </w:p>
    <w:p w:rsidR="002B0763" w:rsidRPr="00CD6247" w:rsidRDefault="002B0763" w:rsidP="002B0763">
      <w:pPr>
        <w:pStyle w:val="List3"/>
      </w:pPr>
      <w:r w:rsidRPr="00CD6247">
        <w:t>(iii) ACO support for progress payment or performance-based payment financing terms.</w:t>
      </w:r>
    </w:p>
    <w:p w:rsidR="002B0763" w:rsidRPr="00CD6247" w:rsidRDefault="002B0763" w:rsidP="002B0763">
      <w:pPr>
        <w:pStyle w:val="List2"/>
      </w:pPr>
      <w:r w:rsidRPr="00CD6247">
        <w:t>(S-91) DLA procuring organizations shall not delegate administration to DCMA when the contract payment office is designated as SL4701, destination I/A applies, and no DCMA support is required.</w:t>
      </w:r>
    </w:p>
    <w:p w:rsidR="002B0763" w:rsidRPr="00CD6247" w:rsidRDefault="002B0763" w:rsidP="002B0763">
      <w:pPr>
        <w:pStyle w:val="List2"/>
      </w:pPr>
      <w:r w:rsidRPr="00CD6247">
        <w:t>(S-92) In addition to the conditions in 42.202(a)(S-90), the following contract requirements may justify DCMA administration, whether the contract provides</w:t>
      </w:r>
      <w:r>
        <w:t xml:space="preserve"> for source or destination I/A:</w:t>
      </w:r>
    </w:p>
    <w:p w:rsidR="002B0763" w:rsidRPr="00CD6247" w:rsidRDefault="002B0763" w:rsidP="002B0763">
      <w:pPr>
        <w:pStyle w:val="List3"/>
      </w:pPr>
      <w:r w:rsidRPr="00CD6247">
        <w:t>(i) Government property;</w:t>
      </w:r>
    </w:p>
    <w:p w:rsidR="002B0763" w:rsidRPr="00CD6247" w:rsidRDefault="002B0763" w:rsidP="002B0763">
      <w:pPr>
        <w:pStyle w:val="List3"/>
      </w:pPr>
      <w:r>
        <w:t>(ii) Plant clearance;</w:t>
      </w:r>
    </w:p>
    <w:p w:rsidR="002B0763" w:rsidRPr="00CD6247" w:rsidRDefault="002B0763" w:rsidP="002B0763">
      <w:pPr>
        <w:pStyle w:val="List3"/>
      </w:pPr>
      <w:r w:rsidRPr="00CD6247">
        <w:t>(iii) Production surveillance of criticality designator A or B contracts when request</w:t>
      </w:r>
      <w:r>
        <w:t>ing DCMA delivery surveillance;</w:t>
      </w:r>
    </w:p>
    <w:p w:rsidR="002B0763" w:rsidRPr="00CD6247" w:rsidRDefault="002B0763" w:rsidP="002B0763">
      <w:pPr>
        <w:pStyle w:val="List3"/>
      </w:pPr>
      <w:r w:rsidRPr="00CD6247">
        <w:t>(iv) Classified data (DD Form 254, Contract Security Classification Specification);</w:t>
      </w:r>
    </w:p>
    <w:p w:rsidR="002B0763" w:rsidRPr="00CD6247" w:rsidRDefault="002B0763" w:rsidP="002B0763">
      <w:pPr>
        <w:pStyle w:val="List3"/>
      </w:pPr>
      <w:r w:rsidRPr="00CD6247">
        <w:t>(v) First article testing (FAT);</w:t>
      </w:r>
    </w:p>
    <w:p w:rsidR="002B0763" w:rsidRPr="00CD6247" w:rsidRDefault="002B0763" w:rsidP="002B0763">
      <w:pPr>
        <w:pStyle w:val="List3"/>
      </w:pPr>
      <w:r w:rsidRPr="00CD6247">
        <w:t>(vi</w:t>
      </w:r>
      <w:r>
        <w:t>) Foreign military sales (FMS);</w:t>
      </w:r>
    </w:p>
    <w:p w:rsidR="002B0763" w:rsidRPr="00CD6247" w:rsidRDefault="002B0763" w:rsidP="002B0763">
      <w:pPr>
        <w:pStyle w:val="List3"/>
      </w:pPr>
      <w:r w:rsidRPr="00CD6247">
        <w:t>(vii) Critical safety items (CSIs);</w:t>
      </w:r>
    </w:p>
    <w:p w:rsidR="002B0763" w:rsidRPr="00CD6247" w:rsidRDefault="002B0763" w:rsidP="002B0763">
      <w:pPr>
        <w:pStyle w:val="List3"/>
      </w:pPr>
      <w:r w:rsidRPr="00CD6247">
        <w:t>(viii) Higher-level contract quality requirements;</w:t>
      </w:r>
    </w:p>
    <w:p w:rsidR="002B0763" w:rsidRPr="00CD6247" w:rsidRDefault="002B0763" w:rsidP="002B0763">
      <w:pPr>
        <w:pStyle w:val="List3"/>
      </w:pPr>
      <w:r w:rsidRPr="00CD6247">
        <w:t>(ix) Economic price adjustments, unless administered by MOCAS and paid by DFAS;</w:t>
      </w:r>
    </w:p>
    <w:p w:rsidR="002B0763" w:rsidRPr="00CD6247" w:rsidRDefault="002B0763" w:rsidP="002B0763">
      <w:pPr>
        <w:pStyle w:val="List3"/>
      </w:pPr>
      <w:r w:rsidRPr="00CD6247">
        <w:t>(x) DCRL treatment code 07;</w:t>
      </w:r>
    </w:p>
    <w:p w:rsidR="002B0763" w:rsidRPr="00CD6247" w:rsidRDefault="002B0763" w:rsidP="002B0763">
      <w:pPr>
        <w:pStyle w:val="List3"/>
      </w:pPr>
      <w:r w:rsidRPr="00CD6247">
        <w:t>(xi) High-risk suppliers (e.g., surplus dealers, kitters);</w:t>
      </w:r>
    </w:p>
    <w:p w:rsidR="002B0763" w:rsidRPr="00CD6247" w:rsidRDefault="002B0763" w:rsidP="002B0763">
      <w:pPr>
        <w:pStyle w:val="List3"/>
      </w:pPr>
      <w:r w:rsidRPr="00CD6247">
        <w:t xml:space="preserve">(xii) High-risk </w:t>
      </w:r>
      <w:r>
        <w:t>items (e.g., those with PQDRs);</w:t>
      </w:r>
    </w:p>
    <w:p w:rsidR="002B0763" w:rsidRPr="00CD6247" w:rsidRDefault="002B0763" w:rsidP="002B0763">
      <w:pPr>
        <w:pStyle w:val="List3"/>
      </w:pPr>
      <w:r w:rsidRPr="00CD6247">
        <w:t>(xiii) Contracts administered by MOCAS and paid by DFAS;</w:t>
      </w:r>
    </w:p>
    <w:p w:rsidR="002B0763" w:rsidRPr="00CD6247" w:rsidRDefault="002B0763" w:rsidP="002B0763">
      <w:pPr>
        <w:pStyle w:val="List3"/>
      </w:pPr>
      <w:r w:rsidRPr="00CD6247">
        <w:t>(xiv) Hazardous Material;</w:t>
      </w:r>
    </w:p>
    <w:p w:rsidR="002B0763" w:rsidRPr="00CD6247" w:rsidRDefault="002B0763" w:rsidP="002B0763">
      <w:pPr>
        <w:pStyle w:val="List3"/>
      </w:pPr>
      <w:r w:rsidRPr="00CD6247">
        <w:t>(xv) Arms, Ammunition, or Explosives; and</w:t>
      </w:r>
    </w:p>
    <w:p w:rsidR="002B0763" w:rsidRPr="00CD6247" w:rsidRDefault="002B0763" w:rsidP="002B0763">
      <w:pPr>
        <w:pStyle w:val="List3"/>
      </w:pPr>
      <w:r w:rsidRPr="00CD6247">
        <w:t>(xvi) Safety of Flight.</w:t>
      </w:r>
    </w:p>
    <w:p w:rsidR="002B0763" w:rsidRPr="00CD6247" w:rsidRDefault="002B0763" w:rsidP="002B0763">
      <w:pPr>
        <w:pStyle w:val="List2"/>
      </w:pPr>
      <w:r w:rsidRPr="00CD6247">
        <w:t xml:space="preserve">(S-93) When DLA retains contract administration and the contract includes a duty free clause, contracting officers shall use the DCMA eTool. Contracting officers shall request registration through the </w:t>
      </w:r>
      <w:hyperlink r:id="rId19" w:history="1">
        <w:r>
          <w:rPr>
            <w:rStyle w:val="Hyperlink"/>
          </w:rPr>
          <w:t>DCMA External Web Access Management (EWAM) Application</w:t>
        </w:r>
      </w:hyperlink>
      <w:r>
        <w:t xml:space="preserve"> (</w:t>
      </w:r>
      <w:hyperlink r:id="rId20" w:history="1">
        <w:r w:rsidRPr="00337DE9">
          <w:rPr>
            <w:rStyle w:val="Hyperlink"/>
          </w:rPr>
          <w:t>https://eadf.dcma.mil/ewam2/registration/setup.do</w:t>
        </w:r>
      </w:hyperlink>
      <w:r>
        <w:t>)</w:t>
      </w:r>
      <w:r w:rsidRPr="00CD6247">
        <w:t>.</w:t>
      </w:r>
    </w:p>
    <w:p w:rsidR="002B0763" w:rsidRPr="00CD6247" w:rsidRDefault="002B0763" w:rsidP="002B0763">
      <w:pPr>
        <w:pStyle w:val="List2"/>
      </w:pPr>
      <w:r w:rsidRPr="00CD6247">
        <w:t>(S-94) DLA may retain administration of a basic LTC but require DCMA administration of specific orders on a case-by-case basis. In those instances when some LTC delivery orders require DCMA administration and some require DLA administration, the contracting officer shall identify DLA as the administration office and state which items require DCMA administration. The contracting officer shall notify DCMA by email when the LTC identifies certain orders for DCMA administration. To ensure acceptance of subsequent delivery orders, DCMA will retrieve the basic contract from EDA for input into MOCAS. If all orders on an LTC require DCMA administration, the contracting officer shall identify the cognizant contract administration office in the contract.</w:t>
      </w:r>
    </w:p>
    <w:p w:rsidR="002B0763" w:rsidRPr="00CD6247" w:rsidRDefault="002B0763" w:rsidP="002B0763">
      <w:pPr>
        <w:pStyle w:val="Heading2"/>
      </w:pPr>
      <w:r w:rsidRPr="00CD6247">
        <w:t>SUBPART 42.3 – CONTRACT ADMINISTRATION OFFICE FUNCTIONS</w:t>
      </w:r>
    </w:p>
    <w:p w:rsidR="002B0763" w:rsidRPr="00CD6247" w:rsidRDefault="002B0763" w:rsidP="002B0763">
      <w:pPr>
        <w:spacing w:after="240"/>
        <w:jc w:val="center"/>
        <w:rPr>
          <w:i/>
          <w:sz w:val="24"/>
          <w:szCs w:val="24"/>
        </w:rPr>
      </w:pPr>
      <w:r w:rsidRPr="00822347">
        <w:rPr>
          <w:i/>
          <w:sz w:val="24"/>
          <w:szCs w:val="24"/>
        </w:rPr>
        <w:t xml:space="preserve">(Revised </w:t>
      </w:r>
      <w:r>
        <w:rPr>
          <w:i/>
          <w:sz w:val="24"/>
          <w:szCs w:val="24"/>
        </w:rPr>
        <w:t>August 30, 2021</w:t>
      </w:r>
      <w:r w:rsidRPr="00822347">
        <w:rPr>
          <w:i/>
          <w:sz w:val="24"/>
          <w:szCs w:val="24"/>
        </w:rPr>
        <w:t xml:space="preserve"> through PROCLTR 20</w:t>
      </w:r>
      <w:r>
        <w:rPr>
          <w:i/>
          <w:sz w:val="24"/>
          <w:szCs w:val="24"/>
        </w:rPr>
        <w:t>2</w:t>
      </w:r>
      <w:r w:rsidRPr="00822347">
        <w:rPr>
          <w:i/>
          <w:sz w:val="24"/>
          <w:szCs w:val="24"/>
        </w:rPr>
        <w:t>1-1</w:t>
      </w:r>
      <w:r>
        <w:rPr>
          <w:i/>
          <w:sz w:val="24"/>
          <w:szCs w:val="24"/>
        </w:rPr>
        <w:t>2</w:t>
      </w:r>
      <w:r w:rsidRPr="00822347">
        <w:rPr>
          <w:i/>
          <w:sz w:val="24"/>
          <w:szCs w:val="24"/>
        </w:rPr>
        <w:t>)</w:t>
      </w:r>
    </w:p>
    <w:p w:rsidR="002B0763" w:rsidRPr="0029769D" w:rsidRDefault="002B0763" w:rsidP="002B0763">
      <w:pPr>
        <w:pStyle w:val="Heading3"/>
        <w:rPr>
          <w:sz w:val="24"/>
          <w:szCs w:val="24"/>
        </w:rPr>
      </w:pPr>
      <w:bookmarkStart w:id="2" w:name="P42_302"/>
      <w:r w:rsidRPr="0029769D">
        <w:rPr>
          <w:sz w:val="24"/>
          <w:szCs w:val="24"/>
        </w:rPr>
        <w:t>42.302</w:t>
      </w:r>
      <w:bookmarkEnd w:id="2"/>
      <w:r w:rsidRPr="0029769D">
        <w:rPr>
          <w:sz w:val="24"/>
          <w:szCs w:val="24"/>
        </w:rPr>
        <w:t xml:space="preserve"> Con</w:t>
      </w:r>
      <w:r>
        <w:rPr>
          <w:sz w:val="24"/>
          <w:szCs w:val="24"/>
        </w:rPr>
        <w:t>tract administration functions.</w:t>
      </w:r>
    </w:p>
    <w:p w:rsidR="002B0763" w:rsidRPr="00CD6247" w:rsidRDefault="002B0763" w:rsidP="002B0763">
      <w:pPr>
        <w:pStyle w:val="List1"/>
      </w:pPr>
      <w:r w:rsidRPr="00CD6247">
        <w:rPr>
          <w:szCs w:val="24"/>
        </w:rPr>
        <w:t xml:space="preserve">(a) The contracting officer shall follow the approved contract management plan (CMP) (reference </w:t>
      </w:r>
      <w:hyperlink r:id="rId21" w:anchor="P7_105" w:history="1">
        <w:r w:rsidRPr="00CD6247">
          <w:rPr>
            <w:rStyle w:val="Hyperlink"/>
            <w:szCs w:val="24"/>
          </w:rPr>
          <w:t>7.105</w:t>
        </w:r>
      </w:hyperlink>
      <w:r w:rsidRPr="00CD6247">
        <w:rPr>
          <w:szCs w:val="24"/>
        </w:rPr>
        <w:t>(b)(19)).</w:t>
      </w:r>
    </w:p>
    <w:p w:rsidR="002B0763" w:rsidRDefault="002B0763" w:rsidP="002B0763">
      <w:pPr>
        <w:pStyle w:val="List2"/>
      </w:pPr>
      <w:r w:rsidRPr="00CD6247">
        <w:rPr>
          <w:sz w:val="24"/>
          <w:szCs w:val="24"/>
        </w:rPr>
        <w:t>(13)(B)(1) Contracting officers shall designate the payment office as DoD Activity Address Code (DoDAAC) SL4701 for Enterprise Business System (EBS) contracts, except for contracts with progress or performance based payments and cost type contracts, which shall be paid by MOCAS payment offices (</w:t>
      </w:r>
      <w:hyperlink r:id="rId22" w:history="1">
        <w:r>
          <w:rPr>
            <w:rStyle w:val="Hyperlink"/>
            <w:sz w:val="24"/>
            <w:szCs w:val="24"/>
          </w:rPr>
          <w:t>Contract Management Team Search</w:t>
        </w:r>
      </w:hyperlink>
      <w:r>
        <w:rPr>
          <w:sz w:val="24"/>
          <w:szCs w:val="24"/>
        </w:rPr>
        <w:t xml:space="preserve"> (</w:t>
      </w:r>
      <w:hyperlink r:id="rId23" w:history="1">
        <w:r w:rsidRPr="0058119C">
          <w:rPr>
            <w:rStyle w:val="Hyperlink"/>
            <w:sz w:val="24"/>
            <w:szCs w:val="24"/>
          </w:rPr>
          <w:t>https://pubmini.dcma.mil/CMT_View/CMT_View_Search.cfm</w:t>
        </w:r>
      </w:hyperlink>
      <w:r>
        <w:rPr>
          <w:sz w:val="24"/>
          <w:szCs w:val="24"/>
        </w:rPr>
        <w:t>)</w:t>
      </w:r>
      <w:r w:rsidRPr="00CD6247">
        <w:rPr>
          <w:sz w:val="24"/>
          <w:szCs w:val="24"/>
        </w:rPr>
        <w:t>), or for contracts with the Canadian Commercial Corporation when DCMA will perform contract administration: use payment office HQ0337. DLR contracting officers shall use the applicable MOCAS</w:t>
      </w:r>
      <w:r w:rsidRPr="00CD6247">
        <w:rPr>
          <w:b/>
          <w:sz w:val="24"/>
          <w:szCs w:val="24"/>
        </w:rPr>
        <w:t xml:space="preserve"> </w:t>
      </w:r>
      <w:r w:rsidRPr="00CD6247">
        <w:rPr>
          <w:sz w:val="24"/>
          <w:szCs w:val="24"/>
        </w:rPr>
        <w:t>payment code for the payment office specified in the Federal Directory of Contract Administration Services Components.</w:t>
      </w:r>
    </w:p>
    <w:p w:rsidR="002B0763" w:rsidRDefault="002B0763" w:rsidP="002B0763">
      <w:pPr>
        <w:spacing w:after="240"/>
        <w:rPr>
          <w:sz w:val="23"/>
          <w:szCs w:val="23"/>
        </w:rPr>
      </w:pPr>
      <w:r>
        <w:rPr>
          <w:sz w:val="23"/>
          <w:szCs w:val="23"/>
        </w:rPr>
        <w:t xml:space="preserve">(S-90) Post award administrators shall complete all PARs within an average of 30 days from the date of submission. This policy applies only to MSC hardware items and the PAR reason codes listed below and in </w:t>
      </w:r>
      <w:hyperlink r:id="rId24" w:history="1">
        <w:r>
          <w:rPr>
            <w:rStyle w:val="Hyperlink"/>
            <w:sz w:val="23"/>
            <w:szCs w:val="23"/>
          </w:rPr>
          <w:t>DLAI 5025.18, Enterprise Status Post-Award Request (PAR) Instruction</w:t>
        </w:r>
      </w:hyperlink>
      <w:r>
        <w:rPr>
          <w:sz w:val="23"/>
          <w:szCs w:val="23"/>
        </w:rPr>
        <w:t xml:space="preserve"> (</w:t>
      </w:r>
      <w:hyperlink r:id="rId25" w:history="1">
        <w:r w:rsidRPr="00755E7E">
          <w:rPr>
            <w:rStyle w:val="Hyperlink"/>
            <w:sz w:val="23"/>
            <w:szCs w:val="23"/>
          </w:rPr>
          <w:t>https://issuances.dla.mil/Published_Issuances/Enterprise%20Status%20Post%20Award%20Request%20(PAR).pdf</w:t>
        </w:r>
      </w:hyperlink>
      <w:r>
        <w:rPr>
          <w:sz w:val="23"/>
          <w:szCs w:val="23"/>
        </w:rPr>
        <w:t>)</w:t>
      </w:r>
      <w:r w:rsidRPr="00053CD7">
        <w:rPr>
          <w:sz w:val="23"/>
          <w:szCs w:val="23"/>
        </w:rPr>
        <w:t xml:space="preserve"> </w:t>
      </w:r>
      <w:r>
        <w:rPr>
          <w:sz w:val="23"/>
          <w:szCs w:val="23"/>
        </w:rPr>
        <w:t>for both internal requests and requests from suppliers. This policy supersedes the PAR processing times in Enclosure 2, paragraph 5.(a)(1) of DLAI 5025.18.</w:t>
      </w:r>
    </w:p>
    <w:tbl>
      <w:tblPr>
        <w:tblW w:w="0" w:type="auto"/>
        <w:tblInd w:w="1075" w:type="dxa"/>
        <w:tblCellMar>
          <w:left w:w="0" w:type="dxa"/>
          <w:right w:w="0" w:type="dxa"/>
        </w:tblCellMar>
        <w:tblLook w:val="04A0" w:firstRow="1" w:lastRow="0" w:firstColumn="1" w:lastColumn="0" w:noHBand="0" w:noVBand="1"/>
      </w:tblPr>
      <w:tblGrid>
        <w:gridCol w:w="2501"/>
        <w:gridCol w:w="3375"/>
      </w:tblGrid>
      <w:tr w:rsidR="002B0763" w:rsidRPr="00DE0288" w:rsidTr="00DE0288">
        <w:trPr>
          <w:trHeight w:val="457"/>
        </w:trPr>
        <w:tc>
          <w:tcPr>
            <w:tcW w:w="2501" w:type="dxa"/>
            <w:tcBorders>
              <w:top w:val="single" w:sz="8" w:space="0" w:color="auto"/>
              <w:left w:val="single" w:sz="8" w:space="0" w:color="auto"/>
              <w:bottom w:val="single" w:sz="8" w:space="0" w:color="auto"/>
              <w:right w:val="single" w:sz="8" w:space="0" w:color="auto"/>
            </w:tcBorders>
            <w:hideMark/>
          </w:tcPr>
          <w:p w:rsidR="002B0763" w:rsidRPr="00DE0288" w:rsidRDefault="002B0763">
            <w:pPr>
              <w:overflowPunct w:val="0"/>
              <w:ind w:left="107"/>
              <w:rPr>
                <w:b/>
                <w:bCs/>
                <w:sz w:val="24"/>
                <w:szCs w:val="24"/>
              </w:rPr>
            </w:pPr>
            <w:r w:rsidRPr="00DE0288">
              <w:rPr>
                <w:b/>
                <w:bCs/>
                <w:sz w:val="24"/>
                <w:szCs w:val="24"/>
              </w:rPr>
              <w:t>PAR Reason</w:t>
            </w:r>
            <w:r w:rsidRPr="00DE0288">
              <w:rPr>
                <w:b/>
                <w:bCs/>
                <w:spacing w:val="-57"/>
                <w:sz w:val="24"/>
                <w:szCs w:val="24"/>
              </w:rPr>
              <w:t xml:space="preserve"> </w:t>
            </w:r>
            <w:r w:rsidRPr="00DE0288">
              <w:rPr>
                <w:b/>
                <w:bCs/>
                <w:sz w:val="24"/>
                <w:szCs w:val="24"/>
              </w:rPr>
              <w:t>Code</w:t>
            </w:r>
          </w:p>
        </w:tc>
        <w:tc>
          <w:tcPr>
            <w:tcW w:w="3375" w:type="dxa"/>
            <w:tcBorders>
              <w:top w:val="single" w:sz="8" w:space="0" w:color="auto"/>
              <w:left w:val="nil"/>
              <w:bottom w:val="single" w:sz="8" w:space="0" w:color="auto"/>
              <w:right w:val="single" w:sz="8" w:space="0" w:color="auto"/>
            </w:tcBorders>
            <w:hideMark/>
          </w:tcPr>
          <w:p w:rsidR="002B0763" w:rsidRPr="00DE0288" w:rsidRDefault="002B0763">
            <w:pPr>
              <w:overflowPunct w:val="0"/>
              <w:ind w:left="107"/>
              <w:rPr>
                <w:b/>
                <w:bCs/>
                <w:sz w:val="24"/>
                <w:szCs w:val="24"/>
              </w:rPr>
            </w:pPr>
            <w:r w:rsidRPr="00DE0288">
              <w:rPr>
                <w:b/>
                <w:bCs/>
                <w:sz w:val="24"/>
                <w:szCs w:val="24"/>
              </w:rPr>
              <w:t>PAR</w:t>
            </w:r>
            <w:r w:rsidRPr="00DE0288">
              <w:rPr>
                <w:b/>
                <w:bCs/>
                <w:spacing w:val="-2"/>
                <w:sz w:val="24"/>
                <w:szCs w:val="24"/>
              </w:rPr>
              <w:t xml:space="preserve"> </w:t>
            </w:r>
            <w:r w:rsidRPr="00DE0288">
              <w:rPr>
                <w:b/>
                <w:bCs/>
                <w:sz w:val="24"/>
                <w:szCs w:val="24"/>
              </w:rPr>
              <w:t>Reason</w:t>
            </w:r>
          </w:p>
        </w:tc>
      </w:tr>
      <w:tr w:rsidR="002B0763" w:rsidRPr="00DE0288" w:rsidTr="00DE0288">
        <w:trPr>
          <w:trHeight w:val="457"/>
        </w:trPr>
        <w:tc>
          <w:tcPr>
            <w:tcW w:w="2501" w:type="dxa"/>
            <w:tcBorders>
              <w:top w:val="nil"/>
              <w:left w:val="single" w:sz="8" w:space="0" w:color="auto"/>
              <w:bottom w:val="single" w:sz="8" w:space="0" w:color="auto"/>
              <w:right w:val="single" w:sz="8" w:space="0" w:color="auto"/>
            </w:tcBorders>
            <w:hideMark/>
          </w:tcPr>
          <w:p w:rsidR="002B0763" w:rsidRPr="00DE0288" w:rsidRDefault="002B0763">
            <w:pPr>
              <w:overflowPunct w:val="0"/>
              <w:ind w:left="107"/>
              <w:rPr>
                <w:sz w:val="24"/>
                <w:szCs w:val="24"/>
              </w:rPr>
            </w:pPr>
            <w:r w:rsidRPr="00DE0288">
              <w:rPr>
                <w:sz w:val="24"/>
                <w:szCs w:val="24"/>
              </w:rPr>
              <w:t>ST06</w:t>
            </w:r>
          </w:p>
        </w:tc>
        <w:tc>
          <w:tcPr>
            <w:tcW w:w="3375" w:type="dxa"/>
            <w:tcBorders>
              <w:top w:val="nil"/>
              <w:left w:val="nil"/>
              <w:bottom w:val="single" w:sz="8" w:space="0" w:color="auto"/>
              <w:right w:val="single" w:sz="8" w:space="0" w:color="auto"/>
            </w:tcBorders>
            <w:hideMark/>
          </w:tcPr>
          <w:p w:rsidR="002B0763" w:rsidRPr="00DE0288" w:rsidRDefault="002B0763">
            <w:pPr>
              <w:overflowPunct w:val="0"/>
              <w:ind w:left="107"/>
              <w:rPr>
                <w:sz w:val="24"/>
                <w:szCs w:val="24"/>
              </w:rPr>
            </w:pPr>
            <w:r w:rsidRPr="00DE0288">
              <w:rPr>
                <w:sz w:val="24"/>
                <w:szCs w:val="24"/>
              </w:rPr>
              <w:t>Delinquency</w:t>
            </w:r>
          </w:p>
        </w:tc>
      </w:tr>
      <w:tr w:rsidR="002B0763" w:rsidRPr="00DE0288" w:rsidTr="00DE0288">
        <w:trPr>
          <w:trHeight w:val="457"/>
        </w:trPr>
        <w:tc>
          <w:tcPr>
            <w:tcW w:w="2501" w:type="dxa"/>
            <w:tcBorders>
              <w:top w:val="nil"/>
              <w:left w:val="single" w:sz="8" w:space="0" w:color="auto"/>
              <w:bottom w:val="single" w:sz="8" w:space="0" w:color="auto"/>
              <w:right w:val="single" w:sz="8" w:space="0" w:color="auto"/>
            </w:tcBorders>
            <w:hideMark/>
          </w:tcPr>
          <w:p w:rsidR="002B0763" w:rsidRPr="00DE0288" w:rsidRDefault="002B0763">
            <w:pPr>
              <w:overflowPunct w:val="0"/>
              <w:ind w:left="107"/>
              <w:rPr>
                <w:sz w:val="24"/>
                <w:szCs w:val="24"/>
              </w:rPr>
            </w:pPr>
            <w:r w:rsidRPr="00DE0288">
              <w:rPr>
                <w:sz w:val="24"/>
                <w:szCs w:val="24"/>
              </w:rPr>
              <w:t>ST07</w:t>
            </w:r>
          </w:p>
        </w:tc>
        <w:tc>
          <w:tcPr>
            <w:tcW w:w="3375" w:type="dxa"/>
            <w:tcBorders>
              <w:top w:val="nil"/>
              <w:left w:val="nil"/>
              <w:bottom w:val="single" w:sz="8" w:space="0" w:color="auto"/>
              <w:right w:val="single" w:sz="8" w:space="0" w:color="auto"/>
            </w:tcBorders>
            <w:hideMark/>
          </w:tcPr>
          <w:p w:rsidR="002B0763" w:rsidRPr="00DE0288" w:rsidRDefault="002B0763">
            <w:pPr>
              <w:overflowPunct w:val="0"/>
              <w:ind w:left="107"/>
              <w:rPr>
                <w:sz w:val="24"/>
                <w:szCs w:val="24"/>
              </w:rPr>
            </w:pPr>
            <w:r w:rsidRPr="00DE0288">
              <w:rPr>
                <w:sz w:val="24"/>
                <w:szCs w:val="24"/>
              </w:rPr>
              <w:t>Delivery</w:t>
            </w:r>
            <w:r w:rsidRPr="00DE0288">
              <w:rPr>
                <w:spacing w:val="-1"/>
                <w:sz w:val="24"/>
                <w:szCs w:val="24"/>
              </w:rPr>
              <w:t xml:space="preserve"> </w:t>
            </w:r>
            <w:r w:rsidRPr="00DE0288">
              <w:rPr>
                <w:sz w:val="24"/>
                <w:szCs w:val="24"/>
              </w:rPr>
              <w:t>Acceleration</w:t>
            </w:r>
          </w:p>
        </w:tc>
      </w:tr>
      <w:tr w:rsidR="002B0763" w:rsidRPr="00DE0288" w:rsidTr="00DE0288">
        <w:trPr>
          <w:trHeight w:val="457"/>
        </w:trPr>
        <w:tc>
          <w:tcPr>
            <w:tcW w:w="2501" w:type="dxa"/>
            <w:tcBorders>
              <w:top w:val="nil"/>
              <w:left w:val="single" w:sz="8" w:space="0" w:color="auto"/>
              <w:bottom w:val="single" w:sz="8" w:space="0" w:color="auto"/>
              <w:right w:val="single" w:sz="8" w:space="0" w:color="auto"/>
            </w:tcBorders>
            <w:hideMark/>
          </w:tcPr>
          <w:p w:rsidR="002B0763" w:rsidRPr="00DE0288" w:rsidRDefault="002B0763">
            <w:pPr>
              <w:overflowPunct w:val="0"/>
              <w:ind w:left="107"/>
              <w:rPr>
                <w:sz w:val="24"/>
                <w:szCs w:val="24"/>
              </w:rPr>
            </w:pPr>
            <w:r w:rsidRPr="00DE0288">
              <w:rPr>
                <w:sz w:val="24"/>
                <w:szCs w:val="24"/>
              </w:rPr>
              <w:t>ST08</w:t>
            </w:r>
          </w:p>
        </w:tc>
        <w:tc>
          <w:tcPr>
            <w:tcW w:w="3375" w:type="dxa"/>
            <w:tcBorders>
              <w:top w:val="nil"/>
              <w:left w:val="nil"/>
              <w:bottom w:val="single" w:sz="8" w:space="0" w:color="auto"/>
              <w:right w:val="single" w:sz="8" w:space="0" w:color="auto"/>
            </w:tcBorders>
            <w:hideMark/>
          </w:tcPr>
          <w:p w:rsidR="002B0763" w:rsidRPr="00DE0288" w:rsidRDefault="002B0763">
            <w:pPr>
              <w:overflowPunct w:val="0"/>
              <w:ind w:left="107"/>
              <w:rPr>
                <w:sz w:val="24"/>
                <w:szCs w:val="24"/>
              </w:rPr>
            </w:pPr>
            <w:r w:rsidRPr="00DE0288">
              <w:rPr>
                <w:sz w:val="24"/>
                <w:szCs w:val="24"/>
              </w:rPr>
              <w:t>Request</w:t>
            </w:r>
            <w:r w:rsidRPr="00DE0288">
              <w:rPr>
                <w:spacing w:val="-1"/>
                <w:sz w:val="24"/>
                <w:szCs w:val="24"/>
              </w:rPr>
              <w:t xml:space="preserve"> </w:t>
            </w:r>
            <w:r w:rsidRPr="00DE0288">
              <w:rPr>
                <w:sz w:val="24"/>
                <w:szCs w:val="24"/>
              </w:rPr>
              <w:t>for</w:t>
            </w:r>
            <w:r w:rsidRPr="00DE0288">
              <w:rPr>
                <w:spacing w:val="-1"/>
                <w:sz w:val="24"/>
                <w:szCs w:val="24"/>
              </w:rPr>
              <w:t xml:space="preserve"> </w:t>
            </w:r>
            <w:r w:rsidRPr="00DE0288">
              <w:rPr>
                <w:sz w:val="24"/>
                <w:szCs w:val="24"/>
              </w:rPr>
              <w:t>Delivery</w:t>
            </w:r>
            <w:r w:rsidRPr="00DE0288">
              <w:rPr>
                <w:spacing w:val="-1"/>
                <w:sz w:val="24"/>
                <w:szCs w:val="24"/>
              </w:rPr>
              <w:t xml:space="preserve"> </w:t>
            </w:r>
            <w:r w:rsidRPr="00DE0288">
              <w:rPr>
                <w:sz w:val="24"/>
                <w:szCs w:val="24"/>
              </w:rPr>
              <w:t>Status</w:t>
            </w:r>
          </w:p>
        </w:tc>
      </w:tr>
      <w:tr w:rsidR="002B0763" w:rsidRPr="00DE0288" w:rsidTr="00DE0288">
        <w:trPr>
          <w:trHeight w:val="456"/>
        </w:trPr>
        <w:tc>
          <w:tcPr>
            <w:tcW w:w="2501" w:type="dxa"/>
            <w:tcBorders>
              <w:top w:val="nil"/>
              <w:left w:val="single" w:sz="8" w:space="0" w:color="auto"/>
              <w:bottom w:val="single" w:sz="8" w:space="0" w:color="auto"/>
              <w:right w:val="single" w:sz="8" w:space="0" w:color="auto"/>
            </w:tcBorders>
            <w:hideMark/>
          </w:tcPr>
          <w:p w:rsidR="002B0763" w:rsidRPr="00DE0288" w:rsidRDefault="002B0763">
            <w:pPr>
              <w:overflowPunct w:val="0"/>
              <w:ind w:left="107"/>
              <w:rPr>
                <w:sz w:val="24"/>
                <w:szCs w:val="24"/>
              </w:rPr>
            </w:pPr>
            <w:r w:rsidRPr="00DE0288">
              <w:rPr>
                <w:sz w:val="24"/>
                <w:szCs w:val="24"/>
              </w:rPr>
              <w:t>ST09</w:t>
            </w:r>
          </w:p>
        </w:tc>
        <w:tc>
          <w:tcPr>
            <w:tcW w:w="3375" w:type="dxa"/>
            <w:tcBorders>
              <w:top w:val="nil"/>
              <w:left w:val="nil"/>
              <w:bottom w:val="single" w:sz="8" w:space="0" w:color="auto"/>
              <w:right w:val="single" w:sz="8" w:space="0" w:color="auto"/>
            </w:tcBorders>
            <w:hideMark/>
          </w:tcPr>
          <w:p w:rsidR="002B0763" w:rsidRPr="00DE0288" w:rsidRDefault="002B0763">
            <w:pPr>
              <w:overflowPunct w:val="0"/>
              <w:ind w:left="107"/>
              <w:rPr>
                <w:sz w:val="24"/>
                <w:szCs w:val="24"/>
              </w:rPr>
            </w:pPr>
            <w:r w:rsidRPr="00DE0288">
              <w:rPr>
                <w:sz w:val="24"/>
                <w:szCs w:val="24"/>
              </w:rPr>
              <w:t>Estimated</w:t>
            </w:r>
            <w:r w:rsidRPr="00DE0288">
              <w:rPr>
                <w:spacing w:val="-1"/>
                <w:sz w:val="24"/>
                <w:szCs w:val="24"/>
              </w:rPr>
              <w:t xml:space="preserve"> </w:t>
            </w:r>
            <w:r w:rsidRPr="00DE0288">
              <w:rPr>
                <w:sz w:val="24"/>
                <w:szCs w:val="24"/>
              </w:rPr>
              <w:t>Ship</w:t>
            </w:r>
            <w:r w:rsidRPr="00DE0288">
              <w:rPr>
                <w:spacing w:val="-1"/>
                <w:sz w:val="24"/>
                <w:szCs w:val="24"/>
              </w:rPr>
              <w:t xml:space="preserve"> </w:t>
            </w:r>
            <w:r w:rsidRPr="00DE0288">
              <w:rPr>
                <w:sz w:val="24"/>
                <w:szCs w:val="24"/>
              </w:rPr>
              <w:t>Date</w:t>
            </w:r>
            <w:r w:rsidRPr="00DE0288">
              <w:rPr>
                <w:spacing w:val="-1"/>
                <w:sz w:val="24"/>
                <w:szCs w:val="24"/>
              </w:rPr>
              <w:t xml:space="preserve"> </w:t>
            </w:r>
            <w:r w:rsidRPr="00DE0288">
              <w:rPr>
                <w:sz w:val="24"/>
                <w:szCs w:val="24"/>
              </w:rPr>
              <w:t>Change</w:t>
            </w:r>
          </w:p>
        </w:tc>
      </w:tr>
      <w:tr w:rsidR="002B0763" w:rsidRPr="00DE0288" w:rsidTr="00DE0288">
        <w:trPr>
          <w:trHeight w:val="457"/>
        </w:trPr>
        <w:tc>
          <w:tcPr>
            <w:tcW w:w="2501" w:type="dxa"/>
            <w:tcBorders>
              <w:top w:val="nil"/>
              <w:left w:val="single" w:sz="8" w:space="0" w:color="auto"/>
              <w:bottom w:val="single" w:sz="8" w:space="0" w:color="auto"/>
              <w:right w:val="single" w:sz="8" w:space="0" w:color="auto"/>
            </w:tcBorders>
            <w:hideMark/>
          </w:tcPr>
          <w:p w:rsidR="002B0763" w:rsidRPr="00DE0288" w:rsidRDefault="002B0763">
            <w:pPr>
              <w:overflowPunct w:val="0"/>
              <w:spacing w:before="1"/>
              <w:ind w:left="107"/>
              <w:rPr>
                <w:sz w:val="24"/>
                <w:szCs w:val="24"/>
              </w:rPr>
            </w:pPr>
            <w:r w:rsidRPr="00DE0288">
              <w:rPr>
                <w:sz w:val="24"/>
                <w:szCs w:val="24"/>
              </w:rPr>
              <w:t>ST11</w:t>
            </w:r>
          </w:p>
        </w:tc>
        <w:tc>
          <w:tcPr>
            <w:tcW w:w="3375" w:type="dxa"/>
            <w:tcBorders>
              <w:top w:val="nil"/>
              <w:left w:val="nil"/>
              <w:bottom w:val="single" w:sz="8" w:space="0" w:color="auto"/>
              <w:right w:val="single" w:sz="8" w:space="0" w:color="auto"/>
            </w:tcBorders>
            <w:hideMark/>
          </w:tcPr>
          <w:p w:rsidR="002B0763" w:rsidRPr="00DE0288" w:rsidRDefault="002B0763">
            <w:pPr>
              <w:overflowPunct w:val="0"/>
              <w:spacing w:before="1"/>
              <w:ind w:left="107"/>
              <w:rPr>
                <w:sz w:val="24"/>
                <w:szCs w:val="24"/>
              </w:rPr>
            </w:pPr>
            <w:r w:rsidRPr="00DE0288">
              <w:rPr>
                <w:sz w:val="24"/>
                <w:szCs w:val="24"/>
              </w:rPr>
              <w:t>Other</w:t>
            </w:r>
            <w:r w:rsidRPr="00DE0288">
              <w:rPr>
                <w:spacing w:val="-1"/>
                <w:sz w:val="24"/>
                <w:szCs w:val="24"/>
              </w:rPr>
              <w:t xml:space="preserve"> </w:t>
            </w:r>
            <w:r w:rsidRPr="00DE0288">
              <w:rPr>
                <w:sz w:val="24"/>
                <w:szCs w:val="24"/>
              </w:rPr>
              <w:t>Status</w:t>
            </w:r>
            <w:r w:rsidRPr="00DE0288">
              <w:rPr>
                <w:spacing w:val="-1"/>
                <w:sz w:val="24"/>
                <w:szCs w:val="24"/>
              </w:rPr>
              <w:t xml:space="preserve"> </w:t>
            </w:r>
            <w:r w:rsidRPr="00DE0288">
              <w:rPr>
                <w:sz w:val="24"/>
                <w:szCs w:val="24"/>
              </w:rPr>
              <w:t>Request</w:t>
            </w:r>
          </w:p>
        </w:tc>
      </w:tr>
      <w:tr w:rsidR="002B0763" w:rsidRPr="00DE0288" w:rsidTr="00DE0288">
        <w:trPr>
          <w:trHeight w:val="458"/>
        </w:trPr>
        <w:tc>
          <w:tcPr>
            <w:tcW w:w="2501" w:type="dxa"/>
            <w:tcBorders>
              <w:top w:val="nil"/>
              <w:left w:val="single" w:sz="8" w:space="0" w:color="auto"/>
              <w:bottom w:val="single" w:sz="8" w:space="0" w:color="auto"/>
              <w:right w:val="single" w:sz="8" w:space="0" w:color="auto"/>
            </w:tcBorders>
            <w:hideMark/>
          </w:tcPr>
          <w:p w:rsidR="002B0763" w:rsidRPr="00DE0288" w:rsidRDefault="002B0763">
            <w:pPr>
              <w:overflowPunct w:val="0"/>
              <w:spacing w:before="1"/>
              <w:ind w:left="107"/>
              <w:rPr>
                <w:sz w:val="24"/>
                <w:szCs w:val="24"/>
              </w:rPr>
            </w:pPr>
            <w:r w:rsidRPr="00DE0288">
              <w:rPr>
                <w:sz w:val="24"/>
                <w:szCs w:val="24"/>
              </w:rPr>
              <w:t>ST12</w:t>
            </w:r>
          </w:p>
        </w:tc>
        <w:tc>
          <w:tcPr>
            <w:tcW w:w="3375" w:type="dxa"/>
            <w:tcBorders>
              <w:top w:val="nil"/>
              <w:left w:val="nil"/>
              <w:bottom w:val="single" w:sz="8" w:space="0" w:color="auto"/>
              <w:right w:val="single" w:sz="8" w:space="0" w:color="auto"/>
            </w:tcBorders>
            <w:hideMark/>
          </w:tcPr>
          <w:p w:rsidR="002B0763" w:rsidRPr="00DE0288" w:rsidRDefault="002B0763">
            <w:pPr>
              <w:overflowPunct w:val="0"/>
              <w:spacing w:before="1"/>
              <w:ind w:left="107"/>
              <w:rPr>
                <w:sz w:val="24"/>
                <w:szCs w:val="24"/>
              </w:rPr>
            </w:pPr>
            <w:r w:rsidRPr="00DE0288">
              <w:rPr>
                <w:sz w:val="24"/>
                <w:szCs w:val="24"/>
              </w:rPr>
              <w:t>CRM</w:t>
            </w:r>
            <w:r w:rsidRPr="00DE0288">
              <w:rPr>
                <w:spacing w:val="-1"/>
                <w:sz w:val="24"/>
                <w:szCs w:val="24"/>
              </w:rPr>
              <w:t xml:space="preserve"> </w:t>
            </w:r>
            <w:r w:rsidRPr="00DE0288">
              <w:rPr>
                <w:sz w:val="24"/>
                <w:szCs w:val="24"/>
              </w:rPr>
              <w:t>Ticket</w:t>
            </w:r>
          </w:p>
        </w:tc>
      </w:tr>
      <w:tr w:rsidR="002B0763" w:rsidRPr="00DE0288" w:rsidTr="00DE0288">
        <w:trPr>
          <w:trHeight w:val="457"/>
        </w:trPr>
        <w:tc>
          <w:tcPr>
            <w:tcW w:w="2501" w:type="dxa"/>
            <w:tcBorders>
              <w:top w:val="nil"/>
              <w:left w:val="single" w:sz="8" w:space="0" w:color="auto"/>
              <w:bottom w:val="single" w:sz="8" w:space="0" w:color="auto"/>
              <w:right w:val="single" w:sz="8" w:space="0" w:color="auto"/>
            </w:tcBorders>
            <w:hideMark/>
          </w:tcPr>
          <w:p w:rsidR="002B0763" w:rsidRPr="00DE0288" w:rsidRDefault="002B0763">
            <w:pPr>
              <w:overflowPunct w:val="0"/>
              <w:ind w:left="107"/>
              <w:rPr>
                <w:sz w:val="24"/>
                <w:szCs w:val="24"/>
              </w:rPr>
            </w:pPr>
            <w:r w:rsidRPr="00DE0288">
              <w:rPr>
                <w:sz w:val="24"/>
                <w:szCs w:val="24"/>
              </w:rPr>
              <w:t>ST14</w:t>
            </w:r>
          </w:p>
        </w:tc>
        <w:tc>
          <w:tcPr>
            <w:tcW w:w="3375" w:type="dxa"/>
            <w:tcBorders>
              <w:top w:val="nil"/>
              <w:left w:val="nil"/>
              <w:bottom w:val="single" w:sz="8" w:space="0" w:color="auto"/>
              <w:right w:val="single" w:sz="8" w:space="0" w:color="auto"/>
            </w:tcBorders>
            <w:hideMark/>
          </w:tcPr>
          <w:p w:rsidR="002B0763" w:rsidRPr="00DE0288" w:rsidRDefault="002B0763">
            <w:pPr>
              <w:overflowPunct w:val="0"/>
              <w:ind w:left="107"/>
              <w:rPr>
                <w:sz w:val="24"/>
                <w:szCs w:val="24"/>
              </w:rPr>
            </w:pPr>
            <w:r w:rsidRPr="00DE0288">
              <w:rPr>
                <w:sz w:val="24"/>
                <w:szCs w:val="24"/>
              </w:rPr>
              <w:t>21N</w:t>
            </w:r>
            <w:r w:rsidRPr="00DE0288">
              <w:rPr>
                <w:spacing w:val="-2"/>
                <w:sz w:val="24"/>
                <w:szCs w:val="24"/>
              </w:rPr>
              <w:t xml:space="preserve"> </w:t>
            </w:r>
            <w:r w:rsidRPr="00DE0288">
              <w:rPr>
                <w:sz w:val="24"/>
                <w:szCs w:val="24"/>
              </w:rPr>
              <w:t>Expedite</w:t>
            </w:r>
          </w:p>
        </w:tc>
      </w:tr>
      <w:tr w:rsidR="002B0763" w:rsidRPr="00DE0288" w:rsidTr="00DE0288">
        <w:trPr>
          <w:trHeight w:val="457"/>
        </w:trPr>
        <w:tc>
          <w:tcPr>
            <w:tcW w:w="2501" w:type="dxa"/>
            <w:tcBorders>
              <w:top w:val="nil"/>
              <w:left w:val="single" w:sz="8" w:space="0" w:color="auto"/>
              <w:bottom w:val="single" w:sz="8" w:space="0" w:color="auto"/>
              <w:right w:val="single" w:sz="8" w:space="0" w:color="auto"/>
            </w:tcBorders>
            <w:hideMark/>
          </w:tcPr>
          <w:p w:rsidR="002B0763" w:rsidRPr="00DE0288" w:rsidRDefault="002B0763">
            <w:pPr>
              <w:overflowPunct w:val="0"/>
              <w:ind w:left="107"/>
              <w:rPr>
                <w:sz w:val="24"/>
                <w:szCs w:val="24"/>
              </w:rPr>
            </w:pPr>
            <w:r w:rsidRPr="00DE0288">
              <w:rPr>
                <w:sz w:val="24"/>
                <w:szCs w:val="24"/>
              </w:rPr>
              <w:t>ST15</w:t>
            </w:r>
          </w:p>
        </w:tc>
        <w:tc>
          <w:tcPr>
            <w:tcW w:w="3375" w:type="dxa"/>
            <w:tcBorders>
              <w:top w:val="nil"/>
              <w:left w:val="nil"/>
              <w:bottom w:val="single" w:sz="8" w:space="0" w:color="auto"/>
              <w:right w:val="single" w:sz="8" w:space="0" w:color="auto"/>
            </w:tcBorders>
            <w:hideMark/>
          </w:tcPr>
          <w:p w:rsidR="002B0763" w:rsidRPr="00DE0288" w:rsidRDefault="002B0763">
            <w:pPr>
              <w:overflowPunct w:val="0"/>
              <w:ind w:left="107"/>
              <w:rPr>
                <w:sz w:val="24"/>
                <w:szCs w:val="24"/>
              </w:rPr>
            </w:pPr>
            <w:r w:rsidRPr="00DE0288">
              <w:rPr>
                <w:sz w:val="24"/>
                <w:szCs w:val="24"/>
              </w:rPr>
              <w:t>Nuclear</w:t>
            </w:r>
            <w:r w:rsidRPr="00DE0288">
              <w:rPr>
                <w:spacing w:val="-1"/>
                <w:sz w:val="24"/>
                <w:szCs w:val="24"/>
              </w:rPr>
              <w:t xml:space="preserve"> </w:t>
            </w:r>
            <w:r w:rsidRPr="00DE0288">
              <w:rPr>
                <w:sz w:val="24"/>
                <w:szCs w:val="24"/>
              </w:rPr>
              <w:t>Enterprise</w:t>
            </w:r>
          </w:p>
        </w:tc>
      </w:tr>
      <w:tr w:rsidR="002B0763" w:rsidRPr="00DE0288" w:rsidTr="00DE0288">
        <w:trPr>
          <w:trHeight w:val="457"/>
        </w:trPr>
        <w:tc>
          <w:tcPr>
            <w:tcW w:w="2501" w:type="dxa"/>
            <w:tcBorders>
              <w:top w:val="nil"/>
              <w:left w:val="single" w:sz="8" w:space="0" w:color="auto"/>
              <w:bottom w:val="single" w:sz="8" w:space="0" w:color="auto"/>
              <w:right w:val="single" w:sz="8" w:space="0" w:color="auto"/>
            </w:tcBorders>
            <w:hideMark/>
          </w:tcPr>
          <w:p w:rsidR="002B0763" w:rsidRPr="00DE0288" w:rsidRDefault="002B0763">
            <w:pPr>
              <w:overflowPunct w:val="0"/>
              <w:ind w:left="107"/>
              <w:rPr>
                <w:sz w:val="24"/>
                <w:szCs w:val="24"/>
              </w:rPr>
            </w:pPr>
            <w:r w:rsidRPr="00DE0288">
              <w:rPr>
                <w:sz w:val="24"/>
                <w:szCs w:val="24"/>
              </w:rPr>
              <w:t>ST17</w:t>
            </w:r>
          </w:p>
        </w:tc>
        <w:tc>
          <w:tcPr>
            <w:tcW w:w="3375" w:type="dxa"/>
            <w:tcBorders>
              <w:top w:val="nil"/>
              <w:left w:val="nil"/>
              <w:bottom w:val="single" w:sz="8" w:space="0" w:color="auto"/>
              <w:right w:val="single" w:sz="8" w:space="0" w:color="auto"/>
            </w:tcBorders>
            <w:hideMark/>
          </w:tcPr>
          <w:p w:rsidR="002B0763" w:rsidRPr="00DE0288" w:rsidRDefault="002B0763">
            <w:pPr>
              <w:overflowPunct w:val="0"/>
              <w:ind w:left="107"/>
              <w:rPr>
                <w:sz w:val="24"/>
                <w:szCs w:val="24"/>
              </w:rPr>
            </w:pPr>
            <w:r w:rsidRPr="00DE0288">
              <w:rPr>
                <w:sz w:val="24"/>
                <w:szCs w:val="24"/>
              </w:rPr>
              <w:t>CPS</w:t>
            </w:r>
            <w:r w:rsidRPr="00DE0288">
              <w:rPr>
                <w:spacing w:val="-2"/>
                <w:sz w:val="24"/>
                <w:szCs w:val="24"/>
              </w:rPr>
              <w:t xml:space="preserve"> </w:t>
            </w:r>
            <w:r w:rsidRPr="00DE0288">
              <w:rPr>
                <w:sz w:val="24"/>
                <w:szCs w:val="24"/>
              </w:rPr>
              <w:t>Expedite</w:t>
            </w:r>
          </w:p>
        </w:tc>
      </w:tr>
      <w:tr w:rsidR="002B0763" w:rsidRPr="00DE0288" w:rsidTr="00DE0288">
        <w:trPr>
          <w:trHeight w:val="458"/>
        </w:trPr>
        <w:tc>
          <w:tcPr>
            <w:tcW w:w="2501" w:type="dxa"/>
            <w:tcBorders>
              <w:top w:val="nil"/>
              <w:left w:val="single" w:sz="8" w:space="0" w:color="auto"/>
              <w:bottom w:val="single" w:sz="8" w:space="0" w:color="auto"/>
              <w:right w:val="single" w:sz="8" w:space="0" w:color="auto"/>
            </w:tcBorders>
            <w:hideMark/>
          </w:tcPr>
          <w:p w:rsidR="002B0763" w:rsidRPr="00DE0288" w:rsidRDefault="002B0763">
            <w:pPr>
              <w:overflowPunct w:val="0"/>
              <w:ind w:left="107"/>
              <w:rPr>
                <w:sz w:val="24"/>
                <w:szCs w:val="24"/>
              </w:rPr>
            </w:pPr>
            <w:r w:rsidRPr="00DE0288">
              <w:rPr>
                <w:sz w:val="24"/>
                <w:szCs w:val="24"/>
              </w:rPr>
              <w:t>ST18</w:t>
            </w:r>
          </w:p>
        </w:tc>
        <w:tc>
          <w:tcPr>
            <w:tcW w:w="3375" w:type="dxa"/>
            <w:tcBorders>
              <w:top w:val="nil"/>
              <w:left w:val="nil"/>
              <w:bottom w:val="single" w:sz="8" w:space="0" w:color="auto"/>
              <w:right w:val="single" w:sz="8" w:space="0" w:color="auto"/>
            </w:tcBorders>
            <w:hideMark/>
          </w:tcPr>
          <w:p w:rsidR="002B0763" w:rsidRPr="00DE0288" w:rsidRDefault="002B0763">
            <w:pPr>
              <w:overflowPunct w:val="0"/>
              <w:ind w:left="107"/>
              <w:rPr>
                <w:sz w:val="24"/>
                <w:szCs w:val="24"/>
              </w:rPr>
            </w:pPr>
            <w:r w:rsidRPr="00DE0288">
              <w:rPr>
                <w:sz w:val="24"/>
                <w:szCs w:val="24"/>
              </w:rPr>
              <w:t>CPS</w:t>
            </w:r>
            <w:r w:rsidRPr="00DE0288">
              <w:rPr>
                <w:spacing w:val="-2"/>
                <w:sz w:val="24"/>
                <w:szCs w:val="24"/>
              </w:rPr>
              <w:t xml:space="preserve"> </w:t>
            </w:r>
            <w:r w:rsidRPr="00DE0288">
              <w:rPr>
                <w:sz w:val="24"/>
                <w:szCs w:val="24"/>
              </w:rPr>
              <w:t>Delinquency</w:t>
            </w:r>
          </w:p>
        </w:tc>
      </w:tr>
      <w:tr w:rsidR="002B0763" w:rsidRPr="00DE0288" w:rsidTr="00DE0288">
        <w:trPr>
          <w:trHeight w:val="755"/>
        </w:trPr>
        <w:tc>
          <w:tcPr>
            <w:tcW w:w="2501" w:type="dxa"/>
            <w:tcBorders>
              <w:top w:val="nil"/>
              <w:left w:val="single" w:sz="8" w:space="0" w:color="auto"/>
              <w:bottom w:val="single" w:sz="8" w:space="0" w:color="auto"/>
              <w:right w:val="single" w:sz="8" w:space="0" w:color="auto"/>
            </w:tcBorders>
            <w:hideMark/>
          </w:tcPr>
          <w:p w:rsidR="002B0763" w:rsidRPr="00DE0288" w:rsidRDefault="002B0763">
            <w:pPr>
              <w:overflowPunct w:val="0"/>
              <w:spacing w:before="149"/>
              <w:ind w:left="107"/>
              <w:rPr>
                <w:sz w:val="24"/>
                <w:szCs w:val="24"/>
              </w:rPr>
            </w:pPr>
            <w:r w:rsidRPr="00DE0288">
              <w:rPr>
                <w:sz w:val="24"/>
                <w:szCs w:val="24"/>
              </w:rPr>
              <w:t>ST20</w:t>
            </w:r>
          </w:p>
        </w:tc>
        <w:tc>
          <w:tcPr>
            <w:tcW w:w="3375" w:type="dxa"/>
            <w:tcBorders>
              <w:top w:val="nil"/>
              <w:left w:val="nil"/>
              <w:bottom w:val="single" w:sz="8" w:space="0" w:color="auto"/>
              <w:right w:val="single" w:sz="8" w:space="0" w:color="auto"/>
            </w:tcBorders>
            <w:hideMark/>
          </w:tcPr>
          <w:p w:rsidR="002B0763" w:rsidRPr="00DE0288" w:rsidRDefault="002B0763">
            <w:pPr>
              <w:overflowPunct w:val="0"/>
              <w:spacing w:line="252" w:lineRule="auto"/>
              <w:ind w:left="107" w:right="116"/>
              <w:rPr>
                <w:sz w:val="24"/>
                <w:szCs w:val="24"/>
              </w:rPr>
            </w:pPr>
            <w:r w:rsidRPr="00DE0288">
              <w:rPr>
                <w:sz w:val="24"/>
                <w:szCs w:val="24"/>
              </w:rPr>
              <w:t>Monthly Briefing and Readiness</w:t>
            </w:r>
            <w:r w:rsidRPr="00DE0288">
              <w:rPr>
                <w:spacing w:val="-57"/>
                <w:sz w:val="24"/>
                <w:szCs w:val="24"/>
              </w:rPr>
              <w:t xml:space="preserve"> </w:t>
            </w:r>
            <w:r w:rsidRPr="00DE0288">
              <w:rPr>
                <w:sz w:val="24"/>
                <w:szCs w:val="24"/>
              </w:rPr>
              <w:t>Updates</w:t>
            </w:r>
          </w:p>
        </w:tc>
      </w:tr>
      <w:tr w:rsidR="002B0763" w:rsidRPr="00DE0288" w:rsidTr="00DE0288">
        <w:trPr>
          <w:trHeight w:val="397"/>
        </w:trPr>
        <w:tc>
          <w:tcPr>
            <w:tcW w:w="2501" w:type="dxa"/>
            <w:tcBorders>
              <w:top w:val="nil"/>
              <w:left w:val="single" w:sz="8" w:space="0" w:color="auto"/>
              <w:bottom w:val="single" w:sz="8" w:space="0" w:color="auto"/>
              <w:right w:val="single" w:sz="8" w:space="0" w:color="auto"/>
            </w:tcBorders>
            <w:hideMark/>
          </w:tcPr>
          <w:p w:rsidR="002B0763" w:rsidRPr="00DE0288" w:rsidRDefault="002B0763">
            <w:pPr>
              <w:overflowPunct w:val="0"/>
              <w:ind w:left="107"/>
              <w:rPr>
                <w:sz w:val="24"/>
                <w:szCs w:val="24"/>
              </w:rPr>
            </w:pPr>
            <w:r w:rsidRPr="00DE0288">
              <w:rPr>
                <w:sz w:val="24"/>
                <w:szCs w:val="24"/>
              </w:rPr>
              <w:t>ST21</w:t>
            </w:r>
          </w:p>
        </w:tc>
        <w:tc>
          <w:tcPr>
            <w:tcW w:w="3375" w:type="dxa"/>
            <w:tcBorders>
              <w:top w:val="nil"/>
              <w:left w:val="nil"/>
              <w:bottom w:val="single" w:sz="8" w:space="0" w:color="auto"/>
              <w:right w:val="single" w:sz="8" w:space="0" w:color="auto"/>
            </w:tcBorders>
            <w:hideMark/>
          </w:tcPr>
          <w:p w:rsidR="002B0763" w:rsidRPr="00DE0288" w:rsidRDefault="002B0763">
            <w:pPr>
              <w:overflowPunct w:val="0"/>
              <w:ind w:left="107"/>
              <w:rPr>
                <w:sz w:val="24"/>
                <w:szCs w:val="24"/>
              </w:rPr>
            </w:pPr>
            <w:r w:rsidRPr="00DE0288">
              <w:rPr>
                <w:sz w:val="24"/>
                <w:szCs w:val="24"/>
              </w:rPr>
              <w:t>Super</w:t>
            </w:r>
            <w:r w:rsidRPr="00DE0288">
              <w:rPr>
                <w:spacing w:val="-1"/>
                <w:sz w:val="24"/>
                <w:szCs w:val="24"/>
              </w:rPr>
              <w:t xml:space="preserve"> </w:t>
            </w:r>
            <w:r w:rsidRPr="00DE0288">
              <w:rPr>
                <w:sz w:val="24"/>
                <w:szCs w:val="24"/>
              </w:rPr>
              <w:t>KID</w:t>
            </w:r>
          </w:p>
        </w:tc>
      </w:tr>
      <w:tr w:rsidR="002B0763" w:rsidRPr="00DE0288" w:rsidTr="00DE0288">
        <w:trPr>
          <w:trHeight w:val="397"/>
        </w:trPr>
        <w:tc>
          <w:tcPr>
            <w:tcW w:w="2501" w:type="dxa"/>
            <w:tcBorders>
              <w:top w:val="nil"/>
              <w:left w:val="single" w:sz="8" w:space="0" w:color="auto"/>
              <w:bottom w:val="single" w:sz="8" w:space="0" w:color="auto"/>
              <w:right w:val="single" w:sz="8" w:space="0" w:color="auto"/>
            </w:tcBorders>
            <w:hideMark/>
          </w:tcPr>
          <w:p w:rsidR="002B0763" w:rsidRPr="00DE0288" w:rsidRDefault="002B0763">
            <w:pPr>
              <w:overflowPunct w:val="0"/>
              <w:ind w:left="107"/>
              <w:rPr>
                <w:sz w:val="24"/>
                <w:szCs w:val="24"/>
              </w:rPr>
            </w:pPr>
            <w:r w:rsidRPr="00DE0288">
              <w:rPr>
                <w:sz w:val="24"/>
                <w:szCs w:val="24"/>
              </w:rPr>
              <w:t>VR01</w:t>
            </w:r>
          </w:p>
        </w:tc>
        <w:tc>
          <w:tcPr>
            <w:tcW w:w="3375" w:type="dxa"/>
            <w:tcBorders>
              <w:top w:val="nil"/>
              <w:left w:val="nil"/>
              <w:bottom w:val="single" w:sz="8" w:space="0" w:color="auto"/>
              <w:right w:val="single" w:sz="8" w:space="0" w:color="auto"/>
            </w:tcBorders>
            <w:hideMark/>
          </w:tcPr>
          <w:p w:rsidR="002B0763" w:rsidRPr="00DE0288" w:rsidRDefault="002B0763">
            <w:pPr>
              <w:overflowPunct w:val="0"/>
              <w:ind w:left="107"/>
              <w:rPr>
                <w:sz w:val="24"/>
                <w:szCs w:val="24"/>
              </w:rPr>
            </w:pPr>
            <w:r w:rsidRPr="00DE0288">
              <w:rPr>
                <w:sz w:val="24"/>
                <w:szCs w:val="24"/>
              </w:rPr>
              <w:t>Delivery Date Change</w:t>
            </w:r>
          </w:p>
        </w:tc>
      </w:tr>
      <w:tr w:rsidR="002B0763" w:rsidRPr="00DE0288" w:rsidTr="00DE0288">
        <w:trPr>
          <w:trHeight w:val="397"/>
        </w:trPr>
        <w:tc>
          <w:tcPr>
            <w:tcW w:w="2501" w:type="dxa"/>
            <w:tcBorders>
              <w:top w:val="nil"/>
              <w:left w:val="single" w:sz="8" w:space="0" w:color="auto"/>
              <w:bottom w:val="single" w:sz="8" w:space="0" w:color="auto"/>
              <w:right w:val="single" w:sz="8" w:space="0" w:color="auto"/>
            </w:tcBorders>
            <w:hideMark/>
          </w:tcPr>
          <w:p w:rsidR="002B0763" w:rsidRPr="00DE0288" w:rsidRDefault="002B0763">
            <w:pPr>
              <w:overflowPunct w:val="0"/>
              <w:ind w:left="107"/>
              <w:rPr>
                <w:sz w:val="24"/>
                <w:szCs w:val="24"/>
              </w:rPr>
            </w:pPr>
            <w:r w:rsidRPr="00DE0288">
              <w:rPr>
                <w:sz w:val="24"/>
                <w:szCs w:val="24"/>
              </w:rPr>
              <w:t>VR02</w:t>
            </w:r>
          </w:p>
        </w:tc>
        <w:tc>
          <w:tcPr>
            <w:tcW w:w="3375" w:type="dxa"/>
            <w:tcBorders>
              <w:top w:val="nil"/>
              <w:left w:val="nil"/>
              <w:bottom w:val="single" w:sz="8" w:space="0" w:color="auto"/>
              <w:right w:val="single" w:sz="8" w:space="0" w:color="auto"/>
            </w:tcBorders>
            <w:hideMark/>
          </w:tcPr>
          <w:p w:rsidR="002B0763" w:rsidRPr="00DE0288" w:rsidRDefault="002B0763">
            <w:pPr>
              <w:overflowPunct w:val="0"/>
              <w:ind w:left="107"/>
              <w:rPr>
                <w:sz w:val="24"/>
                <w:szCs w:val="24"/>
              </w:rPr>
            </w:pPr>
            <w:r w:rsidRPr="00DE0288">
              <w:rPr>
                <w:sz w:val="24"/>
                <w:szCs w:val="24"/>
              </w:rPr>
              <w:t>Duty Free Entry Request</w:t>
            </w:r>
          </w:p>
        </w:tc>
      </w:tr>
      <w:tr w:rsidR="002B0763" w:rsidRPr="00DE0288" w:rsidTr="00DE0288">
        <w:trPr>
          <w:trHeight w:val="397"/>
        </w:trPr>
        <w:tc>
          <w:tcPr>
            <w:tcW w:w="2501" w:type="dxa"/>
            <w:tcBorders>
              <w:top w:val="nil"/>
              <w:left w:val="single" w:sz="8" w:space="0" w:color="auto"/>
              <w:bottom w:val="single" w:sz="8" w:space="0" w:color="auto"/>
              <w:right w:val="single" w:sz="8" w:space="0" w:color="auto"/>
            </w:tcBorders>
            <w:hideMark/>
          </w:tcPr>
          <w:p w:rsidR="002B0763" w:rsidRPr="00DE0288" w:rsidRDefault="002B0763">
            <w:pPr>
              <w:overflowPunct w:val="0"/>
              <w:ind w:left="107"/>
              <w:rPr>
                <w:sz w:val="24"/>
                <w:szCs w:val="24"/>
              </w:rPr>
            </w:pPr>
            <w:r w:rsidRPr="00DE0288">
              <w:rPr>
                <w:sz w:val="24"/>
                <w:szCs w:val="24"/>
              </w:rPr>
              <w:t>VR03</w:t>
            </w:r>
          </w:p>
        </w:tc>
        <w:tc>
          <w:tcPr>
            <w:tcW w:w="3375" w:type="dxa"/>
            <w:tcBorders>
              <w:top w:val="nil"/>
              <w:left w:val="nil"/>
              <w:bottom w:val="single" w:sz="8" w:space="0" w:color="auto"/>
              <w:right w:val="single" w:sz="8" w:space="0" w:color="auto"/>
            </w:tcBorders>
            <w:hideMark/>
          </w:tcPr>
          <w:p w:rsidR="002B0763" w:rsidRPr="00DE0288" w:rsidRDefault="002B0763">
            <w:pPr>
              <w:overflowPunct w:val="0"/>
              <w:ind w:left="107"/>
              <w:rPr>
                <w:sz w:val="24"/>
                <w:szCs w:val="24"/>
              </w:rPr>
            </w:pPr>
            <w:r w:rsidRPr="00DE0288">
              <w:rPr>
                <w:sz w:val="24"/>
                <w:szCs w:val="24"/>
              </w:rPr>
              <w:t>Free Issues</w:t>
            </w:r>
          </w:p>
        </w:tc>
      </w:tr>
      <w:tr w:rsidR="002B0763" w:rsidRPr="00DE0288" w:rsidTr="00DE0288">
        <w:trPr>
          <w:trHeight w:val="397"/>
        </w:trPr>
        <w:tc>
          <w:tcPr>
            <w:tcW w:w="2501" w:type="dxa"/>
            <w:tcBorders>
              <w:top w:val="nil"/>
              <w:left w:val="single" w:sz="8" w:space="0" w:color="auto"/>
              <w:bottom w:val="single" w:sz="8" w:space="0" w:color="auto"/>
              <w:right w:val="single" w:sz="8" w:space="0" w:color="auto"/>
            </w:tcBorders>
            <w:hideMark/>
          </w:tcPr>
          <w:p w:rsidR="002B0763" w:rsidRPr="00DE0288" w:rsidRDefault="002B0763">
            <w:pPr>
              <w:overflowPunct w:val="0"/>
              <w:ind w:left="107"/>
              <w:rPr>
                <w:sz w:val="24"/>
                <w:szCs w:val="24"/>
              </w:rPr>
            </w:pPr>
            <w:r w:rsidRPr="00DE0288">
              <w:rPr>
                <w:sz w:val="24"/>
                <w:szCs w:val="24"/>
              </w:rPr>
              <w:t>VR04</w:t>
            </w:r>
          </w:p>
        </w:tc>
        <w:tc>
          <w:tcPr>
            <w:tcW w:w="3375" w:type="dxa"/>
            <w:tcBorders>
              <w:top w:val="nil"/>
              <w:left w:val="nil"/>
              <w:bottom w:val="single" w:sz="8" w:space="0" w:color="auto"/>
              <w:right w:val="single" w:sz="8" w:space="0" w:color="auto"/>
            </w:tcBorders>
            <w:hideMark/>
          </w:tcPr>
          <w:p w:rsidR="002B0763" w:rsidRPr="00DE0288" w:rsidRDefault="002B0763">
            <w:pPr>
              <w:overflowPunct w:val="0"/>
              <w:ind w:left="107"/>
              <w:rPr>
                <w:sz w:val="24"/>
                <w:szCs w:val="24"/>
              </w:rPr>
            </w:pPr>
            <w:r w:rsidRPr="00DE0288">
              <w:rPr>
                <w:sz w:val="24"/>
                <w:szCs w:val="24"/>
              </w:rPr>
              <w:t>Price Change and Mistakes-in-Bid</w:t>
            </w:r>
          </w:p>
        </w:tc>
      </w:tr>
      <w:tr w:rsidR="002B0763" w:rsidRPr="00DE0288" w:rsidTr="00DE0288">
        <w:trPr>
          <w:trHeight w:val="397"/>
        </w:trPr>
        <w:tc>
          <w:tcPr>
            <w:tcW w:w="2501" w:type="dxa"/>
            <w:tcBorders>
              <w:top w:val="nil"/>
              <w:left w:val="single" w:sz="8" w:space="0" w:color="auto"/>
              <w:bottom w:val="single" w:sz="8" w:space="0" w:color="auto"/>
              <w:right w:val="single" w:sz="8" w:space="0" w:color="auto"/>
            </w:tcBorders>
            <w:hideMark/>
          </w:tcPr>
          <w:p w:rsidR="002B0763" w:rsidRPr="00DE0288" w:rsidRDefault="002B0763">
            <w:pPr>
              <w:overflowPunct w:val="0"/>
              <w:ind w:left="107"/>
              <w:rPr>
                <w:sz w:val="24"/>
                <w:szCs w:val="24"/>
              </w:rPr>
            </w:pPr>
            <w:r w:rsidRPr="00DE0288">
              <w:rPr>
                <w:sz w:val="24"/>
                <w:szCs w:val="24"/>
              </w:rPr>
              <w:t>VR05</w:t>
            </w:r>
          </w:p>
        </w:tc>
        <w:tc>
          <w:tcPr>
            <w:tcW w:w="3375" w:type="dxa"/>
            <w:tcBorders>
              <w:top w:val="nil"/>
              <w:left w:val="nil"/>
              <w:bottom w:val="single" w:sz="8" w:space="0" w:color="auto"/>
              <w:right w:val="single" w:sz="8" w:space="0" w:color="auto"/>
            </w:tcBorders>
            <w:hideMark/>
          </w:tcPr>
          <w:p w:rsidR="002B0763" w:rsidRPr="00DE0288" w:rsidRDefault="002B0763">
            <w:pPr>
              <w:overflowPunct w:val="0"/>
              <w:ind w:left="107"/>
              <w:rPr>
                <w:sz w:val="24"/>
                <w:szCs w:val="24"/>
              </w:rPr>
            </w:pPr>
            <w:r w:rsidRPr="00DE0288">
              <w:rPr>
                <w:sz w:val="24"/>
                <w:szCs w:val="24"/>
              </w:rPr>
              <w:t>Request for Price Change in Accordance with Economic Price</w:t>
            </w:r>
          </w:p>
        </w:tc>
      </w:tr>
      <w:tr w:rsidR="002B0763" w:rsidRPr="00DE0288" w:rsidTr="00DE0288">
        <w:trPr>
          <w:trHeight w:val="397"/>
        </w:trPr>
        <w:tc>
          <w:tcPr>
            <w:tcW w:w="2501" w:type="dxa"/>
            <w:tcBorders>
              <w:top w:val="nil"/>
              <w:left w:val="single" w:sz="8" w:space="0" w:color="auto"/>
              <w:bottom w:val="single" w:sz="8" w:space="0" w:color="auto"/>
              <w:right w:val="single" w:sz="8" w:space="0" w:color="auto"/>
            </w:tcBorders>
            <w:hideMark/>
          </w:tcPr>
          <w:p w:rsidR="002B0763" w:rsidRPr="00DE0288" w:rsidRDefault="002B0763">
            <w:pPr>
              <w:overflowPunct w:val="0"/>
              <w:ind w:left="107"/>
              <w:rPr>
                <w:sz w:val="24"/>
                <w:szCs w:val="24"/>
              </w:rPr>
            </w:pPr>
            <w:r w:rsidRPr="00DE0288">
              <w:rPr>
                <w:sz w:val="24"/>
                <w:szCs w:val="24"/>
              </w:rPr>
              <w:t>VR06</w:t>
            </w:r>
          </w:p>
        </w:tc>
        <w:tc>
          <w:tcPr>
            <w:tcW w:w="3375" w:type="dxa"/>
            <w:tcBorders>
              <w:top w:val="nil"/>
              <w:left w:val="nil"/>
              <w:bottom w:val="single" w:sz="8" w:space="0" w:color="auto"/>
              <w:right w:val="single" w:sz="8" w:space="0" w:color="auto"/>
            </w:tcBorders>
            <w:hideMark/>
          </w:tcPr>
          <w:p w:rsidR="002B0763" w:rsidRPr="00DE0288" w:rsidRDefault="002B0763">
            <w:pPr>
              <w:overflowPunct w:val="0"/>
              <w:ind w:left="107"/>
              <w:rPr>
                <w:sz w:val="24"/>
                <w:szCs w:val="24"/>
              </w:rPr>
            </w:pPr>
            <w:r w:rsidRPr="00DE0288">
              <w:rPr>
                <w:sz w:val="24"/>
                <w:szCs w:val="24"/>
              </w:rPr>
              <w:t>Variation in Quantity Change</w:t>
            </w:r>
          </w:p>
        </w:tc>
      </w:tr>
      <w:tr w:rsidR="002B0763" w:rsidRPr="00DE0288" w:rsidTr="00DE0288">
        <w:trPr>
          <w:trHeight w:val="397"/>
        </w:trPr>
        <w:tc>
          <w:tcPr>
            <w:tcW w:w="2501" w:type="dxa"/>
            <w:tcBorders>
              <w:top w:val="nil"/>
              <w:left w:val="single" w:sz="8" w:space="0" w:color="auto"/>
              <w:bottom w:val="single" w:sz="8" w:space="0" w:color="auto"/>
              <w:right w:val="single" w:sz="8" w:space="0" w:color="auto"/>
            </w:tcBorders>
            <w:hideMark/>
          </w:tcPr>
          <w:p w:rsidR="002B0763" w:rsidRPr="00DE0288" w:rsidRDefault="002B0763">
            <w:pPr>
              <w:overflowPunct w:val="0"/>
              <w:ind w:left="107"/>
              <w:rPr>
                <w:sz w:val="24"/>
                <w:szCs w:val="24"/>
              </w:rPr>
            </w:pPr>
            <w:r w:rsidRPr="00DE0288">
              <w:rPr>
                <w:sz w:val="24"/>
                <w:szCs w:val="24"/>
              </w:rPr>
              <w:t>VR07</w:t>
            </w:r>
          </w:p>
        </w:tc>
        <w:tc>
          <w:tcPr>
            <w:tcW w:w="3375" w:type="dxa"/>
            <w:tcBorders>
              <w:top w:val="nil"/>
              <w:left w:val="nil"/>
              <w:bottom w:val="single" w:sz="8" w:space="0" w:color="auto"/>
              <w:right w:val="single" w:sz="8" w:space="0" w:color="auto"/>
            </w:tcBorders>
            <w:hideMark/>
          </w:tcPr>
          <w:p w:rsidR="002B0763" w:rsidRPr="00DE0288" w:rsidRDefault="002B0763">
            <w:pPr>
              <w:overflowPunct w:val="0"/>
              <w:ind w:left="107"/>
              <w:rPr>
                <w:sz w:val="24"/>
                <w:szCs w:val="24"/>
              </w:rPr>
            </w:pPr>
            <w:r w:rsidRPr="00DE0288">
              <w:rPr>
                <w:sz w:val="24"/>
                <w:szCs w:val="24"/>
              </w:rPr>
              <w:t>Quantity Change</w:t>
            </w:r>
          </w:p>
        </w:tc>
      </w:tr>
      <w:tr w:rsidR="002B0763" w:rsidRPr="00DE0288" w:rsidTr="00DE0288">
        <w:trPr>
          <w:trHeight w:val="397"/>
        </w:trPr>
        <w:tc>
          <w:tcPr>
            <w:tcW w:w="2501" w:type="dxa"/>
            <w:tcBorders>
              <w:top w:val="nil"/>
              <w:left w:val="single" w:sz="8" w:space="0" w:color="auto"/>
              <w:bottom w:val="single" w:sz="8" w:space="0" w:color="auto"/>
              <w:right w:val="single" w:sz="8" w:space="0" w:color="auto"/>
            </w:tcBorders>
            <w:hideMark/>
          </w:tcPr>
          <w:p w:rsidR="002B0763" w:rsidRPr="00DE0288" w:rsidRDefault="002B0763">
            <w:pPr>
              <w:overflowPunct w:val="0"/>
              <w:ind w:left="107"/>
              <w:rPr>
                <w:sz w:val="24"/>
                <w:szCs w:val="24"/>
              </w:rPr>
            </w:pPr>
            <w:r w:rsidRPr="00DE0288">
              <w:rPr>
                <w:sz w:val="24"/>
                <w:szCs w:val="24"/>
              </w:rPr>
              <w:t>VR08</w:t>
            </w:r>
          </w:p>
        </w:tc>
        <w:tc>
          <w:tcPr>
            <w:tcW w:w="3375" w:type="dxa"/>
            <w:tcBorders>
              <w:top w:val="nil"/>
              <w:left w:val="nil"/>
              <w:bottom w:val="single" w:sz="8" w:space="0" w:color="auto"/>
              <w:right w:val="single" w:sz="8" w:space="0" w:color="auto"/>
            </w:tcBorders>
            <w:hideMark/>
          </w:tcPr>
          <w:p w:rsidR="002B0763" w:rsidRPr="00DE0288" w:rsidRDefault="002B0763">
            <w:pPr>
              <w:overflowPunct w:val="0"/>
              <w:ind w:left="107"/>
              <w:rPr>
                <w:sz w:val="24"/>
                <w:szCs w:val="24"/>
              </w:rPr>
            </w:pPr>
            <w:r w:rsidRPr="00DE0288">
              <w:rPr>
                <w:sz w:val="24"/>
                <w:szCs w:val="24"/>
              </w:rPr>
              <w:t>Vendor Requested Cancellation</w:t>
            </w:r>
          </w:p>
        </w:tc>
      </w:tr>
      <w:tr w:rsidR="002B0763" w:rsidRPr="00DE0288" w:rsidTr="00DE0288">
        <w:trPr>
          <w:trHeight w:val="397"/>
        </w:trPr>
        <w:tc>
          <w:tcPr>
            <w:tcW w:w="2501" w:type="dxa"/>
            <w:tcBorders>
              <w:top w:val="nil"/>
              <w:left w:val="single" w:sz="8" w:space="0" w:color="auto"/>
              <w:bottom w:val="single" w:sz="8" w:space="0" w:color="auto"/>
              <w:right w:val="single" w:sz="8" w:space="0" w:color="auto"/>
            </w:tcBorders>
            <w:hideMark/>
          </w:tcPr>
          <w:p w:rsidR="002B0763" w:rsidRPr="00DE0288" w:rsidRDefault="002B0763">
            <w:pPr>
              <w:overflowPunct w:val="0"/>
              <w:ind w:left="107"/>
              <w:rPr>
                <w:sz w:val="24"/>
                <w:szCs w:val="24"/>
              </w:rPr>
            </w:pPr>
            <w:r w:rsidRPr="00DE0288">
              <w:rPr>
                <w:sz w:val="24"/>
                <w:szCs w:val="24"/>
              </w:rPr>
              <w:t>VR09</w:t>
            </w:r>
          </w:p>
        </w:tc>
        <w:tc>
          <w:tcPr>
            <w:tcW w:w="3375" w:type="dxa"/>
            <w:tcBorders>
              <w:top w:val="nil"/>
              <w:left w:val="nil"/>
              <w:bottom w:val="single" w:sz="8" w:space="0" w:color="auto"/>
              <w:right w:val="single" w:sz="8" w:space="0" w:color="auto"/>
            </w:tcBorders>
            <w:hideMark/>
          </w:tcPr>
          <w:p w:rsidR="002B0763" w:rsidRPr="00DE0288" w:rsidRDefault="002B0763">
            <w:pPr>
              <w:overflowPunct w:val="0"/>
              <w:ind w:left="107"/>
              <w:rPr>
                <w:sz w:val="24"/>
                <w:szCs w:val="24"/>
              </w:rPr>
            </w:pPr>
            <w:r w:rsidRPr="00DE0288">
              <w:rPr>
                <w:sz w:val="24"/>
                <w:szCs w:val="24"/>
              </w:rPr>
              <w:t>Modification</w:t>
            </w:r>
          </w:p>
        </w:tc>
      </w:tr>
      <w:tr w:rsidR="002B0763" w:rsidRPr="00DE0288" w:rsidTr="00DE0288">
        <w:trPr>
          <w:trHeight w:val="397"/>
        </w:trPr>
        <w:tc>
          <w:tcPr>
            <w:tcW w:w="2501" w:type="dxa"/>
            <w:tcBorders>
              <w:top w:val="nil"/>
              <w:left w:val="single" w:sz="8" w:space="0" w:color="auto"/>
              <w:bottom w:val="single" w:sz="8" w:space="0" w:color="auto"/>
              <w:right w:val="single" w:sz="8" w:space="0" w:color="auto"/>
            </w:tcBorders>
            <w:hideMark/>
          </w:tcPr>
          <w:p w:rsidR="002B0763" w:rsidRPr="00DE0288" w:rsidRDefault="002B0763">
            <w:pPr>
              <w:overflowPunct w:val="0"/>
              <w:ind w:left="107"/>
              <w:rPr>
                <w:sz w:val="24"/>
                <w:szCs w:val="24"/>
              </w:rPr>
            </w:pPr>
            <w:r w:rsidRPr="00DE0288">
              <w:rPr>
                <w:sz w:val="24"/>
                <w:szCs w:val="24"/>
              </w:rPr>
              <w:t>VR10</w:t>
            </w:r>
          </w:p>
        </w:tc>
        <w:tc>
          <w:tcPr>
            <w:tcW w:w="3375" w:type="dxa"/>
            <w:tcBorders>
              <w:top w:val="nil"/>
              <w:left w:val="nil"/>
              <w:bottom w:val="single" w:sz="8" w:space="0" w:color="auto"/>
              <w:right w:val="single" w:sz="8" w:space="0" w:color="auto"/>
            </w:tcBorders>
            <w:hideMark/>
          </w:tcPr>
          <w:p w:rsidR="002B0763" w:rsidRPr="00DE0288" w:rsidRDefault="002B0763">
            <w:pPr>
              <w:overflowPunct w:val="0"/>
              <w:ind w:left="107"/>
              <w:rPr>
                <w:sz w:val="24"/>
                <w:szCs w:val="24"/>
              </w:rPr>
            </w:pPr>
            <w:r w:rsidRPr="00DE0288">
              <w:rPr>
                <w:sz w:val="24"/>
                <w:szCs w:val="24"/>
              </w:rPr>
              <w:t>Wage Determination</w:t>
            </w:r>
          </w:p>
        </w:tc>
      </w:tr>
      <w:tr w:rsidR="002B0763" w:rsidRPr="00DE0288" w:rsidTr="00DE0288">
        <w:trPr>
          <w:trHeight w:val="397"/>
        </w:trPr>
        <w:tc>
          <w:tcPr>
            <w:tcW w:w="2501" w:type="dxa"/>
            <w:tcBorders>
              <w:top w:val="nil"/>
              <w:left w:val="single" w:sz="8" w:space="0" w:color="auto"/>
              <w:bottom w:val="single" w:sz="8" w:space="0" w:color="auto"/>
              <w:right w:val="single" w:sz="8" w:space="0" w:color="auto"/>
            </w:tcBorders>
            <w:hideMark/>
          </w:tcPr>
          <w:p w:rsidR="002B0763" w:rsidRPr="00DE0288" w:rsidRDefault="002B0763">
            <w:pPr>
              <w:overflowPunct w:val="0"/>
              <w:ind w:left="107"/>
              <w:rPr>
                <w:sz w:val="24"/>
                <w:szCs w:val="24"/>
              </w:rPr>
            </w:pPr>
            <w:r w:rsidRPr="00DE0288">
              <w:rPr>
                <w:sz w:val="24"/>
                <w:szCs w:val="24"/>
              </w:rPr>
              <w:t>VR11</w:t>
            </w:r>
          </w:p>
        </w:tc>
        <w:tc>
          <w:tcPr>
            <w:tcW w:w="3375" w:type="dxa"/>
            <w:tcBorders>
              <w:top w:val="nil"/>
              <w:left w:val="nil"/>
              <w:bottom w:val="single" w:sz="8" w:space="0" w:color="auto"/>
              <w:right w:val="single" w:sz="8" w:space="0" w:color="auto"/>
            </w:tcBorders>
            <w:hideMark/>
          </w:tcPr>
          <w:p w:rsidR="002B0763" w:rsidRPr="00DE0288" w:rsidRDefault="002B0763">
            <w:pPr>
              <w:overflowPunct w:val="0"/>
              <w:ind w:left="107"/>
              <w:rPr>
                <w:sz w:val="24"/>
                <w:szCs w:val="24"/>
              </w:rPr>
            </w:pPr>
            <w:r w:rsidRPr="00DE0288">
              <w:rPr>
                <w:sz w:val="24"/>
                <w:szCs w:val="24"/>
              </w:rPr>
              <w:t>Other Vendor Request</w:t>
            </w:r>
          </w:p>
        </w:tc>
      </w:tr>
      <w:tr w:rsidR="002B0763" w:rsidRPr="00DE0288" w:rsidTr="00DE0288">
        <w:trPr>
          <w:trHeight w:val="397"/>
        </w:trPr>
        <w:tc>
          <w:tcPr>
            <w:tcW w:w="2501" w:type="dxa"/>
            <w:tcBorders>
              <w:top w:val="nil"/>
              <w:left w:val="single" w:sz="8" w:space="0" w:color="auto"/>
              <w:bottom w:val="single" w:sz="8" w:space="0" w:color="auto"/>
              <w:right w:val="single" w:sz="8" w:space="0" w:color="auto"/>
            </w:tcBorders>
            <w:hideMark/>
          </w:tcPr>
          <w:p w:rsidR="002B0763" w:rsidRPr="00DE0288" w:rsidRDefault="002B0763">
            <w:pPr>
              <w:overflowPunct w:val="0"/>
              <w:ind w:left="107"/>
              <w:rPr>
                <w:sz w:val="24"/>
                <w:szCs w:val="24"/>
              </w:rPr>
            </w:pPr>
            <w:r w:rsidRPr="00DE0288">
              <w:rPr>
                <w:sz w:val="24"/>
                <w:szCs w:val="24"/>
              </w:rPr>
              <w:t>VR12</w:t>
            </w:r>
          </w:p>
        </w:tc>
        <w:tc>
          <w:tcPr>
            <w:tcW w:w="3375" w:type="dxa"/>
            <w:tcBorders>
              <w:top w:val="nil"/>
              <w:left w:val="nil"/>
              <w:bottom w:val="single" w:sz="8" w:space="0" w:color="auto"/>
              <w:right w:val="single" w:sz="8" w:space="0" w:color="auto"/>
            </w:tcBorders>
            <w:hideMark/>
          </w:tcPr>
          <w:p w:rsidR="002B0763" w:rsidRPr="00DE0288" w:rsidRDefault="002B0763">
            <w:pPr>
              <w:overflowPunct w:val="0"/>
              <w:ind w:left="107"/>
              <w:rPr>
                <w:sz w:val="24"/>
                <w:szCs w:val="24"/>
              </w:rPr>
            </w:pPr>
            <w:r w:rsidRPr="00DE0288">
              <w:rPr>
                <w:sz w:val="24"/>
                <w:szCs w:val="24"/>
              </w:rPr>
              <w:t>Payment Issues</w:t>
            </w:r>
          </w:p>
        </w:tc>
      </w:tr>
      <w:tr w:rsidR="002B0763" w:rsidRPr="00DE0288" w:rsidTr="00DE0288">
        <w:trPr>
          <w:trHeight w:val="397"/>
        </w:trPr>
        <w:tc>
          <w:tcPr>
            <w:tcW w:w="2501" w:type="dxa"/>
            <w:tcBorders>
              <w:top w:val="nil"/>
              <w:left w:val="single" w:sz="8" w:space="0" w:color="auto"/>
              <w:bottom w:val="single" w:sz="8" w:space="0" w:color="auto"/>
              <w:right w:val="single" w:sz="8" w:space="0" w:color="auto"/>
            </w:tcBorders>
            <w:hideMark/>
          </w:tcPr>
          <w:p w:rsidR="002B0763" w:rsidRPr="00DE0288" w:rsidRDefault="002B0763">
            <w:pPr>
              <w:overflowPunct w:val="0"/>
              <w:ind w:left="107"/>
              <w:rPr>
                <w:sz w:val="24"/>
                <w:szCs w:val="24"/>
              </w:rPr>
            </w:pPr>
            <w:r w:rsidRPr="00DE0288">
              <w:rPr>
                <w:sz w:val="24"/>
                <w:szCs w:val="24"/>
              </w:rPr>
              <w:t xml:space="preserve">VR13 </w:t>
            </w:r>
          </w:p>
        </w:tc>
        <w:tc>
          <w:tcPr>
            <w:tcW w:w="3375" w:type="dxa"/>
            <w:tcBorders>
              <w:top w:val="nil"/>
              <w:left w:val="nil"/>
              <w:bottom w:val="single" w:sz="8" w:space="0" w:color="auto"/>
              <w:right w:val="single" w:sz="8" w:space="0" w:color="auto"/>
            </w:tcBorders>
            <w:hideMark/>
          </w:tcPr>
          <w:p w:rsidR="002B0763" w:rsidRPr="00DE0288" w:rsidRDefault="002B0763">
            <w:pPr>
              <w:overflowPunct w:val="0"/>
              <w:ind w:left="107"/>
              <w:rPr>
                <w:sz w:val="24"/>
                <w:szCs w:val="24"/>
              </w:rPr>
            </w:pPr>
            <w:r w:rsidRPr="00DE0288">
              <w:rPr>
                <w:sz w:val="24"/>
                <w:szCs w:val="24"/>
              </w:rPr>
              <w:t>Tooling Request</w:t>
            </w:r>
          </w:p>
        </w:tc>
      </w:tr>
      <w:tr w:rsidR="002B0763" w:rsidRPr="00DE0288" w:rsidTr="00DE0288">
        <w:trPr>
          <w:trHeight w:val="397"/>
        </w:trPr>
        <w:tc>
          <w:tcPr>
            <w:tcW w:w="2501" w:type="dxa"/>
            <w:tcBorders>
              <w:top w:val="nil"/>
              <w:left w:val="single" w:sz="8" w:space="0" w:color="auto"/>
              <w:bottom w:val="single" w:sz="8" w:space="0" w:color="auto"/>
              <w:right w:val="single" w:sz="8" w:space="0" w:color="auto"/>
            </w:tcBorders>
            <w:hideMark/>
          </w:tcPr>
          <w:p w:rsidR="002B0763" w:rsidRPr="00DE0288" w:rsidRDefault="002B0763">
            <w:pPr>
              <w:overflowPunct w:val="0"/>
              <w:ind w:left="107"/>
              <w:rPr>
                <w:sz w:val="24"/>
                <w:szCs w:val="24"/>
              </w:rPr>
            </w:pPr>
            <w:r w:rsidRPr="00DE0288">
              <w:rPr>
                <w:sz w:val="24"/>
                <w:szCs w:val="24"/>
              </w:rPr>
              <w:t>VR14</w:t>
            </w:r>
          </w:p>
        </w:tc>
        <w:tc>
          <w:tcPr>
            <w:tcW w:w="3375" w:type="dxa"/>
            <w:tcBorders>
              <w:top w:val="nil"/>
              <w:left w:val="nil"/>
              <w:bottom w:val="single" w:sz="8" w:space="0" w:color="auto"/>
              <w:right w:val="single" w:sz="8" w:space="0" w:color="auto"/>
            </w:tcBorders>
            <w:hideMark/>
          </w:tcPr>
          <w:p w:rsidR="002B0763" w:rsidRPr="00DE0288" w:rsidRDefault="002B0763">
            <w:pPr>
              <w:overflowPunct w:val="0"/>
              <w:ind w:left="107"/>
              <w:rPr>
                <w:sz w:val="24"/>
                <w:szCs w:val="24"/>
              </w:rPr>
            </w:pPr>
            <w:r w:rsidRPr="00DE0288">
              <w:rPr>
                <w:sz w:val="24"/>
                <w:szCs w:val="24"/>
              </w:rPr>
              <w:t>COVID-19</w:t>
            </w:r>
          </w:p>
        </w:tc>
      </w:tr>
    </w:tbl>
    <w:p w:rsidR="002B0763" w:rsidRPr="00CD6247" w:rsidRDefault="002B0763" w:rsidP="002B0763">
      <w:pPr>
        <w:pStyle w:val="Heading2"/>
        <w:spacing w:before="480"/>
      </w:pPr>
      <w:r w:rsidRPr="00CD6247">
        <w:t>SUBPART 42.11 – PRODUCTION SURVEILLANCE AND REPORTING</w:t>
      </w:r>
    </w:p>
    <w:p w:rsidR="002B0763" w:rsidRPr="00CD6247" w:rsidRDefault="002B0763" w:rsidP="002B0763">
      <w:pPr>
        <w:pStyle w:val="NoSpacing"/>
        <w:spacing w:after="240"/>
        <w:jc w:val="center"/>
        <w:rPr>
          <w:rFonts w:ascii="Times New Roman" w:hAnsi="Times New Roman"/>
          <w:i/>
          <w:sz w:val="24"/>
          <w:szCs w:val="24"/>
        </w:rPr>
      </w:pPr>
      <w:r w:rsidRPr="00CD6247">
        <w:rPr>
          <w:rFonts w:ascii="Times New Roman" w:hAnsi="Times New Roman"/>
          <w:i/>
          <w:sz w:val="24"/>
          <w:szCs w:val="24"/>
        </w:rPr>
        <w:t>(Revised September 20, 2016 through PROCLTR 2016-10)</w:t>
      </w:r>
    </w:p>
    <w:p w:rsidR="002B0763" w:rsidRPr="0029769D" w:rsidRDefault="002B0763" w:rsidP="002B0763">
      <w:pPr>
        <w:pStyle w:val="Heading3"/>
        <w:rPr>
          <w:sz w:val="24"/>
          <w:szCs w:val="24"/>
        </w:rPr>
      </w:pPr>
      <w:bookmarkStart w:id="3" w:name="P42_1101"/>
      <w:r w:rsidRPr="0029769D">
        <w:rPr>
          <w:sz w:val="24"/>
          <w:szCs w:val="24"/>
        </w:rPr>
        <w:t>42.1101</w:t>
      </w:r>
      <w:bookmarkEnd w:id="3"/>
      <w:r w:rsidRPr="0029769D">
        <w:rPr>
          <w:sz w:val="24"/>
          <w:szCs w:val="24"/>
        </w:rPr>
        <w:t xml:space="preserve"> General.</w:t>
      </w:r>
    </w:p>
    <w:p w:rsidR="002B0763" w:rsidRPr="00CD6247" w:rsidRDefault="002B0763" w:rsidP="002B0763">
      <w:pPr>
        <w:pStyle w:val="NoSpacing"/>
        <w:rPr>
          <w:rFonts w:ascii="Times New Roman" w:hAnsi="Times New Roman"/>
          <w:sz w:val="24"/>
          <w:szCs w:val="24"/>
        </w:rPr>
      </w:pPr>
      <w:r w:rsidRPr="00CD6247">
        <w:rPr>
          <w:rFonts w:ascii="Times New Roman" w:hAnsi="Times New Roman"/>
          <w:sz w:val="24"/>
          <w:szCs w:val="24"/>
        </w:rPr>
        <w:t>When the contracting officer retains administration functions, the contracting officer shall monitor contractor performance to ensure compliance with terms and conditions of the contract action. When it is determined that a need date may require a shorter delivery, the material planner or the customer account specialist will follow the policies and processes for expediting delivery in Cross-Process Policy Memorandum CP-12-001, Sales Order Expedite and Customer Inquiry Policy, dated December 11, 2012 (available on eWorkplace, Logistics Operations (J3), Shared Documents, J3 Policies and Procedures, Cross Process). The contracting officer shall negotiate revised delivery with the contractor.</w:t>
      </w:r>
    </w:p>
    <w:p w:rsidR="002B0763" w:rsidRPr="00CD6247" w:rsidRDefault="002B0763" w:rsidP="002B0763">
      <w:pPr>
        <w:pStyle w:val="NoSpacing"/>
        <w:spacing w:after="240"/>
        <w:rPr>
          <w:rFonts w:ascii="Times New Roman" w:hAnsi="Times New Roman"/>
          <w:sz w:val="24"/>
          <w:szCs w:val="24"/>
        </w:rPr>
      </w:pPr>
      <w:r w:rsidRPr="00CD6247">
        <w:rPr>
          <w:rFonts w:ascii="Times New Roman" w:hAnsi="Times New Roman"/>
          <w:sz w:val="24"/>
          <w:szCs w:val="24"/>
        </w:rPr>
        <w:t>Prior to taking action for contract action non-compliance, the contracting officer shall coordinate with the material planner, customer account specialist, or product specialist. Coordination with the Office of Counsel is required prior to taking cancellation or termination action.</w:t>
      </w:r>
    </w:p>
    <w:p w:rsidR="002B0763" w:rsidRPr="00E403B1" w:rsidRDefault="002B0763" w:rsidP="002B0763">
      <w:pPr>
        <w:pStyle w:val="Heading3"/>
        <w:rPr>
          <w:sz w:val="24"/>
          <w:szCs w:val="24"/>
        </w:rPr>
      </w:pPr>
      <w:bookmarkStart w:id="4" w:name="P42_1104"/>
      <w:r w:rsidRPr="00E403B1">
        <w:rPr>
          <w:sz w:val="24"/>
          <w:szCs w:val="24"/>
        </w:rPr>
        <w:t>42.1104</w:t>
      </w:r>
      <w:bookmarkEnd w:id="4"/>
      <w:r>
        <w:rPr>
          <w:sz w:val="24"/>
          <w:szCs w:val="24"/>
        </w:rPr>
        <w:t xml:space="preserve"> Surveillance requirements.</w:t>
      </w:r>
    </w:p>
    <w:p w:rsidR="002B0763" w:rsidRPr="00CD6247" w:rsidRDefault="002B0763" w:rsidP="002B0763">
      <w:pPr>
        <w:pStyle w:val="List1"/>
      </w:pPr>
      <w:r w:rsidRPr="00CD6247">
        <w:t xml:space="preserve">(a)(iii)(D) DCMA uses the Delivery Schedule Manager (DSM) eTool to communicate potential and existing delinquencies, respond to an acceleration request, or recommend delivery extension on a contract. To access this tool and respond to any communications from DCMA and review system generated reports, contracting officers shall be registered in DCMA's External Web Access Management (EWAM) application. Registration can be requested through the </w:t>
      </w:r>
      <w:hyperlink r:id="rId26" w:history="1">
        <w:r>
          <w:rPr>
            <w:rStyle w:val="Hyperlink"/>
          </w:rPr>
          <w:t>DCMA External Web Access Management (EWAM) Application</w:t>
        </w:r>
      </w:hyperlink>
      <w:r>
        <w:t xml:space="preserve"> (</w:t>
      </w:r>
      <w:hyperlink r:id="rId27" w:history="1">
        <w:r w:rsidRPr="00337DE9">
          <w:rPr>
            <w:rStyle w:val="Hyperlink"/>
          </w:rPr>
          <w:t>https://eadf.dcma.mil/ewam2/registration/setup.do</w:t>
        </w:r>
      </w:hyperlink>
      <w:r>
        <w:t>)</w:t>
      </w:r>
      <w:r w:rsidRPr="00CD6247">
        <w:t>.</w:t>
      </w:r>
    </w:p>
    <w:p w:rsidR="002B0763" w:rsidRPr="00CD6247" w:rsidRDefault="002B0763" w:rsidP="002B0763">
      <w:pPr>
        <w:pStyle w:val="Heading2"/>
      </w:pPr>
      <w:r w:rsidRPr="00CD6247">
        <w:t>SUBPART 42.15 – CONTRACTOR PERFORMANCE INFORMATION</w:t>
      </w:r>
    </w:p>
    <w:p w:rsidR="002B0763" w:rsidRPr="00CD6247" w:rsidRDefault="002B0763" w:rsidP="002B0763">
      <w:pPr>
        <w:pStyle w:val="NoSpacing"/>
        <w:spacing w:after="240"/>
        <w:jc w:val="center"/>
        <w:rPr>
          <w:rFonts w:ascii="Times New Roman" w:hAnsi="Times New Roman"/>
          <w:i/>
          <w:sz w:val="24"/>
          <w:szCs w:val="24"/>
        </w:rPr>
      </w:pPr>
      <w:r w:rsidRPr="00CD6247">
        <w:rPr>
          <w:rFonts w:ascii="Times New Roman" w:hAnsi="Times New Roman"/>
          <w:i/>
          <w:sz w:val="24"/>
          <w:szCs w:val="24"/>
        </w:rPr>
        <w:t>(Revised September 20, 2016 through PROCLTR 2016-10</w:t>
      </w:r>
    </w:p>
    <w:p w:rsidR="002B0763" w:rsidRPr="00E403B1" w:rsidRDefault="002B0763" w:rsidP="002B0763">
      <w:pPr>
        <w:pStyle w:val="Heading3"/>
        <w:rPr>
          <w:sz w:val="24"/>
          <w:szCs w:val="24"/>
        </w:rPr>
      </w:pPr>
      <w:bookmarkStart w:id="5" w:name="P42_1503"/>
      <w:r w:rsidRPr="00E403B1">
        <w:rPr>
          <w:sz w:val="24"/>
          <w:szCs w:val="24"/>
        </w:rPr>
        <w:t>42.1503</w:t>
      </w:r>
      <w:bookmarkEnd w:id="5"/>
      <w:r w:rsidRPr="00E403B1">
        <w:rPr>
          <w:sz w:val="24"/>
          <w:szCs w:val="24"/>
        </w:rPr>
        <w:t xml:space="preserve"> Procedures.</w:t>
      </w:r>
    </w:p>
    <w:p w:rsidR="002B0763" w:rsidRPr="00CD6247" w:rsidRDefault="002B0763" w:rsidP="002B0763">
      <w:pPr>
        <w:pStyle w:val="List1"/>
      </w:pPr>
      <w:r w:rsidRPr="00CD6247">
        <w:rPr>
          <w:szCs w:val="24"/>
        </w:rPr>
        <w:t>(a)(1) Contracting officers are responsible for coordination with the technical office, quality assurance, DCMA counterparts, and other end users of the product or service, as necessary, to complete their assessment and input past performance information into CPARS. The DLA Acquisition Procurement Process and Systems Division will track compliance on a monthly basis and report to the DLA Acquisition Director.</w:t>
      </w:r>
    </w:p>
    <w:p w:rsidR="002B0763" w:rsidRPr="00CD6247" w:rsidRDefault="002B0763" w:rsidP="002B0763">
      <w:pPr>
        <w:pStyle w:val="List1"/>
      </w:pPr>
      <w:r w:rsidRPr="00CD6247">
        <w:rPr>
          <w:szCs w:val="24"/>
        </w:rPr>
        <w:t xml:space="preserve">(h)(3) The DLA Acquisition Procurement Process and Systems Division is the CPARS focal point. Each procuring organization shall designate a FAPIIS point of contact (POC) to input information provided by the contracting officer into FAPIIS. FAPIIS POCs shall notify the contracting officer when the record has been submitted. The contracting officer shall document the contract file to show that the action was reported to FAPIIS. The procuring organization FAPIIS POC shall report contract terminations to the DLA Acquisition Procurement Process and System Division FAPIIS POC via email to </w:t>
      </w:r>
      <w:hyperlink r:id="rId28" w:history="1">
        <w:r w:rsidRPr="00CD6247">
          <w:rPr>
            <w:szCs w:val="24"/>
          </w:rPr>
          <w:t>FAPIISInbox@dla.mil</w:t>
        </w:r>
      </w:hyperlink>
      <w:r w:rsidRPr="00CD6247">
        <w:rPr>
          <w:szCs w:val="24"/>
        </w:rPr>
        <w:t xml:space="preserve"> and include the contract number, date and type of termination, any change, and when data was reported to FAPIIS.</w:t>
      </w:r>
    </w:p>
    <w:p w:rsidR="002B0763" w:rsidRPr="00CD6247" w:rsidRDefault="002B0763" w:rsidP="002B0763">
      <w:pPr>
        <w:rPr>
          <w:sz w:val="24"/>
          <w:szCs w:val="24"/>
        </w:rPr>
        <w:sectPr w:rsidR="002B0763" w:rsidRPr="00CD6247" w:rsidSect="00C92932">
          <w:pgSz w:w="12240" w:h="15840"/>
          <w:pgMar w:top="1440" w:right="1440" w:bottom="1440" w:left="1440" w:header="720" w:footer="720" w:gutter="0"/>
          <w:cols w:space="720"/>
          <w:titlePg/>
          <w:docGrid w:linePitch="299"/>
        </w:sectPr>
      </w:pP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9"/>
      <w:headerReference w:type="default" r:id="rId30"/>
      <w:footerReference w:type="even" r:id="rId31"/>
      <w:footerReference w:type="default" r:id="rId3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0763" w:rsidRDefault="002B0763" w:rsidP="00926910">
      <w:r>
        <w:separator/>
      </w:r>
    </w:p>
    <w:p w:rsidR="002B0763" w:rsidRDefault="002B0763"/>
    <w:p w:rsidR="002B0763" w:rsidRDefault="002B0763"/>
  </w:endnote>
  <w:endnote w:type="continuationSeparator" w:id="0">
    <w:p w:rsidR="002B0763" w:rsidRDefault="002B0763" w:rsidP="00926910">
      <w:r>
        <w:continuationSeparator/>
      </w:r>
    </w:p>
    <w:p w:rsidR="002B0763" w:rsidRDefault="002B0763"/>
    <w:p w:rsidR="002B0763" w:rsidRDefault="002B0763"/>
  </w:endnote>
  <w:endnote w:type="continuationNotice" w:id="1">
    <w:p w:rsidR="002B0763" w:rsidRDefault="002B07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0763" w:rsidRDefault="002B0763" w:rsidP="00926910">
      <w:r>
        <w:separator/>
      </w:r>
    </w:p>
    <w:p w:rsidR="002B0763" w:rsidRDefault="002B0763"/>
    <w:p w:rsidR="002B0763" w:rsidRDefault="002B0763"/>
  </w:footnote>
  <w:footnote w:type="continuationSeparator" w:id="0">
    <w:p w:rsidR="002B0763" w:rsidRDefault="002B0763" w:rsidP="00926910">
      <w:r>
        <w:continuationSeparator/>
      </w:r>
    </w:p>
    <w:p w:rsidR="002B0763" w:rsidRDefault="002B0763"/>
    <w:p w:rsidR="002B0763" w:rsidRDefault="002B0763"/>
  </w:footnote>
  <w:footnote w:type="continuationNotice" w:id="1">
    <w:p w:rsidR="002B0763" w:rsidRDefault="002B07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3"/>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1C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42.docx" TargetMode="External"/><Relationship Id="rId18" Type="http://schemas.openxmlformats.org/officeDocument/2006/relationships/hyperlink" Target="https://www.esd.whs.mil/Portals/54/Documents/DD/issuances/dodi/764002p.pdf" TargetMode="External"/><Relationship Id="rId26" Type="http://schemas.openxmlformats.org/officeDocument/2006/relationships/hyperlink" Target="https://eadf.dcma.mil/ewam2/registration/setup.do" TargetMode="External"/><Relationship Id="rId3" Type="http://schemas.openxmlformats.org/officeDocument/2006/relationships/customXml" Target="../customXml/item3.xml"/><Relationship Id="rId21" Type="http://schemas.openxmlformats.org/officeDocument/2006/relationships/hyperlink" Target="DLAD-Part-7.docx"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DLAD-Part-42.docx" TargetMode="External"/><Relationship Id="rId17" Type="http://schemas.openxmlformats.org/officeDocument/2006/relationships/hyperlink" Target="https://www.esd.whs.mil/Portals/54/Documents/DD/issuances/dodi/764002p.pdf" TargetMode="External"/><Relationship Id="rId25" Type="http://schemas.openxmlformats.org/officeDocument/2006/relationships/hyperlink" Target="https://issuances.dla.mil/Published_Issuances/Enterprise%20Status%20Post%20Award%20Request%20(PAR).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DLAD-Part-42.docx" TargetMode="External"/><Relationship Id="rId20" Type="http://schemas.openxmlformats.org/officeDocument/2006/relationships/hyperlink" Target="https://eadf.dcma.mil/ewam2/registration/setup.do"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42.docx" TargetMode="External"/><Relationship Id="rId24" Type="http://schemas.openxmlformats.org/officeDocument/2006/relationships/hyperlink" Target="https://issuances.dla.mil/Published_Issuances/Enterprise%20Status%20Post%20Award%20Request%20(PAR).pdf"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DLAD-Part-42.docx" TargetMode="External"/><Relationship Id="rId23" Type="http://schemas.openxmlformats.org/officeDocument/2006/relationships/hyperlink" Target="https://pubmini.dcma.mil/CMT_View/CMT_View_Search.cfm" TargetMode="External"/><Relationship Id="rId28" Type="http://schemas.openxmlformats.org/officeDocument/2006/relationships/hyperlink" Target="mailto:FAPIISInbox@dla.mil" TargetMode="External"/><Relationship Id="rId10" Type="http://schemas.openxmlformats.org/officeDocument/2006/relationships/endnotes" Target="endnotes.xml"/><Relationship Id="rId19" Type="http://schemas.openxmlformats.org/officeDocument/2006/relationships/hyperlink" Target="https://eadf.dcma.mil/ewam2/registration/setup.do"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42.docx" TargetMode="External"/><Relationship Id="rId22" Type="http://schemas.openxmlformats.org/officeDocument/2006/relationships/hyperlink" Target="https://pubmini.dcma.mil/CMT_View/CMT_View_Search.cfm" TargetMode="External"/><Relationship Id="rId27" Type="http://schemas.openxmlformats.org/officeDocument/2006/relationships/hyperlink" Target="https://eadf.dcma.mil/ewam2/registration/setup.do"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1556</Words>
  <Characters>8873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10409</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2021-09-03T18:35:00Z</dcterms:created>
  <dcterms:modified xsi:type="dcterms:W3CDTF">2021-09-03T18:35:00Z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