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E4C" w14:textId="77777777" w:rsidR="00866A1F" w:rsidRPr="003B335B" w:rsidRDefault="00866A1F" w:rsidP="00866A1F">
      <w:pPr>
        <w:pStyle w:val="Heading1"/>
        <w:rPr>
          <w:sz w:val="24"/>
          <w:szCs w:val="24"/>
        </w:rPr>
      </w:pPr>
      <w:bookmarkStart w:id="0" w:name="P27"/>
      <w:r w:rsidRPr="003B335B">
        <w:rPr>
          <w:sz w:val="24"/>
          <w:szCs w:val="24"/>
        </w:rPr>
        <w:t>PART 27 – PATENTS, DATA, AND COPYRIGHTS</w:t>
      </w:r>
    </w:p>
    <w:p w14:paraId="1B7C04B1" w14:textId="77777777" w:rsidR="00866A1F" w:rsidRPr="00577C8F" w:rsidRDefault="00866A1F" w:rsidP="00866A1F">
      <w:pPr>
        <w:spacing w:after="240"/>
        <w:jc w:val="center"/>
        <w:rPr>
          <w:i/>
          <w:sz w:val="24"/>
          <w:szCs w:val="24"/>
        </w:rPr>
      </w:pPr>
      <w:r w:rsidRPr="00577C8F">
        <w:rPr>
          <w:i/>
          <w:sz w:val="24"/>
          <w:szCs w:val="24"/>
        </w:rPr>
        <w:t>(Revised March 23, 2020 through PROCLTR 2020-01)</w:t>
      </w:r>
      <w:commentRangeStart w:id="1"/>
      <w:commentRangeEnd w:id="1"/>
      <w:r w:rsidRPr="00577C8F">
        <w:rPr>
          <w:rStyle w:val="CommentReference"/>
          <w:sz w:val="24"/>
          <w:szCs w:val="24"/>
        </w:rPr>
        <w:commentReference w:id="1"/>
      </w:r>
    </w:p>
    <w:bookmarkEnd w:id="0"/>
    <w:p w14:paraId="7FCCADEC" w14:textId="77777777" w:rsidR="00866A1F" w:rsidRPr="00577C8F" w:rsidRDefault="00866A1F" w:rsidP="00866A1F">
      <w:pPr>
        <w:jc w:val="center"/>
        <w:rPr>
          <w:b/>
          <w:sz w:val="24"/>
          <w:szCs w:val="24"/>
        </w:rPr>
      </w:pPr>
      <w:r w:rsidRPr="00577C8F">
        <w:rPr>
          <w:b/>
          <w:sz w:val="24"/>
          <w:szCs w:val="24"/>
        </w:rPr>
        <w:t>TABLE OF CONTENTS</w:t>
      </w:r>
    </w:p>
    <w:p w14:paraId="6A393CB4" w14:textId="77777777" w:rsidR="00866A1F" w:rsidRPr="00577C8F" w:rsidRDefault="00866A1F" w:rsidP="00866A1F">
      <w:pPr>
        <w:pStyle w:val="NoSpacing"/>
        <w:rPr>
          <w:rFonts w:ascii="Times New Roman" w:hAnsi="Times New Roman"/>
          <w:b/>
          <w:sz w:val="24"/>
          <w:szCs w:val="24"/>
        </w:rPr>
      </w:pPr>
      <w:r w:rsidRPr="00577C8F">
        <w:rPr>
          <w:rFonts w:ascii="Times New Roman" w:hAnsi="Times New Roman"/>
          <w:b/>
          <w:sz w:val="24"/>
          <w:szCs w:val="24"/>
        </w:rPr>
        <w:t>SUBPART 27.1 - GENERAL</w:t>
      </w:r>
    </w:p>
    <w:p w14:paraId="30DABCE7" w14:textId="77777777" w:rsidR="00866A1F" w:rsidRPr="00577C8F" w:rsidRDefault="00866A1F" w:rsidP="00866A1F">
      <w:pPr>
        <w:pStyle w:val="NoSpacing"/>
        <w:tabs>
          <w:tab w:val="left" w:pos="990"/>
        </w:tabs>
        <w:rPr>
          <w:rFonts w:ascii="Times New Roman" w:hAnsi="Times New Roman"/>
          <w:sz w:val="24"/>
          <w:szCs w:val="24"/>
        </w:rPr>
      </w:pPr>
      <w:hyperlink w:anchor="P27_101" w:history="1">
        <w:r w:rsidRPr="00577C8F">
          <w:rPr>
            <w:rStyle w:val="Hyperlink"/>
            <w:rFonts w:ascii="Times New Roman" w:hAnsi="Times New Roman"/>
            <w:sz w:val="24"/>
            <w:szCs w:val="24"/>
          </w:rPr>
          <w:t>27.101</w:t>
        </w:r>
      </w:hyperlink>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B76454">
        <w:rPr>
          <w:rStyle w:val="Hyperlink"/>
          <w:rFonts w:ascii="Times New Roman" w:hAnsi="Times New Roman"/>
          <w:sz w:val="24"/>
          <w:szCs w:val="24"/>
          <w:u w:val="none"/>
        </w:rPr>
        <w:tab/>
      </w:r>
      <w:r w:rsidRPr="00577C8F">
        <w:rPr>
          <w:rFonts w:ascii="Times New Roman" w:hAnsi="Times New Roman"/>
          <w:sz w:val="24"/>
          <w:szCs w:val="24"/>
        </w:rPr>
        <w:t>Applicability.</w:t>
      </w:r>
    </w:p>
    <w:p w14:paraId="528DB8E4" w14:textId="77777777" w:rsidR="00866A1F" w:rsidRPr="00577C8F" w:rsidRDefault="00866A1F" w:rsidP="00866A1F">
      <w:pPr>
        <w:pStyle w:val="NoSpacing"/>
        <w:rPr>
          <w:rFonts w:ascii="Times New Roman" w:hAnsi="Times New Roman"/>
          <w:b/>
          <w:sz w:val="24"/>
          <w:szCs w:val="24"/>
        </w:rPr>
      </w:pPr>
      <w:r w:rsidRPr="00577C8F">
        <w:rPr>
          <w:rFonts w:ascii="Times New Roman" w:hAnsi="Times New Roman"/>
          <w:b/>
          <w:sz w:val="24"/>
          <w:szCs w:val="24"/>
        </w:rPr>
        <w:t>SUBPART 27.2 – PATENTS</w:t>
      </w:r>
    </w:p>
    <w:p w14:paraId="21FAEDE7" w14:textId="77777777" w:rsidR="00866A1F" w:rsidRPr="00577C8F" w:rsidRDefault="00866A1F" w:rsidP="00866A1F">
      <w:pPr>
        <w:pStyle w:val="NoSpacing"/>
        <w:rPr>
          <w:rFonts w:ascii="Times New Roman" w:hAnsi="Times New Roman"/>
          <w:sz w:val="24"/>
          <w:szCs w:val="24"/>
          <w:lang w:val="en"/>
        </w:rPr>
      </w:pPr>
      <w:hyperlink w:anchor="P27_201" w:history="1">
        <w:r w:rsidRPr="00577C8F">
          <w:rPr>
            <w:rStyle w:val="Hyperlink"/>
            <w:rFonts w:ascii="Times New Roman" w:hAnsi="Times New Roman"/>
            <w:sz w:val="24"/>
            <w:szCs w:val="24"/>
            <w:lang w:val="en"/>
          </w:rPr>
          <w:t>27.201</w:t>
        </w:r>
      </w:hyperlink>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B76454">
        <w:rPr>
          <w:rStyle w:val="Hyperlink"/>
          <w:rFonts w:ascii="Times New Roman" w:hAnsi="Times New Roman"/>
          <w:sz w:val="24"/>
          <w:szCs w:val="24"/>
          <w:u w:val="none"/>
          <w:lang w:val="en"/>
        </w:rPr>
        <w:tab/>
      </w:r>
      <w:r w:rsidRPr="00577C8F">
        <w:rPr>
          <w:rFonts w:ascii="Times New Roman" w:hAnsi="Times New Roman"/>
          <w:sz w:val="24"/>
          <w:szCs w:val="24"/>
          <w:lang w:val="en"/>
        </w:rPr>
        <w:t>Patent and copyright infringement liability.</w:t>
      </w:r>
    </w:p>
    <w:p w14:paraId="3285800D" w14:textId="77777777" w:rsidR="00866A1F" w:rsidRPr="00577C8F" w:rsidRDefault="00866A1F" w:rsidP="00866A1F">
      <w:pPr>
        <w:rPr>
          <w:b/>
          <w:sz w:val="24"/>
          <w:szCs w:val="24"/>
        </w:rPr>
      </w:pPr>
      <w:hyperlink w:anchor="P27_201_2" w:history="1">
        <w:r w:rsidRPr="00577C8F">
          <w:rPr>
            <w:rStyle w:val="Hyperlink"/>
            <w:bCs/>
            <w:sz w:val="24"/>
            <w:szCs w:val="24"/>
            <w:lang w:val="en"/>
          </w:rPr>
          <w:t>27.201-2</w:t>
        </w:r>
      </w:hyperlink>
      <w:r w:rsidRPr="00B76454">
        <w:rPr>
          <w:rStyle w:val="Hyperlink"/>
          <w:bCs/>
          <w:sz w:val="24"/>
          <w:szCs w:val="24"/>
          <w:u w:val="none"/>
          <w:lang w:val="en"/>
        </w:rPr>
        <w:tab/>
      </w:r>
      <w:r w:rsidRPr="00B76454">
        <w:rPr>
          <w:rStyle w:val="Hyperlink"/>
          <w:bCs/>
          <w:sz w:val="24"/>
          <w:szCs w:val="24"/>
          <w:u w:val="none"/>
          <w:lang w:val="en"/>
        </w:rPr>
        <w:tab/>
      </w:r>
      <w:r w:rsidRPr="00577C8F">
        <w:rPr>
          <w:bCs/>
          <w:sz w:val="24"/>
          <w:szCs w:val="24"/>
          <w:lang w:val="en"/>
        </w:rPr>
        <w:t>Contract clauses.</w:t>
      </w:r>
      <w:r w:rsidRPr="00577C8F">
        <w:rPr>
          <w:b/>
          <w:sz w:val="24"/>
          <w:szCs w:val="24"/>
        </w:rPr>
        <w:t xml:space="preserve"> </w:t>
      </w:r>
    </w:p>
    <w:p w14:paraId="468E30FD" w14:textId="77777777" w:rsidR="00866A1F" w:rsidRPr="00577C8F" w:rsidRDefault="00866A1F" w:rsidP="00866A1F">
      <w:pPr>
        <w:rPr>
          <w:sz w:val="24"/>
          <w:szCs w:val="24"/>
        </w:rPr>
      </w:pPr>
      <w:r w:rsidRPr="00577C8F">
        <w:rPr>
          <w:b/>
          <w:sz w:val="24"/>
          <w:szCs w:val="24"/>
        </w:rPr>
        <w:t>SUBPART 27.71--RIGHTS IN TECHNICAL DATA</w:t>
      </w:r>
    </w:p>
    <w:p w14:paraId="57FA3193"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Pr="00577C8F">
          <w:rPr>
            <w:rStyle w:val="Hyperlink"/>
            <w:sz w:val="24"/>
            <w:szCs w:val="24"/>
          </w:rPr>
          <w:t>27.7103-6</w:t>
        </w:r>
      </w:hyperlink>
      <w:r w:rsidRPr="00577C8F">
        <w:rPr>
          <w:sz w:val="24"/>
          <w:szCs w:val="24"/>
        </w:rPr>
        <w:tab/>
      </w:r>
      <w:r w:rsidRPr="00577C8F">
        <w:rPr>
          <w:sz w:val="24"/>
          <w:szCs w:val="24"/>
        </w:rPr>
        <w:tab/>
        <w:t>Contract clauses.</w:t>
      </w:r>
    </w:p>
    <w:p w14:paraId="344CC22C"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14:paraId="7FC1EFCB"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Pr="00577C8F">
          <w:rPr>
            <w:rStyle w:val="Hyperlink"/>
            <w:sz w:val="24"/>
            <w:szCs w:val="24"/>
          </w:rPr>
          <w:t>27.9001</w:t>
        </w:r>
      </w:hyperlink>
      <w:r w:rsidRPr="00577C8F">
        <w:rPr>
          <w:sz w:val="24"/>
          <w:szCs w:val="24"/>
        </w:rPr>
        <w:tab/>
      </w:r>
      <w:r w:rsidRPr="00577C8F">
        <w:rPr>
          <w:sz w:val="24"/>
          <w:szCs w:val="24"/>
        </w:rPr>
        <w:tab/>
        <w:t>Policy.</w:t>
      </w:r>
    </w:p>
    <w:p w14:paraId="4E192878"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Pr="00577C8F">
          <w:rPr>
            <w:rStyle w:val="Hyperlink"/>
            <w:sz w:val="24"/>
            <w:szCs w:val="24"/>
          </w:rPr>
          <w:t>27.9002</w:t>
        </w:r>
      </w:hyperlink>
      <w:r w:rsidRPr="00577C8F">
        <w:rPr>
          <w:sz w:val="24"/>
          <w:szCs w:val="24"/>
        </w:rPr>
        <w:tab/>
      </w:r>
      <w:r w:rsidRPr="00577C8F">
        <w:rPr>
          <w:sz w:val="24"/>
          <w:szCs w:val="24"/>
        </w:rPr>
        <w:tab/>
        <w:t>Data subject to export control.</w:t>
      </w:r>
    </w:p>
    <w:p w14:paraId="363268D3"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Pr="00577C8F">
          <w:rPr>
            <w:rStyle w:val="Hyperlink"/>
            <w:sz w:val="24"/>
            <w:szCs w:val="24"/>
          </w:rPr>
          <w:t>27.9003</w:t>
        </w:r>
      </w:hyperlink>
      <w:r w:rsidRPr="00577C8F">
        <w:rPr>
          <w:sz w:val="24"/>
          <w:szCs w:val="24"/>
        </w:rPr>
        <w:tab/>
      </w:r>
      <w:r w:rsidRPr="00577C8F">
        <w:rPr>
          <w:sz w:val="24"/>
          <w:szCs w:val="24"/>
        </w:rPr>
        <w:tab/>
        <w:t>Contractor eligibility.</w:t>
      </w:r>
    </w:p>
    <w:p w14:paraId="46EC2957" w14:textId="77777777" w:rsidR="00866A1F" w:rsidRPr="00577C8F" w:rsidRDefault="00866A1F" w:rsidP="00866A1F">
      <w:pPr>
        <w:pStyle w:val="Heading2"/>
      </w:pPr>
      <w:r w:rsidRPr="00577C8F">
        <w:t>SUBPART 27.1 – GENERAL</w:t>
      </w:r>
    </w:p>
    <w:p w14:paraId="6CFABB68" w14:textId="77777777" w:rsidR="00866A1F" w:rsidRPr="00577C8F" w:rsidRDefault="00866A1F" w:rsidP="00866A1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69F46596" w14:textId="77777777" w:rsidR="00866A1F" w:rsidRPr="000232A1" w:rsidRDefault="00866A1F" w:rsidP="00866A1F">
      <w:pPr>
        <w:pStyle w:val="Heading3"/>
        <w:rPr>
          <w:sz w:val="24"/>
          <w:szCs w:val="24"/>
        </w:rPr>
      </w:pPr>
      <w:bookmarkStart w:id="2" w:name="P27_101"/>
      <w:r w:rsidRPr="000232A1">
        <w:rPr>
          <w:sz w:val="24"/>
          <w:szCs w:val="24"/>
        </w:rPr>
        <w:t xml:space="preserve">27.101 </w:t>
      </w:r>
      <w:bookmarkEnd w:id="2"/>
      <w:r w:rsidRPr="000232A1">
        <w:rPr>
          <w:sz w:val="24"/>
          <w:szCs w:val="24"/>
        </w:rPr>
        <w:t>Applicability.</w:t>
      </w:r>
    </w:p>
    <w:p w14:paraId="5FEA1F68" w14:textId="77777777" w:rsidR="00866A1F" w:rsidRPr="00577C8F" w:rsidRDefault="00866A1F" w:rsidP="00866A1F">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33C3B28C" w14:textId="77777777" w:rsidR="00866A1F" w:rsidRPr="00577C8F" w:rsidRDefault="00866A1F" w:rsidP="00866A1F">
      <w:pPr>
        <w:pStyle w:val="Heading2"/>
      </w:pPr>
      <w:r w:rsidRPr="00577C8F">
        <w:t>SUBPART 27.2 – PATENTS</w:t>
      </w:r>
    </w:p>
    <w:p w14:paraId="75A56F8F" w14:textId="77777777" w:rsidR="00866A1F" w:rsidRPr="00577C8F" w:rsidRDefault="00866A1F" w:rsidP="00866A1F">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66B5C4D2" w14:textId="77777777" w:rsidR="00866A1F" w:rsidRPr="00577C8F" w:rsidRDefault="00866A1F" w:rsidP="00866A1F">
      <w:pPr>
        <w:pStyle w:val="Heading3"/>
        <w:spacing w:after="240"/>
        <w:rPr>
          <w:sz w:val="24"/>
          <w:szCs w:val="24"/>
          <w:lang w:val="en"/>
        </w:rPr>
      </w:pPr>
      <w:bookmarkStart w:id="3" w:name="P27_201"/>
      <w:r w:rsidRPr="00577C8F">
        <w:rPr>
          <w:sz w:val="24"/>
          <w:szCs w:val="24"/>
          <w:lang w:val="en"/>
        </w:rPr>
        <w:t xml:space="preserve">27.201 </w:t>
      </w:r>
      <w:bookmarkEnd w:id="3"/>
      <w:r w:rsidRPr="00577C8F">
        <w:rPr>
          <w:sz w:val="24"/>
          <w:szCs w:val="24"/>
          <w:lang w:val="en"/>
        </w:rPr>
        <w:t>Patent and copyright infringement liability.</w:t>
      </w:r>
    </w:p>
    <w:p w14:paraId="664CA080" w14:textId="77777777" w:rsidR="00866A1F" w:rsidRPr="00577C8F" w:rsidRDefault="00866A1F" w:rsidP="00866A1F">
      <w:pPr>
        <w:pStyle w:val="Heading3"/>
        <w:rPr>
          <w:sz w:val="24"/>
          <w:szCs w:val="24"/>
          <w:lang w:val="en"/>
        </w:rPr>
      </w:pPr>
      <w:bookmarkStart w:id="4" w:name="P27_201_1"/>
      <w:bookmarkStart w:id="5" w:name="P27_201_2"/>
      <w:r w:rsidRPr="00577C8F">
        <w:rPr>
          <w:sz w:val="24"/>
          <w:szCs w:val="24"/>
          <w:lang w:val="en"/>
        </w:rPr>
        <w:t>27.201-2 Contract clauses.</w:t>
      </w:r>
    </w:p>
    <w:p w14:paraId="24B64424" w14:textId="77777777" w:rsidR="00866A1F" w:rsidRPr="00577C8F" w:rsidRDefault="00866A1F" w:rsidP="00866A1F">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7F60D34B" w14:textId="77777777" w:rsidR="00866A1F" w:rsidRPr="00577C8F" w:rsidRDefault="00866A1F" w:rsidP="00866A1F">
      <w:pPr>
        <w:pStyle w:val="Heading2"/>
      </w:pPr>
      <w:r w:rsidRPr="00577C8F">
        <w:t>SUBPART 27.71--RIGHTS IN TECHNICAL DATA</w:t>
      </w:r>
    </w:p>
    <w:p w14:paraId="4096E99E" w14:textId="77777777" w:rsidR="00866A1F" w:rsidRPr="00577C8F" w:rsidRDefault="00866A1F" w:rsidP="00866A1F">
      <w:pPr>
        <w:spacing w:after="240"/>
        <w:jc w:val="center"/>
        <w:rPr>
          <w:b/>
          <w:sz w:val="24"/>
          <w:szCs w:val="24"/>
        </w:rPr>
      </w:pPr>
      <w:r w:rsidRPr="00577C8F">
        <w:rPr>
          <w:i/>
          <w:sz w:val="24"/>
          <w:szCs w:val="24"/>
        </w:rPr>
        <w:t>(Added March 23, 2020 in accordance with PROCLTR 2020-01)</w:t>
      </w:r>
    </w:p>
    <w:p w14:paraId="788D3886" w14:textId="77777777" w:rsidR="00866A1F" w:rsidRPr="00577C8F" w:rsidRDefault="00866A1F" w:rsidP="00866A1F">
      <w:pPr>
        <w:pStyle w:val="Heading3"/>
        <w:rPr>
          <w:sz w:val="24"/>
          <w:szCs w:val="24"/>
        </w:rPr>
      </w:pPr>
      <w:bookmarkStart w:id="6" w:name="P27_7103_6"/>
      <w:r w:rsidRPr="00577C8F">
        <w:rPr>
          <w:sz w:val="24"/>
          <w:szCs w:val="24"/>
        </w:rPr>
        <w:t>27.7103-6</w:t>
      </w:r>
      <w:bookmarkEnd w:id="6"/>
      <w:r w:rsidRPr="00577C8F">
        <w:rPr>
          <w:sz w:val="24"/>
          <w:szCs w:val="24"/>
        </w:rPr>
        <w:t xml:space="preserve"> Contract clauses.</w:t>
      </w:r>
    </w:p>
    <w:p w14:paraId="5CBE5C9F" w14:textId="77777777" w:rsidR="00866A1F" w:rsidRPr="00577C8F" w:rsidRDefault="00866A1F" w:rsidP="00866A1F">
      <w:pPr>
        <w:spacing w:after="600"/>
        <w:rPr>
          <w:b/>
          <w:sz w:val="24"/>
          <w:szCs w:val="24"/>
        </w:rPr>
      </w:pPr>
      <w:r w:rsidRPr="00577C8F">
        <w:rPr>
          <w:sz w:val="24"/>
          <w:szCs w:val="24"/>
        </w:rPr>
        <w:t>(c) Contracting officers shall insert the clause at DFARS 252.227-7025, Limitations on the Use or Disclosure of Government</w:t>
      </w:r>
      <w:r>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0DF427FE" w14:textId="77777777" w:rsidR="00866A1F" w:rsidRPr="00577C8F" w:rsidRDefault="00866A1F" w:rsidP="00866A1F">
      <w:pPr>
        <w:pStyle w:val="Heading2"/>
      </w:pPr>
      <w:r w:rsidRPr="00577C8F">
        <w:t>SUBPART 27.90 – EXPORT CONTROL OF TECHNICAL DATA</w:t>
      </w:r>
    </w:p>
    <w:p w14:paraId="6AAEE1C9"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5218C3CB" w14:textId="77777777" w:rsidR="00866A1F" w:rsidRPr="00577C8F" w:rsidRDefault="00866A1F" w:rsidP="00866A1F">
      <w:pPr>
        <w:pStyle w:val="Heading3"/>
        <w:rPr>
          <w:sz w:val="24"/>
          <w:szCs w:val="24"/>
        </w:rPr>
      </w:pPr>
      <w:bookmarkStart w:id="7" w:name="P27_901"/>
      <w:bookmarkStart w:id="8" w:name="P27_9001"/>
      <w:r w:rsidRPr="00577C8F">
        <w:rPr>
          <w:sz w:val="24"/>
          <w:szCs w:val="24"/>
        </w:rPr>
        <w:t>27.9001</w:t>
      </w:r>
      <w:bookmarkEnd w:id="7"/>
      <w:bookmarkEnd w:id="8"/>
      <w:commentRangeStart w:id="9"/>
      <w:r w:rsidRPr="00577C8F">
        <w:rPr>
          <w:sz w:val="24"/>
          <w:szCs w:val="24"/>
        </w:rPr>
        <w:t xml:space="preserve"> </w:t>
      </w:r>
      <w:commentRangeEnd w:id="9"/>
      <w:r w:rsidRPr="00577C8F">
        <w:rPr>
          <w:rStyle w:val="CommentReference"/>
          <w:sz w:val="24"/>
          <w:szCs w:val="24"/>
        </w:rPr>
        <w:commentReference w:id="9"/>
      </w:r>
      <w:r w:rsidRPr="00577C8F">
        <w:rPr>
          <w:sz w:val="24"/>
          <w:szCs w:val="24"/>
        </w:rPr>
        <w:t>Policy.</w:t>
      </w:r>
    </w:p>
    <w:p w14:paraId="1B1C328B"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23CBB246" w14:textId="77777777" w:rsidR="00866A1F" w:rsidRPr="00577C8F" w:rsidRDefault="00866A1F" w:rsidP="00866A1F">
      <w:pPr>
        <w:pStyle w:val="Heading3"/>
        <w:rPr>
          <w:sz w:val="24"/>
          <w:szCs w:val="24"/>
        </w:rPr>
      </w:pPr>
      <w:bookmarkStart w:id="10" w:name="P27_902"/>
      <w:bookmarkStart w:id="11" w:name="P27_9002"/>
      <w:r w:rsidRPr="00577C8F">
        <w:rPr>
          <w:sz w:val="24"/>
          <w:szCs w:val="24"/>
        </w:rPr>
        <w:t>27.9002</w:t>
      </w:r>
      <w:bookmarkEnd w:id="10"/>
      <w:bookmarkEnd w:id="11"/>
      <w:commentRangeStart w:id="12"/>
      <w:r w:rsidRPr="00577C8F">
        <w:rPr>
          <w:sz w:val="24"/>
          <w:szCs w:val="24"/>
        </w:rPr>
        <w:t xml:space="preserve"> </w:t>
      </w:r>
      <w:commentRangeEnd w:id="12"/>
      <w:r w:rsidRPr="00577C8F">
        <w:rPr>
          <w:rStyle w:val="CommentReference"/>
          <w:sz w:val="24"/>
          <w:szCs w:val="24"/>
        </w:rPr>
        <w:commentReference w:id="12"/>
      </w:r>
      <w:r w:rsidRPr="00577C8F">
        <w:rPr>
          <w:sz w:val="24"/>
          <w:szCs w:val="24"/>
        </w:rPr>
        <w:t>Data subject to export control.</w:t>
      </w:r>
    </w:p>
    <w:p w14:paraId="5882EE9C" w14:textId="77777777" w:rsidR="00866A1F" w:rsidRPr="00577C8F"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3208C5F1" w14:textId="77777777" w:rsidR="00866A1F" w:rsidRPr="00577C8F" w:rsidRDefault="00866A1F" w:rsidP="00866A1F">
      <w:pPr>
        <w:pStyle w:val="Heading3"/>
        <w:rPr>
          <w:sz w:val="24"/>
          <w:szCs w:val="24"/>
        </w:rPr>
      </w:pPr>
      <w:bookmarkStart w:id="13" w:name="P27_903"/>
      <w:bookmarkStart w:id="14" w:name="P27_9003"/>
      <w:r w:rsidRPr="00577C8F">
        <w:rPr>
          <w:sz w:val="24"/>
          <w:szCs w:val="24"/>
        </w:rPr>
        <w:t>27.9003</w:t>
      </w:r>
      <w:bookmarkEnd w:id="13"/>
      <w:commentRangeStart w:id="15"/>
      <w:r w:rsidRPr="00577C8F">
        <w:rPr>
          <w:sz w:val="24"/>
          <w:szCs w:val="24"/>
        </w:rPr>
        <w:t xml:space="preserve"> </w:t>
      </w:r>
      <w:commentRangeEnd w:id="15"/>
      <w:r w:rsidRPr="00577C8F">
        <w:rPr>
          <w:rStyle w:val="CommentReference"/>
          <w:sz w:val="24"/>
          <w:szCs w:val="24"/>
        </w:rPr>
        <w:commentReference w:id="15"/>
      </w:r>
      <w:bookmarkEnd w:id="14"/>
      <w:r w:rsidRPr="00577C8F">
        <w:rPr>
          <w:sz w:val="24"/>
          <w:szCs w:val="24"/>
        </w:rPr>
        <w:t>Contractor eligibility.</w:t>
      </w:r>
    </w:p>
    <w:p w14:paraId="159E7E47" w14:textId="77777777" w:rsidR="00866A1F" w:rsidRPr="00CD6247" w:rsidRDefault="00866A1F" w:rsidP="00866A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16"/>
      <w:commentRangeEnd w:id="16"/>
      <w:r w:rsidRPr="00577C8F">
        <w:rPr>
          <w:rStyle w:val="CommentReference"/>
          <w:sz w:val="24"/>
          <w:szCs w:val="24"/>
        </w:rPr>
        <w:commentReference w:id="16"/>
      </w:r>
    </w:p>
    <w:p w14:paraId="7C5F2775" w14:textId="77777777" w:rsidR="00866A1F" w:rsidRPr="00CD6247" w:rsidRDefault="00866A1F" w:rsidP="00866A1F">
      <w:pPr>
        <w:rPr>
          <w:sz w:val="24"/>
          <w:szCs w:val="24"/>
        </w:rPr>
        <w:sectPr w:rsidR="00866A1F" w:rsidRPr="00CD6247" w:rsidSect="00C9293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299"/>
        </w:sectPr>
      </w:pPr>
    </w:p>
    <w:bookmarkEnd w:id="4"/>
    <w:bookmarkEnd w:id="5"/>
    <w:p w14:paraId="6979A02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19T16:56:00Z" w:initials="BARCDA(">
    <w:p w14:paraId="5DBDE7AF" w14:textId="77777777" w:rsidR="00866A1F" w:rsidRDefault="00866A1F" w:rsidP="00866A1F">
      <w:pPr>
        <w:pStyle w:val="CommentText"/>
      </w:pPr>
      <w:r>
        <w:rPr>
          <w:rStyle w:val="CommentReference"/>
        </w:rPr>
        <w:annotationRef/>
      </w:r>
      <w:r>
        <w:t>On 9/19/16, the DLAD Editor replaced DLAD Part 27 in its entirety IAW PROCLTR 16-09.</w:t>
      </w:r>
    </w:p>
  </w:comment>
  <w:comment w:id="9" w:author="Burleigh, Anne R CIV DLA ACQUISITION (USA)" w:date="2020-03-21T14:37:00Z" w:initials="BARCDA(">
    <w:p w14:paraId="596E04EE" w14:textId="77777777" w:rsidR="00866A1F" w:rsidRDefault="00866A1F" w:rsidP="00866A1F">
      <w:pPr>
        <w:pStyle w:val="CommentText"/>
      </w:pPr>
      <w:r>
        <w:rPr>
          <w:rStyle w:val="CommentReference"/>
        </w:rPr>
        <w:annotationRef/>
      </w:r>
      <w:r>
        <w:t>On 3/21/20, the DLAD Editor corrected the section numbering to read “27.9001” instead of “27.901”, consistent with the intent of PROCLTR 20-01.</w:t>
      </w:r>
    </w:p>
  </w:comment>
  <w:comment w:id="12" w:author="Burleigh, Anne R CIV DLA ACQUISITION (USA)" w:date="2020-03-21T14:38:00Z" w:initials="BARCDA(">
    <w:p w14:paraId="6CC00EED" w14:textId="77777777" w:rsidR="00866A1F" w:rsidRDefault="00866A1F" w:rsidP="00866A1F">
      <w:pPr>
        <w:pStyle w:val="CommentText"/>
      </w:pPr>
      <w:r>
        <w:rPr>
          <w:rStyle w:val="CommentReference"/>
        </w:rPr>
        <w:annotationRef/>
      </w:r>
      <w:r>
        <w:t>On 3/21/20, the DLAD Editor corrected the section numbering to read “27.9002” instead of “27.902”, consistent with the intent of PROCLTR 20-01.</w:t>
      </w:r>
    </w:p>
  </w:comment>
  <w:comment w:id="15" w:author="Burleigh, Anne R CIV DLA ACQUISITION (USA)" w:date="2020-03-21T14:39:00Z" w:initials="BARCDA(">
    <w:p w14:paraId="1F098C97" w14:textId="77777777" w:rsidR="00866A1F" w:rsidRDefault="00866A1F" w:rsidP="00866A1F">
      <w:pPr>
        <w:pStyle w:val="CommentText"/>
      </w:pPr>
      <w:r>
        <w:rPr>
          <w:rStyle w:val="CommentReference"/>
        </w:rPr>
        <w:annotationRef/>
      </w:r>
      <w:r>
        <w:t>On 3/21/20, the DLAD Editor corrected the section numbering to read “27.9003” instead of “27.903”, consistent with the intent of PROCLTR 20-01.</w:t>
      </w:r>
    </w:p>
  </w:comment>
  <w:comment w:id="16" w:author="Burleigh, Anne R CIV DLA ACQUISITION (USA)" w:date="2019-02-19T17:31:00Z" w:initials="BARCDA(">
    <w:p w14:paraId="4C634550" w14:textId="77777777" w:rsidR="00866A1F" w:rsidRDefault="00866A1F" w:rsidP="00866A1F">
      <w:pPr>
        <w:pStyle w:val="CommentText"/>
      </w:pPr>
      <w:r>
        <w:rPr>
          <w:rStyle w:val="CommentReference"/>
        </w:rPr>
        <w:annotationRef/>
      </w:r>
      <w:r>
        <w:t>On 10/21/15, the DLAD Editor deleted Subpart 27.71 IAW PROCLTR 15-12.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DE7AF" w15:done="0"/>
  <w15:commentEx w15:paraId="596E04EE" w15:done="0"/>
  <w15:commentEx w15:paraId="6CC00EED" w15:done="0"/>
  <w15:commentEx w15:paraId="1F098C97" w15:done="0"/>
  <w15:commentEx w15:paraId="4C6345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DE7AF" w16cid:durableId="23678371"/>
  <w16cid:commentId w16cid:paraId="596E04EE" w16cid:durableId="23678372"/>
  <w16cid:commentId w16cid:paraId="6CC00EED" w16cid:durableId="23678373"/>
  <w16cid:commentId w16cid:paraId="1F098C97" w16cid:durableId="23678374"/>
  <w16cid:commentId w16cid:paraId="4C634550" w16cid:durableId="23678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266C" w14:textId="77777777" w:rsidR="00866A1F" w:rsidRDefault="00866A1F" w:rsidP="00926910">
      <w:r>
        <w:separator/>
      </w:r>
    </w:p>
    <w:p w14:paraId="3ED2BF79" w14:textId="77777777" w:rsidR="00866A1F" w:rsidRDefault="00866A1F"/>
    <w:p w14:paraId="36084E50" w14:textId="77777777" w:rsidR="00866A1F" w:rsidRDefault="00866A1F"/>
  </w:endnote>
  <w:endnote w:type="continuationSeparator" w:id="0">
    <w:p w14:paraId="62149719" w14:textId="77777777" w:rsidR="00866A1F" w:rsidRDefault="00866A1F" w:rsidP="00926910">
      <w:r>
        <w:continuationSeparator/>
      </w:r>
    </w:p>
    <w:p w14:paraId="4AF5890D" w14:textId="77777777" w:rsidR="00866A1F" w:rsidRDefault="00866A1F"/>
    <w:p w14:paraId="489791F0" w14:textId="77777777" w:rsidR="00866A1F" w:rsidRDefault="00866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99C8" w14:textId="77777777" w:rsidR="00866A1F" w:rsidRDefault="00866A1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January </w:t>
    </w:r>
    <w:r w:rsidRPr="00034342">
      <w:rPr>
        <w:b/>
        <w:sz w:val="24"/>
        <w:szCs w:val="24"/>
      </w:rPr>
      <w:t>202</w:t>
    </w:r>
    <w:r>
      <w:rPr>
        <w:b/>
        <w:sz w:val="24"/>
        <w:szCs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22F6" w14:textId="77777777" w:rsidR="00866A1F" w:rsidRPr="00EB2C14" w:rsidRDefault="00866A1F" w:rsidP="00A96848">
    <w:pPr>
      <w:pStyle w:val="Footer"/>
      <w:tabs>
        <w:tab w:val="left" w:pos="8280"/>
      </w:tabs>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0B9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7AC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311FF" w14:textId="77777777" w:rsidR="00866A1F" w:rsidRDefault="00866A1F" w:rsidP="00926910">
      <w:r>
        <w:separator/>
      </w:r>
    </w:p>
    <w:p w14:paraId="3F664E09" w14:textId="77777777" w:rsidR="00866A1F" w:rsidRDefault="00866A1F"/>
    <w:p w14:paraId="52CC8669" w14:textId="77777777" w:rsidR="00866A1F" w:rsidRDefault="00866A1F"/>
  </w:footnote>
  <w:footnote w:type="continuationSeparator" w:id="0">
    <w:p w14:paraId="2FA2FBCC" w14:textId="77777777" w:rsidR="00866A1F" w:rsidRDefault="00866A1F" w:rsidP="00926910">
      <w:r>
        <w:continuationSeparator/>
      </w:r>
    </w:p>
    <w:p w14:paraId="1AA281DA" w14:textId="77777777" w:rsidR="00866A1F" w:rsidRDefault="00866A1F"/>
    <w:p w14:paraId="675C3945" w14:textId="77777777" w:rsidR="00866A1F" w:rsidRDefault="00866A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3864" w14:textId="77777777" w:rsidR="00866A1F" w:rsidRDefault="00866A1F" w:rsidP="000216BD">
    <w:pPr>
      <w:pStyle w:val="Header"/>
      <w:spacing w:after="240"/>
      <w:jc w:val="center"/>
      <w:rPr>
        <w:b/>
      </w:rPr>
    </w:pPr>
    <w:r>
      <w:rPr>
        <w:b/>
      </w:rPr>
      <w:t>DEFENSE LOGISTICS ACQUISITION DIRECTIVE</w:t>
    </w:r>
  </w:p>
  <w:p w14:paraId="75092493" w14:textId="77777777" w:rsidR="00866A1F" w:rsidRDefault="00866A1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5139" w14:textId="77777777" w:rsidR="00866A1F" w:rsidRPr="00D120A5" w:rsidRDefault="00866A1F" w:rsidP="000216BD">
    <w:pPr>
      <w:pStyle w:val="Header"/>
      <w:spacing w:after="240"/>
      <w:jc w:val="center"/>
      <w:rPr>
        <w:b/>
        <w:sz w:val="24"/>
        <w:szCs w:val="24"/>
      </w:rPr>
    </w:pPr>
    <w:r w:rsidRPr="00D120A5">
      <w:rPr>
        <w:b/>
        <w:sz w:val="24"/>
        <w:szCs w:val="24"/>
      </w:rPr>
      <w:t>DEFENSE LOGISTICS ACQUISITION DIRECTIVE</w:t>
    </w:r>
  </w:p>
  <w:p w14:paraId="02BADD17" w14:textId="77777777" w:rsidR="00866A1F" w:rsidRPr="00D120A5" w:rsidRDefault="00866A1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BD1F"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B4FFFA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DE5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E87269E"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A1F"/>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1107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