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26680" w14:textId="77777777" w:rsidR="00430DE3" w:rsidRPr="00CD6247" w:rsidRDefault="00430DE3" w:rsidP="00430DE3">
      <w:pPr>
        <w:pStyle w:val="Heading1"/>
        <w:rPr>
          <w:bCs/>
          <w:iCs/>
          <w:sz w:val="24"/>
          <w:szCs w:val="24"/>
        </w:rPr>
      </w:pPr>
      <w:bookmarkStart w:id="0" w:name="P30"/>
      <w:r w:rsidRPr="00CD6247">
        <w:rPr>
          <w:sz w:val="24"/>
          <w:szCs w:val="24"/>
        </w:rPr>
        <w:t xml:space="preserve">PART 30 </w:t>
      </w:r>
      <w:bookmarkEnd w:id="0"/>
      <w:r w:rsidRPr="00CD6247">
        <w:rPr>
          <w:sz w:val="24"/>
          <w:szCs w:val="24"/>
        </w:rPr>
        <w:t xml:space="preserve">– COST ACCOUNTING STANDARDS </w:t>
      </w:r>
      <w:r w:rsidRPr="00CD6247">
        <w:rPr>
          <w:bCs/>
          <w:iCs/>
          <w:sz w:val="24"/>
          <w:szCs w:val="24"/>
        </w:rPr>
        <w:t>ADMINISTRATION</w:t>
      </w:r>
      <w:commentRangeStart w:id="1"/>
      <w:commentRangeEnd w:id="1"/>
      <w:r w:rsidRPr="00CD6247">
        <w:rPr>
          <w:rStyle w:val="CommentReference"/>
          <w:b w:val="0"/>
          <w:sz w:val="24"/>
          <w:szCs w:val="24"/>
        </w:rPr>
        <w:commentReference w:id="1"/>
      </w:r>
    </w:p>
    <w:p w14:paraId="47A2FDD6" w14:textId="77777777" w:rsidR="00430DE3" w:rsidRPr="00CD6247" w:rsidRDefault="00430DE3" w:rsidP="00430DE3">
      <w:pPr>
        <w:spacing w:after="240"/>
        <w:jc w:val="center"/>
        <w:rPr>
          <w:i/>
          <w:sz w:val="24"/>
          <w:szCs w:val="24"/>
        </w:rPr>
      </w:pPr>
      <w:r w:rsidRPr="00CD6247">
        <w:rPr>
          <w:i/>
          <w:sz w:val="24"/>
          <w:szCs w:val="24"/>
        </w:rPr>
        <w:t>(Revised March 29, 2016, through PROCLTR 2016-06)</w:t>
      </w:r>
    </w:p>
    <w:p w14:paraId="52F0E391" w14:textId="77777777" w:rsidR="00430DE3" w:rsidRPr="00CD6247" w:rsidRDefault="00430DE3" w:rsidP="00430DE3">
      <w:pPr>
        <w:jc w:val="center"/>
        <w:rPr>
          <w:sz w:val="24"/>
          <w:szCs w:val="24"/>
        </w:rPr>
      </w:pPr>
      <w:r w:rsidRPr="00CD6247">
        <w:rPr>
          <w:b/>
          <w:sz w:val="24"/>
          <w:szCs w:val="24"/>
        </w:rPr>
        <w:t>TABLE OF CONTENTS</w:t>
      </w:r>
    </w:p>
    <w:p w14:paraId="7E570FEF" w14:textId="77777777" w:rsidR="00430DE3" w:rsidRPr="00CD6247" w:rsidRDefault="00430DE3" w:rsidP="00430DE3">
      <w:pPr>
        <w:rPr>
          <w:b/>
          <w:sz w:val="24"/>
          <w:szCs w:val="24"/>
        </w:rPr>
      </w:pPr>
      <w:r w:rsidRPr="00CD6247">
        <w:rPr>
          <w:b/>
          <w:sz w:val="24"/>
          <w:szCs w:val="24"/>
        </w:rPr>
        <w:t>SUBPART 30.2 – CAS PROGRAM REQUIREMENTS</w:t>
      </w:r>
    </w:p>
    <w:p w14:paraId="6D0B30FE" w14:textId="77777777" w:rsidR="00430DE3" w:rsidRPr="00CD6247" w:rsidRDefault="00430DE3" w:rsidP="00430DE3">
      <w:pPr>
        <w:spacing w:after="240"/>
        <w:rPr>
          <w:sz w:val="24"/>
          <w:szCs w:val="24"/>
        </w:rPr>
      </w:pPr>
      <w:hyperlink w:anchor="P30_201_5" w:history="1">
        <w:r w:rsidRPr="00CD6247">
          <w:rPr>
            <w:sz w:val="24"/>
            <w:szCs w:val="24"/>
            <w:u w:val="single"/>
          </w:rPr>
          <w:t>30.201</w:t>
        </w:r>
        <w:r w:rsidRPr="00CD6247">
          <w:rPr>
            <w:sz w:val="24"/>
            <w:szCs w:val="24"/>
            <w:u w:val="single"/>
          </w:rPr>
          <w:noBreakHyphen/>
          <w:t>5</w:t>
        </w:r>
      </w:hyperlink>
      <w:r w:rsidRPr="00CD6247">
        <w:rPr>
          <w:sz w:val="24"/>
          <w:szCs w:val="24"/>
        </w:rPr>
        <w:tab/>
      </w:r>
      <w:r w:rsidRPr="00CD6247">
        <w:rPr>
          <w:sz w:val="24"/>
          <w:szCs w:val="24"/>
        </w:rPr>
        <w:tab/>
        <w:t>Waiver.</w:t>
      </w:r>
    </w:p>
    <w:p w14:paraId="61637323" w14:textId="77777777" w:rsidR="00430DE3" w:rsidRPr="00CD6247" w:rsidRDefault="00430DE3" w:rsidP="00430DE3">
      <w:pPr>
        <w:pStyle w:val="Heading2"/>
      </w:pPr>
      <w:r w:rsidRPr="00CD6247">
        <w:t>SUBPART 30.2 – CAS PROGRAM REQUIREMENTS</w:t>
      </w:r>
    </w:p>
    <w:p w14:paraId="3F44F116" w14:textId="77777777" w:rsidR="00430DE3" w:rsidRPr="00CD6247" w:rsidRDefault="00430DE3" w:rsidP="00430DE3">
      <w:pPr>
        <w:spacing w:after="240"/>
        <w:jc w:val="center"/>
        <w:rPr>
          <w:i/>
          <w:sz w:val="24"/>
          <w:szCs w:val="24"/>
        </w:rPr>
      </w:pPr>
      <w:r w:rsidRPr="00CD6247">
        <w:rPr>
          <w:i/>
          <w:sz w:val="24"/>
          <w:szCs w:val="24"/>
        </w:rPr>
        <w:t>(Revised March 29, 2016, through PROCLTR 2016-06)</w:t>
      </w:r>
    </w:p>
    <w:p w14:paraId="52E1BDFF" w14:textId="77777777" w:rsidR="00430DE3" w:rsidRPr="000E2760" w:rsidRDefault="00430DE3" w:rsidP="00430DE3">
      <w:pPr>
        <w:pStyle w:val="Heading3"/>
        <w:rPr>
          <w:sz w:val="24"/>
          <w:szCs w:val="24"/>
        </w:rPr>
      </w:pPr>
      <w:r w:rsidRPr="000E2760">
        <w:rPr>
          <w:sz w:val="24"/>
          <w:szCs w:val="24"/>
        </w:rPr>
        <w:t>30.201-5 Waiver.</w:t>
      </w:r>
    </w:p>
    <w:p w14:paraId="3942B3C8" w14:textId="77777777" w:rsidR="00430DE3" w:rsidRPr="00CD6247" w:rsidRDefault="00430DE3" w:rsidP="00430DE3">
      <w:pPr>
        <w:rPr>
          <w:snapToGrid w:val="0"/>
          <w:sz w:val="24"/>
          <w:szCs w:val="24"/>
        </w:rPr>
      </w:pPr>
      <w:r w:rsidRPr="00CD6247">
        <w:rPr>
          <w:bCs/>
          <w:iCs/>
          <w:snapToGrid w:val="0"/>
          <w:sz w:val="24"/>
          <w:szCs w:val="24"/>
        </w:rPr>
        <w:t>(a)(1)(B)</w:t>
      </w:r>
      <w:commentRangeStart w:id="2"/>
      <w:r w:rsidRPr="00CD6247">
        <w:rPr>
          <w:snapToGrid w:val="0"/>
          <w:sz w:val="24"/>
          <w:szCs w:val="24"/>
        </w:rPr>
        <w:t xml:space="preserve"> </w:t>
      </w:r>
      <w:commentRangeEnd w:id="2"/>
      <w:r w:rsidRPr="00CD6247">
        <w:rPr>
          <w:rStyle w:val="CommentReference"/>
          <w:sz w:val="24"/>
          <w:szCs w:val="24"/>
        </w:rPr>
        <w:commentReference w:id="2"/>
      </w:r>
      <w:r w:rsidRPr="00CD6247">
        <w:rPr>
          <w:snapToGrid w:val="0"/>
          <w:sz w:val="24"/>
          <w:szCs w:val="24"/>
        </w:rPr>
        <w:t>Waiver requests for individual procurements shall be submitted to the DLA Acquisition Contract and Pricing Compliance Division for coordination with the DLA Acquisition Director prior to submission to DPC for approval.</w:t>
      </w:r>
    </w:p>
    <w:p w14:paraId="4EF7D8D2" w14:textId="77777777" w:rsidR="00430DE3" w:rsidRPr="00CD6247" w:rsidRDefault="00430DE3" w:rsidP="00430DE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trike/>
          <w:snapToGrid w:val="0"/>
          <w:sz w:val="24"/>
          <w:szCs w:val="24"/>
        </w:rPr>
      </w:pPr>
      <w:r w:rsidRPr="00CD6247">
        <w:rPr>
          <w:snapToGrid w:val="0"/>
          <w:sz w:val="24"/>
          <w:szCs w:val="24"/>
        </w:rPr>
        <w:t>(e)</w:t>
      </w:r>
      <w:commentRangeStart w:id="3"/>
      <w:r w:rsidRPr="00CD6247">
        <w:rPr>
          <w:snapToGrid w:val="0"/>
          <w:sz w:val="24"/>
          <w:szCs w:val="24"/>
        </w:rPr>
        <w:t xml:space="preserve"> </w:t>
      </w:r>
      <w:commentRangeEnd w:id="3"/>
      <w:r w:rsidRPr="00CD6247">
        <w:rPr>
          <w:rStyle w:val="CommentReference"/>
          <w:sz w:val="24"/>
          <w:szCs w:val="24"/>
        </w:rPr>
        <w:commentReference w:id="3"/>
      </w:r>
      <w:r w:rsidRPr="00CD6247">
        <w:rPr>
          <w:snapToGrid w:val="0"/>
          <w:sz w:val="24"/>
          <w:szCs w:val="24"/>
        </w:rPr>
        <w:t>The DLA Acquisition Compliance, Policy and Pricing Division</w:t>
      </w:r>
      <w:commentRangeStart w:id="4"/>
      <w:r w:rsidRPr="00CD6247">
        <w:rPr>
          <w:snapToGrid w:val="0"/>
          <w:sz w:val="24"/>
          <w:szCs w:val="24"/>
        </w:rPr>
        <w:t xml:space="preserve"> </w:t>
      </w:r>
      <w:commentRangeEnd w:id="4"/>
      <w:r w:rsidRPr="00CD6247">
        <w:rPr>
          <w:rStyle w:val="CommentReference"/>
          <w:sz w:val="24"/>
          <w:szCs w:val="24"/>
        </w:rPr>
        <w:commentReference w:id="4"/>
      </w:r>
      <w:r w:rsidRPr="00CD6247">
        <w:rPr>
          <w:snapToGrid w:val="0"/>
          <w:sz w:val="24"/>
          <w:szCs w:val="24"/>
        </w:rPr>
        <w:t>prepares the annual report on CAS waivers for approval by the Senior Procurement Executive and submits the report to DPC.</w:t>
      </w:r>
    </w:p>
    <w:p w14:paraId="1545CFFA" w14:textId="77777777" w:rsidR="00430DE3" w:rsidRDefault="00430DE3" w:rsidP="00430DE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430DE3" w:rsidSect="00C92932">
          <w:headerReference w:type="first" r:id="rId14"/>
          <w:footerReference w:type="first" r:id="rId15"/>
          <w:pgSz w:w="12240" w:h="15840"/>
          <w:pgMar w:top="1440" w:right="1440" w:bottom="1440" w:left="1440" w:header="720" w:footer="720" w:gutter="0"/>
          <w:cols w:space="720"/>
          <w:titlePg/>
          <w:docGrid w:linePitch="299"/>
        </w:sectPr>
      </w:pPr>
      <w:bookmarkStart w:id="5" w:name="Part31"/>
      <w:bookmarkEnd w:id="5"/>
    </w:p>
    <w:p w14:paraId="32485B93"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6"/>
      <w:headerReference w:type="default" r:id="rId17"/>
      <w:footerReference w:type="even" r:id="rId18"/>
      <w:footerReference w:type="default" r:id="rId19"/>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9-02-19T17:34:00Z" w:initials="BARCDA(">
    <w:p w14:paraId="555F0A1F" w14:textId="77777777" w:rsidR="00430DE3" w:rsidRDefault="00430DE3" w:rsidP="00430DE3">
      <w:pPr>
        <w:pStyle w:val="CommentText"/>
      </w:pPr>
      <w:r>
        <w:rPr>
          <w:rStyle w:val="CommentReference"/>
        </w:rPr>
        <w:annotationRef/>
      </w:r>
      <w:r>
        <w:t>On 3/29/16, the DLAD Editor revised Part 30 IAW PROCLTR 16-06.</w:t>
      </w:r>
    </w:p>
  </w:comment>
  <w:comment w:id="2" w:author="Burleigh, Anne R CIV DLA ACQUISITION (USA)" w:date="2016-10-24T13:48:00Z" w:initials="BARCDA(">
    <w:p w14:paraId="3A1424EC" w14:textId="77777777" w:rsidR="00430DE3" w:rsidRDefault="00430DE3" w:rsidP="00430DE3">
      <w:pPr>
        <w:pStyle w:val="CommentText"/>
      </w:pPr>
      <w:r>
        <w:rPr>
          <w:rStyle w:val="CommentReference"/>
        </w:rPr>
        <w:annotationRef/>
      </w:r>
      <w:r>
        <w:t xml:space="preserve">On 10/24/16, the DLAD Editor made a technical amendment to 30.201-5, replacing “(a)” with “(a)(1)(B).” </w:t>
      </w:r>
    </w:p>
  </w:comment>
  <w:comment w:id="3" w:author="Burleigh, Anne R CIV DLA ACQUISITION (USA)" w:date="2016-10-24T13:50:00Z" w:initials="BARCDA(">
    <w:p w14:paraId="31D94D86" w14:textId="77777777" w:rsidR="00430DE3" w:rsidRDefault="00430DE3" w:rsidP="00430DE3">
      <w:pPr>
        <w:pStyle w:val="CommentText"/>
      </w:pPr>
      <w:r>
        <w:rPr>
          <w:rStyle w:val="CommentReference"/>
        </w:rPr>
        <w:annotationRef/>
      </w:r>
      <w:r>
        <w:t>On 10/24/16, the DLAD Editor made a technical amendment to 30.201-5, replacing “(b)” with “(e).”</w:t>
      </w:r>
    </w:p>
  </w:comment>
  <w:comment w:id="4" w:author="Burleigh, Anne R CIV DLA ACQUISITION (USA)" w:date="2019-02-19T17:36:00Z" w:initials="BARCDA(">
    <w:p w14:paraId="787FD4B5" w14:textId="77777777" w:rsidR="00430DE3" w:rsidRDefault="00430DE3" w:rsidP="00430DE3">
      <w:pPr>
        <w:pStyle w:val="CommentText"/>
      </w:pPr>
      <w:r>
        <w:rPr>
          <w:rStyle w:val="CommentReference"/>
        </w:rPr>
        <w:annotationRef/>
      </w:r>
      <w:r>
        <w:t>On 2/19/19, the DLAD Editor made a technical amendment replacing “Contract and Pricing Compliance Division” with “Compliance, Policy and Pricing Division.”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5F0A1F" w15:done="0"/>
  <w15:commentEx w15:paraId="3A1424EC" w15:done="0"/>
  <w15:commentEx w15:paraId="31D94D86" w15:done="0"/>
  <w15:commentEx w15:paraId="787FD4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5F0A1F" w16cid:durableId="23678377"/>
  <w16cid:commentId w16cid:paraId="3A1424EC" w16cid:durableId="23678378"/>
  <w16cid:commentId w16cid:paraId="31D94D86" w16cid:durableId="23678379"/>
  <w16cid:commentId w16cid:paraId="787FD4B5" w16cid:durableId="236783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05FFB" w14:textId="77777777" w:rsidR="00430DE3" w:rsidRDefault="00430DE3" w:rsidP="00926910">
      <w:r>
        <w:separator/>
      </w:r>
    </w:p>
    <w:p w14:paraId="685F18D1" w14:textId="77777777" w:rsidR="00430DE3" w:rsidRDefault="00430DE3"/>
    <w:p w14:paraId="2347F4DA" w14:textId="77777777" w:rsidR="00430DE3" w:rsidRDefault="00430DE3"/>
  </w:endnote>
  <w:endnote w:type="continuationSeparator" w:id="0">
    <w:p w14:paraId="166064D7" w14:textId="77777777" w:rsidR="00430DE3" w:rsidRDefault="00430DE3" w:rsidP="00926910">
      <w:r>
        <w:continuationSeparator/>
      </w:r>
    </w:p>
    <w:p w14:paraId="0B093CAA" w14:textId="77777777" w:rsidR="00430DE3" w:rsidRDefault="00430DE3"/>
    <w:p w14:paraId="7C68EDD7" w14:textId="77777777" w:rsidR="00430DE3" w:rsidRDefault="00430D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BA82D" w14:textId="77777777" w:rsidR="00430DE3" w:rsidRPr="0029794A" w:rsidRDefault="00430DE3">
    <w:pPr>
      <w:pStyle w:val="Footer"/>
      <w:rPr>
        <w:b/>
        <w:sz w:val="24"/>
        <w:szCs w:val="24"/>
      </w:rPr>
    </w:pPr>
    <w:r>
      <w:rPr>
        <w:b/>
        <w:sz w:val="24"/>
        <w:szCs w:val="24"/>
      </w:rPr>
      <w:t xml:space="preserve">June </w:t>
    </w:r>
    <w:r w:rsidRPr="00034342">
      <w:rPr>
        <w:b/>
        <w:sz w:val="24"/>
        <w:szCs w:val="24"/>
      </w:rPr>
      <w:t>202</w:t>
    </w:r>
    <w:r>
      <w:rPr>
        <w:b/>
        <w:sz w:val="24"/>
        <w:szCs w:val="24"/>
      </w:rPr>
      <w:t>1</w:t>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fldChar w:fldCharType="begin"/>
    </w:r>
    <w:r w:rsidRPr="0029794A">
      <w:rPr>
        <w:b/>
        <w:sz w:val="24"/>
        <w:szCs w:val="24"/>
      </w:rPr>
      <w:instrText xml:space="preserve"> PAGE   \* MERGEFORMAT </w:instrText>
    </w:r>
    <w:r w:rsidRPr="0029794A">
      <w:rPr>
        <w:b/>
        <w:sz w:val="24"/>
        <w:szCs w:val="24"/>
      </w:rPr>
      <w:fldChar w:fldCharType="separate"/>
    </w:r>
    <w:r>
      <w:rPr>
        <w:b/>
        <w:noProof/>
        <w:sz w:val="24"/>
        <w:szCs w:val="24"/>
      </w:rPr>
      <w:t>168</w:t>
    </w:r>
    <w:r w:rsidRPr="0029794A">
      <w:rPr>
        <w:b/>
        <w:noProof/>
        <w:sz w:val="24"/>
        <w:szCs w:val="24"/>
      </w:rPr>
      <w:fldChar w:fldCharType="end"/>
    </w:r>
    <w:r w:rsidRPr="0029794A">
      <w:rPr>
        <w:b/>
        <w:sz w:val="24"/>
        <w:szCs w:val="24"/>
      </w:rPr>
      <w:tab/>
    </w:r>
    <w:r w:rsidRPr="0029794A">
      <w:rPr>
        <w:b/>
        <w:sz w:val="24"/>
        <w:szCs w:val="24"/>
      </w:rPr>
      <w:tab/>
    </w:r>
    <w:r w:rsidRPr="0029794A">
      <w:rPr>
        <w:b/>
        <w:sz w:val="24"/>
        <w:szCs w:val="24"/>
      </w:rPr>
      <w:tab/>
    </w:r>
    <w:r>
      <w:rPr>
        <w:b/>
        <w:sz w:val="24"/>
        <w:szCs w:val="24"/>
      </w:rPr>
      <w:tab/>
    </w:r>
    <w:r>
      <w:rPr>
        <w:b/>
        <w:sz w:val="24"/>
        <w:szCs w:val="24"/>
      </w:rPr>
      <w:tab/>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1296"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78D5"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FB2D2" w14:textId="77777777" w:rsidR="00430DE3" w:rsidRDefault="00430DE3" w:rsidP="00926910">
      <w:r>
        <w:separator/>
      </w:r>
    </w:p>
    <w:p w14:paraId="705BE62C" w14:textId="77777777" w:rsidR="00430DE3" w:rsidRDefault="00430DE3"/>
    <w:p w14:paraId="109A158E" w14:textId="77777777" w:rsidR="00430DE3" w:rsidRDefault="00430DE3"/>
  </w:footnote>
  <w:footnote w:type="continuationSeparator" w:id="0">
    <w:p w14:paraId="79D104B4" w14:textId="77777777" w:rsidR="00430DE3" w:rsidRDefault="00430DE3" w:rsidP="00926910">
      <w:r>
        <w:continuationSeparator/>
      </w:r>
    </w:p>
    <w:p w14:paraId="62AE576A" w14:textId="77777777" w:rsidR="00430DE3" w:rsidRDefault="00430DE3"/>
    <w:p w14:paraId="555C6F2C" w14:textId="77777777" w:rsidR="00430DE3" w:rsidRDefault="00430D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6A9C1" w14:textId="77777777" w:rsidR="00430DE3" w:rsidRPr="00D120A5" w:rsidRDefault="00430DE3" w:rsidP="000216BD">
    <w:pPr>
      <w:pStyle w:val="Header"/>
      <w:spacing w:after="240"/>
      <w:jc w:val="center"/>
      <w:rPr>
        <w:b/>
        <w:sz w:val="24"/>
        <w:szCs w:val="24"/>
      </w:rPr>
    </w:pPr>
    <w:r w:rsidRPr="00D120A5">
      <w:rPr>
        <w:b/>
        <w:sz w:val="24"/>
        <w:szCs w:val="24"/>
      </w:rPr>
      <w:t>DEFENSE LOGISTICS ACQUISITION DIRECTIVE</w:t>
    </w:r>
  </w:p>
  <w:p w14:paraId="0E1B1AB2" w14:textId="77777777" w:rsidR="00430DE3" w:rsidRPr="00D120A5" w:rsidRDefault="00430DE3"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sz w:val="24"/>
        <w:szCs w:val="24"/>
      </w:rPr>
    </w:pPr>
    <w:r w:rsidRPr="00D120A5">
      <w:rPr>
        <w:b/>
        <w:sz w:val="24"/>
        <w:szCs w:val="24"/>
      </w:rPr>
      <w:t xml:space="preserve">PART 30 – COST ACCOUNTING STANDARDS </w:t>
    </w:r>
    <w:r w:rsidRPr="00D120A5">
      <w:rPr>
        <w:b/>
        <w:bCs/>
        <w:iCs/>
        <w:sz w:val="24"/>
        <w:szCs w:val="24"/>
      </w:rPr>
      <w:t>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FCD5"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27373233"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26B1B"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0D73DDC1"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DE3"/>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B198F4"/>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733</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