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DCB6" w14:textId="77777777" w:rsidR="0057170C" w:rsidRPr="00E56C6F" w:rsidRDefault="0057170C" w:rsidP="0057170C">
      <w:pPr>
        <w:pStyle w:val="Heading1"/>
        <w:rPr>
          <w:sz w:val="24"/>
          <w:szCs w:val="24"/>
        </w:rPr>
      </w:pPr>
      <w:bookmarkStart w:id="0" w:name="Part34"/>
      <w:r w:rsidRPr="00E56C6F">
        <w:rPr>
          <w:sz w:val="24"/>
          <w:szCs w:val="24"/>
        </w:rPr>
        <w:t xml:space="preserve">PART 34 </w:t>
      </w:r>
      <w:bookmarkEnd w:id="0"/>
      <w:r w:rsidRPr="00E56C6F">
        <w:rPr>
          <w:sz w:val="24"/>
          <w:szCs w:val="24"/>
        </w:rPr>
        <w:t>– MAJOR SYSTEM ACQUISITION</w:t>
      </w:r>
    </w:p>
    <w:p w14:paraId="023F230A" w14:textId="77777777" w:rsidR="0057170C" w:rsidRPr="00E56C6F" w:rsidRDefault="0057170C" w:rsidP="0057170C">
      <w:pPr>
        <w:spacing w:after="240"/>
        <w:jc w:val="center"/>
        <w:rPr>
          <w:i/>
          <w:sz w:val="24"/>
          <w:szCs w:val="24"/>
        </w:rPr>
      </w:pPr>
      <w:r w:rsidRPr="00E56C6F">
        <w:rPr>
          <w:i/>
          <w:sz w:val="24"/>
          <w:szCs w:val="24"/>
        </w:rPr>
        <w:t>(Revised June 10, 2020 through PROCLTR 2020-05)</w:t>
      </w:r>
    </w:p>
    <w:p w14:paraId="4B2FDFD8" w14:textId="77777777" w:rsidR="0057170C" w:rsidRPr="00E56C6F" w:rsidRDefault="0057170C" w:rsidP="0057170C">
      <w:pPr>
        <w:jc w:val="center"/>
        <w:rPr>
          <w:b/>
          <w:sz w:val="24"/>
          <w:szCs w:val="24"/>
        </w:rPr>
      </w:pPr>
      <w:r w:rsidRPr="00E56C6F">
        <w:rPr>
          <w:b/>
          <w:sz w:val="24"/>
          <w:szCs w:val="24"/>
        </w:rPr>
        <w:t>TABLE OF CONTENTS</w:t>
      </w:r>
    </w:p>
    <w:p w14:paraId="06AB3791" w14:textId="77777777" w:rsidR="0057170C" w:rsidRPr="00E56C6F" w:rsidRDefault="0057170C" w:rsidP="0057170C">
      <w:pPr>
        <w:pStyle w:val="Default"/>
        <w:rPr>
          <w:rFonts w:ascii="Times New Roman" w:hAnsi="Times New Roman" w:cs="Times New Roman"/>
          <w:b/>
          <w:bCs/>
        </w:rPr>
      </w:pPr>
      <w:r w:rsidRPr="00E56C6F">
        <w:rPr>
          <w:rFonts w:ascii="Times New Roman" w:hAnsi="Times New Roman" w:cs="Times New Roman"/>
          <w:b/>
          <w:bCs/>
        </w:rPr>
        <w:t>SUBPART 34.71 – COST AND SOFTWARE DATA REPORTING</w:t>
      </w:r>
    </w:p>
    <w:p w14:paraId="717F74D6" w14:textId="77777777" w:rsidR="0057170C" w:rsidRPr="00E56C6F" w:rsidRDefault="0057170C" w:rsidP="0057170C">
      <w:pPr>
        <w:spacing w:after="240"/>
        <w:rPr>
          <w:sz w:val="24"/>
          <w:szCs w:val="24"/>
        </w:rPr>
      </w:pPr>
      <w:hyperlink w:anchor="P34_7101" w:history="1">
        <w:r w:rsidRPr="00E56C6F">
          <w:rPr>
            <w:rStyle w:val="Hyperlink"/>
            <w:sz w:val="24"/>
            <w:szCs w:val="24"/>
          </w:rPr>
          <w:t>34.7101</w:t>
        </w:r>
      </w:hyperlink>
      <w:r w:rsidRPr="00E56C6F">
        <w:rPr>
          <w:color w:val="0000FF"/>
          <w:sz w:val="24"/>
          <w:szCs w:val="24"/>
        </w:rPr>
        <w:t xml:space="preserve"> </w:t>
      </w:r>
      <w:r w:rsidRPr="00E56C6F">
        <w:rPr>
          <w:sz w:val="24"/>
          <w:szCs w:val="24"/>
        </w:rPr>
        <w:t>Solicitation provision and contract clause.</w:t>
      </w:r>
    </w:p>
    <w:p w14:paraId="41B23AAA" w14:textId="77777777" w:rsidR="0057170C" w:rsidRPr="00E56C6F" w:rsidRDefault="0057170C" w:rsidP="0057170C">
      <w:pPr>
        <w:pStyle w:val="Heading2"/>
      </w:pPr>
      <w:r w:rsidRPr="00E56C6F">
        <w:rPr>
          <w:vanish/>
          <w:color w:val="FFFFFF"/>
        </w:rPr>
        <w:t xml:space="preserve">34 </w:t>
      </w:r>
      <w:r w:rsidRPr="00E56C6F">
        <w:t>SUBPART 34.71 – COST AND SOFTWARE DATA REPORTING</w:t>
      </w:r>
    </w:p>
    <w:p w14:paraId="6D816E96" w14:textId="77777777" w:rsidR="0057170C" w:rsidRPr="00E56C6F" w:rsidRDefault="0057170C" w:rsidP="0057170C">
      <w:pPr>
        <w:spacing w:after="240"/>
        <w:jc w:val="center"/>
        <w:rPr>
          <w:i/>
          <w:sz w:val="24"/>
          <w:szCs w:val="24"/>
        </w:rPr>
      </w:pPr>
      <w:r w:rsidRPr="00E56C6F">
        <w:rPr>
          <w:i/>
          <w:sz w:val="24"/>
          <w:szCs w:val="24"/>
        </w:rPr>
        <w:t>(Revised June 10, 2020 through PROCLTR 2020-05)</w:t>
      </w:r>
    </w:p>
    <w:p w14:paraId="197C60BD" w14:textId="77777777" w:rsidR="0057170C" w:rsidRPr="00E56C6F" w:rsidRDefault="0057170C" w:rsidP="0057170C">
      <w:pPr>
        <w:pStyle w:val="Heading3"/>
        <w:rPr>
          <w:rStyle w:val="Heading3Char"/>
          <w:b/>
          <w:sz w:val="24"/>
          <w:szCs w:val="24"/>
        </w:rPr>
      </w:pPr>
      <w:bookmarkStart w:id="1" w:name="P37_7101"/>
      <w:bookmarkStart w:id="2" w:name="P34_7101"/>
      <w:r w:rsidRPr="00E56C6F">
        <w:rPr>
          <w:rStyle w:val="Heading3Char"/>
          <w:b/>
          <w:sz w:val="24"/>
          <w:szCs w:val="24"/>
        </w:rPr>
        <w:t xml:space="preserve">34.7101 </w:t>
      </w:r>
      <w:bookmarkEnd w:id="1"/>
      <w:bookmarkEnd w:id="2"/>
      <w:r w:rsidRPr="00E56C6F">
        <w:rPr>
          <w:rStyle w:val="Heading3Char"/>
          <w:b/>
          <w:sz w:val="24"/>
          <w:szCs w:val="24"/>
        </w:rPr>
        <w:t>Solicitation provision and contract clause.</w:t>
      </w:r>
    </w:p>
    <w:p w14:paraId="5397EA08" w14:textId="77777777" w:rsidR="0057170C" w:rsidRPr="00E56C6F" w:rsidRDefault="0057170C" w:rsidP="005717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E56C6F">
        <w:rPr>
          <w:bCs/>
          <w:color w:val="000000"/>
          <w:sz w:val="24"/>
          <w:szCs w:val="24"/>
        </w:rP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Id11" w:history="1">
        <w:r w:rsidRPr="00E56C6F">
          <w:rPr>
            <w:rStyle w:val="Hyperlink"/>
            <w:bCs/>
            <w:sz w:val="24"/>
            <w:szCs w:val="24"/>
          </w:rPr>
          <w:t>Cost Assessment Data Enterprise (CADE) Cost and Sortware Data Reporting (CSDR) Policies</w:t>
        </w:r>
      </w:hyperlink>
      <w:r w:rsidRPr="00E56C6F">
        <w:rPr>
          <w:bCs/>
          <w:color w:val="0000FF"/>
          <w:sz w:val="24"/>
          <w:szCs w:val="24"/>
        </w:rPr>
        <w:t xml:space="preserve"> (</w:t>
      </w:r>
      <w:hyperlink r:id="rId12" w:history="1">
        <w:r w:rsidRPr="00E56C6F">
          <w:rPr>
            <w:rStyle w:val="Hyperlink"/>
            <w:bCs/>
            <w:sz w:val="24"/>
            <w:szCs w:val="24"/>
          </w:rPr>
          <w:t>https://cade.osd.mil/policy/csdr-timeline</w:t>
        </w:r>
      </w:hyperlink>
      <w:r w:rsidRPr="00E56C6F">
        <w:rPr>
          <w:bCs/>
          <w:color w:val="0000FF"/>
          <w:sz w:val="24"/>
          <w:szCs w:val="24"/>
        </w:rPr>
        <w:t>)</w:t>
      </w:r>
      <w:commentRangeStart w:id="3"/>
      <w:r w:rsidRPr="00E56C6F">
        <w:rPr>
          <w:bCs/>
          <w:color w:val="0000FF"/>
          <w:sz w:val="24"/>
          <w:szCs w:val="24"/>
        </w:rPr>
        <w:t>.</w:t>
      </w:r>
      <w:commentRangeEnd w:id="3"/>
      <w:r w:rsidRPr="00E56C6F">
        <w:rPr>
          <w:rStyle w:val="CommentReference"/>
          <w:sz w:val="24"/>
          <w:szCs w:val="24"/>
        </w:rPr>
        <w:commentReference w:id="3"/>
      </w:r>
    </w:p>
    <w:p w14:paraId="05FA17AA" w14:textId="77777777" w:rsidR="0057170C" w:rsidRPr="00E56C6F" w:rsidRDefault="0057170C" w:rsidP="005717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E56C6F">
        <w:rPr>
          <w:bCs/>
          <w:color w:val="000000"/>
          <w:sz w:val="24"/>
          <w:szCs w:val="24"/>
        </w:rPr>
        <w:t>(S-91) In accordance with DoD Manual 5000.04-M-1, DDCA has the authority to approve waivers for CSDR requirements. Procuring organizations shall forward requests for waivers to DLA Acquisition Pricing, accompanied by—</w:t>
      </w:r>
    </w:p>
    <w:p w14:paraId="666A97AB" w14:textId="77777777" w:rsidR="0057170C" w:rsidRPr="00E56C6F" w:rsidRDefault="0057170C" w:rsidP="005717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color w:val="000000"/>
          <w:sz w:val="24"/>
          <w:szCs w:val="24"/>
        </w:rPr>
      </w:pPr>
      <w:r w:rsidRPr="00E56C6F">
        <w:rPr>
          <w:bCs/>
          <w:color w:val="000000"/>
          <w:sz w:val="24"/>
          <w:szCs w:val="24"/>
        </w:rPr>
        <w:t>(i) For commercial acquisitions, a copy of the commercial item determination and a memorandum supporting the rationale for a waiver based on commerciality, both signed by the contracting officer; or</w:t>
      </w:r>
    </w:p>
    <w:p w14:paraId="22495CD4" w14:textId="77777777" w:rsidR="0057170C" w:rsidRDefault="0057170C" w:rsidP="005717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E56C6F">
        <w:rPr>
          <w:bCs/>
          <w:sz w:val="24"/>
          <w:szCs w:val="24"/>
        </w:rPr>
        <w:t>(ii) For competitive acquisitions, documentation supporting the basis for the contracting officer’s determination that adequate competition will continue to</w:t>
      </w:r>
      <w:r w:rsidRPr="00822347">
        <w:rPr>
          <w:bCs/>
          <w:sz w:val="24"/>
          <w:szCs w:val="24"/>
        </w:rPr>
        <w:t xml:space="preserve"> exist.</w:t>
      </w:r>
    </w:p>
    <w:p w14:paraId="737B0575" w14:textId="77777777" w:rsidR="0057170C" w:rsidRDefault="0057170C" w:rsidP="005717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Pr>
          <w:bCs/>
          <w:sz w:val="24"/>
          <w:szCs w:val="24"/>
        </w:rPr>
        <w:br w:type="page"/>
      </w:r>
    </w:p>
    <w:p w14:paraId="518D4E8B" w14:textId="77777777" w:rsidR="0057170C" w:rsidRDefault="0057170C" w:rsidP="005717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sectPr w:rsidR="0057170C" w:rsidSect="00C9293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299"/>
        </w:sectPr>
      </w:pPr>
    </w:p>
    <w:p w14:paraId="350AF9D9"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Burleigh, Anne R CIV DLA ACQUISITION (USA)" w:date="2020-06-10T13:06:00Z" w:initials="BARCDA(">
    <w:p w14:paraId="24F2C44D" w14:textId="77777777" w:rsidR="0057170C" w:rsidRDefault="0057170C" w:rsidP="0057170C">
      <w:pPr>
        <w:pStyle w:val="CommentText"/>
      </w:pPr>
      <w:r>
        <w:rPr>
          <w:rStyle w:val="CommentReference"/>
        </w:rPr>
        <w:annotationRef/>
      </w:r>
      <w:r>
        <w:t>On 6/10/20, the DLAD Editor made a technical amendment at 34.7101(a)(S-90) inserting a 508-compliant hyperlink for CADE CSDR Policies, consistent with the intent of PROCLTR 20-05.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F2C4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F2C44D" w16cid:durableId="236783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2BF49" w14:textId="77777777" w:rsidR="0057170C" w:rsidRDefault="0057170C" w:rsidP="00926910">
      <w:r>
        <w:separator/>
      </w:r>
    </w:p>
    <w:p w14:paraId="08B14244" w14:textId="77777777" w:rsidR="0057170C" w:rsidRDefault="0057170C"/>
    <w:p w14:paraId="1347F004" w14:textId="77777777" w:rsidR="0057170C" w:rsidRDefault="0057170C"/>
  </w:endnote>
  <w:endnote w:type="continuationSeparator" w:id="0">
    <w:p w14:paraId="381266F8" w14:textId="77777777" w:rsidR="0057170C" w:rsidRDefault="0057170C" w:rsidP="00926910">
      <w:r>
        <w:continuationSeparator/>
      </w:r>
    </w:p>
    <w:p w14:paraId="350512C2" w14:textId="77777777" w:rsidR="0057170C" w:rsidRDefault="0057170C"/>
    <w:p w14:paraId="1EAD6E13" w14:textId="77777777" w:rsidR="0057170C" w:rsidRDefault="005717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EC1C0" w14:textId="77777777" w:rsidR="0057170C" w:rsidRPr="00CC3CA1" w:rsidRDefault="0057170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CC3CA1">
      <w:rPr>
        <w:b/>
        <w:sz w:val="24"/>
        <w:szCs w:val="24"/>
      </w:rPr>
      <w:tab/>
    </w:r>
    <w:r w:rsidRPr="00CC3CA1">
      <w:rPr>
        <w:b/>
        <w:sz w:val="24"/>
        <w:szCs w:val="24"/>
      </w:rPr>
      <w:fldChar w:fldCharType="begin"/>
    </w:r>
    <w:r w:rsidRPr="00CC3CA1">
      <w:rPr>
        <w:b/>
        <w:sz w:val="24"/>
        <w:szCs w:val="24"/>
      </w:rPr>
      <w:instrText xml:space="preserve"> PAGE  \* Arabic  \* MERGEFORMAT </w:instrText>
    </w:r>
    <w:r w:rsidRPr="00CC3CA1">
      <w:rPr>
        <w:b/>
        <w:sz w:val="24"/>
        <w:szCs w:val="24"/>
      </w:rPr>
      <w:fldChar w:fldCharType="separate"/>
    </w:r>
    <w:r>
      <w:rPr>
        <w:b/>
        <w:noProof/>
        <w:sz w:val="24"/>
        <w:szCs w:val="24"/>
      </w:rPr>
      <w:t>184</w:t>
    </w:r>
    <w:r w:rsidRPr="00CC3CA1">
      <w:rPr>
        <w:b/>
        <w:sz w:val="24"/>
        <w:szCs w:val="24"/>
      </w:rPr>
      <w:fldChar w:fldCharType="end"/>
    </w:r>
    <w:r w:rsidRPr="00CC3CA1">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033AA" w14:textId="77777777" w:rsidR="0057170C" w:rsidRDefault="0057170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173</w:t>
    </w:r>
    <w:r w:rsidRPr="00AD4FCD">
      <w:rPr>
        <w:b/>
      </w:rPr>
      <w:fldChar w:fldCharType="end"/>
    </w:r>
    <w:r>
      <w:tab/>
    </w:r>
    <w:r w:rsidRPr="00CE4C38">
      <w:rPr>
        <w:sz w:val="24"/>
        <w:szCs w:val="24"/>
      </w:rPr>
      <w:t>June 2</w:t>
    </w:r>
    <w:r>
      <w:t>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52FF7" w14:textId="77777777" w:rsidR="0057170C" w:rsidRPr="00CC3CA1" w:rsidRDefault="0057170C">
    <w:pPr>
      <w:pStyle w:val="Footer"/>
      <w:rPr>
        <w:b/>
        <w:sz w:val="24"/>
        <w:szCs w:val="24"/>
      </w:rPr>
    </w:pPr>
    <w:r>
      <w:rPr>
        <w:b/>
        <w:sz w:val="24"/>
        <w:szCs w:val="24"/>
      </w:rPr>
      <w:t xml:space="preserve">June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176</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73379"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16F2"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75FF1" w14:textId="77777777" w:rsidR="0057170C" w:rsidRDefault="0057170C" w:rsidP="00926910">
      <w:r>
        <w:separator/>
      </w:r>
    </w:p>
    <w:p w14:paraId="554852C0" w14:textId="77777777" w:rsidR="0057170C" w:rsidRDefault="0057170C"/>
    <w:p w14:paraId="529B846A" w14:textId="77777777" w:rsidR="0057170C" w:rsidRDefault="0057170C"/>
  </w:footnote>
  <w:footnote w:type="continuationSeparator" w:id="0">
    <w:p w14:paraId="5FF0044A" w14:textId="77777777" w:rsidR="0057170C" w:rsidRDefault="0057170C" w:rsidP="00926910">
      <w:r>
        <w:continuationSeparator/>
      </w:r>
    </w:p>
    <w:p w14:paraId="15E16C25" w14:textId="77777777" w:rsidR="0057170C" w:rsidRDefault="0057170C"/>
    <w:p w14:paraId="03FE7214" w14:textId="77777777" w:rsidR="0057170C" w:rsidRDefault="005717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DBF7F" w14:textId="77777777" w:rsidR="0057170C" w:rsidRPr="00CE4C38" w:rsidRDefault="0057170C" w:rsidP="000216BD">
    <w:pPr>
      <w:pStyle w:val="Header"/>
      <w:spacing w:after="240"/>
      <w:jc w:val="center"/>
      <w:rPr>
        <w:b/>
        <w:sz w:val="24"/>
        <w:szCs w:val="24"/>
      </w:rPr>
    </w:pPr>
    <w:r w:rsidRPr="00CE4C38">
      <w:rPr>
        <w:b/>
        <w:sz w:val="24"/>
        <w:szCs w:val="24"/>
      </w:rPr>
      <w:t>DEFENSE LOGISTICS ACQUISITION DIRECTIVE</w:t>
    </w:r>
  </w:p>
  <w:p w14:paraId="59F85CF4" w14:textId="77777777" w:rsidR="0057170C" w:rsidRPr="00FD2496" w:rsidRDefault="0057170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CE4C38">
      <w:rPr>
        <w:b/>
        <w:sz w:val="24"/>
        <w:szCs w:val="24"/>
      </w:rPr>
      <w:t>PART 42 – CONTRACT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C840B" w14:textId="77777777" w:rsidR="0057170C" w:rsidRPr="00CE4C38" w:rsidRDefault="0057170C" w:rsidP="00822347">
    <w:pPr>
      <w:pStyle w:val="Header"/>
      <w:spacing w:after="240"/>
      <w:jc w:val="center"/>
      <w:rPr>
        <w:b/>
        <w:sz w:val="24"/>
        <w:szCs w:val="24"/>
      </w:rPr>
    </w:pPr>
    <w:r w:rsidRPr="00CE4C38">
      <w:rPr>
        <w:b/>
        <w:sz w:val="24"/>
        <w:szCs w:val="24"/>
      </w:rPr>
      <w:t>DEFENSE LOGISTICS ACQUISITION DIRECTIVE</w:t>
    </w:r>
  </w:p>
  <w:p w14:paraId="2DA28F43" w14:textId="77777777" w:rsidR="0057170C" w:rsidRPr="00CE4C38" w:rsidRDefault="0057170C" w:rsidP="00CE4C38">
    <w:pPr>
      <w:pStyle w:val="Header"/>
      <w:spacing w:after="240"/>
      <w:jc w:val="center"/>
      <w:rPr>
        <w:b/>
      </w:rPr>
    </w:pPr>
    <w:r w:rsidRPr="00F76CC1">
      <w:rPr>
        <w:b/>
        <w:sz w:val="24"/>
        <w:szCs w:val="24"/>
      </w:rPr>
      <w:t>PART 42 – CONTRACT ADMINISTRATION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D3396" w14:textId="77777777" w:rsidR="0057170C" w:rsidRPr="00F76CC1" w:rsidRDefault="0057170C" w:rsidP="000216BD">
    <w:pPr>
      <w:pStyle w:val="Header"/>
      <w:spacing w:after="240"/>
      <w:jc w:val="center"/>
      <w:rPr>
        <w:b/>
        <w:sz w:val="24"/>
        <w:szCs w:val="24"/>
      </w:rPr>
    </w:pPr>
    <w:r w:rsidRPr="00F76CC1">
      <w:rPr>
        <w:b/>
        <w:sz w:val="24"/>
        <w:szCs w:val="24"/>
      </w:rPr>
      <w:t>DEFENSE LOGISTICS ACQUISITION DIRECTIVE</w:t>
    </w:r>
  </w:p>
  <w:p w14:paraId="3680B1F9" w14:textId="77777777" w:rsidR="0057170C" w:rsidRPr="00F76CC1" w:rsidRDefault="0057170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F76CC1">
      <w:rPr>
        <w:b/>
        <w:sz w:val="24"/>
        <w:szCs w:val="24"/>
      </w:rPr>
      <w:t>PART 34 – MAJOR SYSTEM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4569"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0371A2A4"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B712"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644432C2"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70C"/>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D9CBE1"/>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cade.osd.mil/policy/csdr-timeline" TargetMode="External"/><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de.osd.mil/policy/csdr-timeline" TargetMode="External"/><Relationship Id="rId24" Type="http://schemas.openxmlformats.org/officeDocument/2006/relationships/footer" Target="footer4.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4.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2572</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